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麦盖提县人民法院2024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13093BE">
      <w:r>
        <w:br w:type="page"/>
      </w:r>
    </w:p>
    <w:p w14:paraId="3414EA5C">
      <w:pPr>
        <w:spacing w:line="640" w:lineRule="exact"/>
        <w:jc w:val="center"/>
        <w:outlineLvl w:val="1"/>
      </w:pPr>
      <w:r>
        <w:rPr>
          <w:rFonts w:ascii="黑体" w:hAnsi="黑体" w:eastAsia="黑体"/>
          <w:sz w:val="32"/>
        </w:rPr>
        <w:t>第一部分 部门概况</w:t>
      </w:r>
    </w:p>
    <w:p w14:paraId="01AB3255">
      <w:pPr>
        <w:spacing w:line="640" w:lineRule="exact"/>
        <w:ind w:firstLine="640"/>
        <w:jc w:val="both"/>
        <w:outlineLvl w:val="2"/>
      </w:pPr>
      <w:r>
        <w:rPr>
          <w:rFonts w:ascii="黑体" w:hAnsi="黑体" w:eastAsia="黑体"/>
          <w:sz w:val="32"/>
        </w:rPr>
        <w:t>一、主要职能</w:t>
      </w:r>
    </w:p>
    <w:p w14:paraId="014AADDA">
      <w:pPr>
        <w:spacing w:line="580" w:lineRule="exact"/>
        <w:ind w:firstLine="640"/>
        <w:jc w:val="both"/>
      </w:pPr>
      <w:r>
        <w:rPr>
          <w:rFonts w:ascii="仿宋_GB2312" w:hAnsi="仿宋_GB2312" w:eastAsia="仿宋_GB2312"/>
          <w:sz w:val="32"/>
        </w:rPr>
        <w:t>1、审判法律规定，</w:t>
      </w:r>
      <w:r>
        <w:rPr>
          <w:rFonts w:hint="eastAsia" w:ascii="仿宋_GB2312" w:hAnsi="仿宋_GB2312" w:eastAsia="仿宋_GB2312"/>
          <w:sz w:val="32"/>
          <w:lang w:eastAsia="zh-CN"/>
        </w:rPr>
        <w:t>基层</w:t>
      </w:r>
      <w:r>
        <w:rPr>
          <w:rFonts w:ascii="仿宋_GB2312" w:hAnsi="仿宋_GB2312" w:eastAsia="仿宋_GB2312"/>
          <w:sz w:val="32"/>
        </w:rPr>
        <w:t>人民法院应当依法在职权范围内受理的自诉和公诉的刑事、民事、行政等第一审案件。</w:t>
      </w:r>
    </w:p>
    <w:p w14:paraId="52DFB3C7">
      <w:pPr>
        <w:spacing w:line="580" w:lineRule="exact"/>
        <w:ind w:firstLine="640"/>
        <w:jc w:val="both"/>
      </w:pPr>
      <w:r>
        <w:rPr>
          <w:rFonts w:ascii="仿宋_GB2312" w:hAnsi="仿宋_GB2312" w:eastAsia="仿宋_GB2312"/>
          <w:sz w:val="32"/>
        </w:rPr>
        <w:t>2、依法行使司法执行权和司法决定权。</w:t>
      </w:r>
    </w:p>
    <w:p w14:paraId="2419F35F">
      <w:pPr>
        <w:spacing w:line="580" w:lineRule="exact"/>
        <w:ind w:firstLine="640"/>
        <w:jc w:val="both"/>
      </w:pPr>
      <w:r>
        <w:rPr>
          <w:rFonts w:ascii="仿宋_GB2312" w:hAnsi="仿宋_GB2312" w:eastAsia="仿宋_GB2312"/>
          <w:sz w:val="32"/>
        </w:rPr>
        <w:t>3、依法决定国家赔偿。</w:t>
      </w:r>
    </w:p>
    <w:p w14:paraId="3E9CCD1E">
      <w:pPr>
        <w:spacing w:line="580" w:lineRule="exact"/>
        <w:ind w:firstLine="640"/>
        <w:jc w:val="both"/>
      </w:pPr>
      <w:r>
        <w:rPr>
          <w:rFonts w:ascii="仿宋_GB2312" w:hAnsi="仿宋_GB2312" w:eastAsia="仿宋_GB2312"/>
          <w:sz w:val="32"/>
        </w:rPr>
        <w:t>4、行使审判职能。</w:t>
      </w:r>
    </w:p>
    <w:p w14:paraId="3B3D7FF2">
      <w:pPr>
        <w:spacing w:line="580" w:lineRule="exact"/>
        <w:ind w:firstLine="640"/>
        <w:jc w:val="both"/>
      </w:pPr>
      <w:r>
        <w:rPr>
          <w:rFonts w:ascii="仿宋_GB2312" w:hAnsi="仿宋_GB2312" w:eastAsia="仿宋_GB2312"/>
          <w:sz w:val="32"/>
        </w:rPr>
        <w:t>5、研究、征集对法律、法规、规章草案的意见；对案件审理中发现</w:t>
      </w:r>
      <w:r>
        <w:rPr>
          <w:rFonts w:hint="eastAsia" w:ascii="仿宋_GB2312" w:hAnsi="仿宋_GB2312" w:eastAsia="仿宋_GB2312"/>
          <w:sz w:val="32"/>
          <w:lang w:eastAsia="zh-CN"/>
        </w:rPr>
        <w:t>的</w:t>
      </w:r>
      <w:r>
        <w:rPr>
          <w:rFonts w:ascii="仿宋_GB2312" w:hAnsi="仿宋_GB2312" w:eastAsia="仿宋_GB2312"/>
          <w:sz w:val="32"/>
        </w:rPr>
        <w:t>问题提出司法建议。</w:t>
      </w:r>
    </w:p>
    <w:p w14:paraId="796A3C63">
      <w:pPr>
        <w:spacing w:line="580" w:lineRule="exact"/>
        <w:ind w:firstLine="640"/>
        <w:jc w:val="both"/>
      </w:pPr>
      <w:r>
        <w:rPr>
          <w:rFonts w:ascii="仿宋_GB2312" w:hAnsi="仿宋_GB2312" w:eastAsia="仿宋_GB2312"/>
          <w:sz w:val="32"/>
        </w:rPr>
        <w:t>6、负责指导本院思想政治工作、教育培训工作；按照权限管理法官及其他人员；协助管理本院法院机构、人员编制工作；主管本院监察职工。</w:t>
      </w:r>
    </w:p>
    <w:p w14:paraId="7BD39E3A">
      <w:pPr>
        <w:spacing w:line="580" w:lineRule="exact"/>
        <w:ind w:firstLine="640"/>
        <w:jc w:val="both"/>
      </w:pPr>
      <w:r>
        <w:rPr>
          <w:rFonts w:ascii="仿宋_GB2312" w:hAnsi="仿宋_GB2312" w:eastAsia="仿宋_GB2312"/>
          <w:sz w:val="32"/>
        </w:rPr>
        <w:t>7、结合审判工作宣传法制，教育公民自觉遵守宪法和法律。</w:t>
      </w:r>
    </w:p>
    <w:p w14:paraId="3B274188">
      <w:pPr>
        <w:spacing w:line="640" w:lineRule="exact"/>
        <w:ind w:firstLine="640"/>
        <w:jc w:val="both"/>
        <w:outlineLvl w:val="2"/>
      </w:pPr>
      <w:r>
        <w:rPr>
          <w:rFonts w:ascii="黑体" w:hAnsi="黑体" w:eastAsia="黑体"/>
          <w:sz w:val="32"/>
        </w:rPr>
        <w:t>二、机构设置及人员情况</w:t>
      </w:r>
    </w:p>
    <w:p w14:paraId="43B67C85">
      <w:pPr>
        <w:spacing w:line="580" w:lineRule="exact"/>
        <w:ind w:firstLine="640"/>
        <w:jc w:val="both"/>
      </w:pPr>
      <w:r>
        <w:rPr>
          <w:rFonts w:ascii="仿宋_GB2312" w:hAnsi="仿宋_GB2312" w:eastAsia="仿宋_GB2312"/>
          <w:sz w:val="32"/>
        </w:rPr>
        <w:t>麦盖提县人民法院2024年度，实有人数85人，其中：在职人员64人，增加4人；离休人员0人，增加0人；退休人员21人,增加0人。</w:t>
      </w:r>
    </w:p>
    <w:p w14:paraId="506892EE">
      <w:pPr>
        <w:spacing w:line="580" w:lineRule="exact"/>
        <w:ind w:firstLine="640"/>
        <w:jc w:val="both"/>
      </w:pPr>
      <w:r>
        <w:rPr>
          <w:rFonts w:ascii="仿宋_GB2312" w:hAnsi="仿宋_GB2312" w:eastAsia="仿宋_GB2312"/>
          <w:sz w:val="32"/>
        </w:rPr>
        <w:t>麦盖提县人民法院无下属预算单位，下设13个科室，分别是：综合办公室 （法警大队）、政治部、审判管理办公室、立案庭、民事审判庭、刑事审判庭、执行局、行政审判庭、吐曼塔勒人民法庭、尕孜库勒人民法院、克孜勒阿瓦提人民法庭、库尔玛人民法庭、审判监督庭。</w:t>
      </w:r>
    </w:p>
    <w:p w14:paraId="283052DB">
      <w:r>
        <w:br w:type="page"/>
      </w:r>
    </w:p>
    <w:p w14:paraId="199C31B1">
      <w:pPr>
        <w:spacing w:line="240" w:lineRule="auto"/>
        <w:jc w:val="center"/>
        <w:outlineLvl w:val="1"/>
      </w:pPr>
      <w:r>
        <w:rPr>
          <w:rFonts w:ascii="黑体" w:hAnsi="黑体" w:eastAsia="黑体"/>
          <w:sz w:val="32"/>
        </w:rPr>
        <w:t>第二部分 部门决算情况说明</w:t>
      </w:r>
    </w:p>
    <w:p w14:paraId="26C3E0CC">
      <w:pPr>
        <w:spacing w:line="640" w:lineRule="exact"/>
        <w:ind w:firstLine="640"/>
        <w:jc w:val="both"/>
        <w:outlineLvl w:val="2"/>
      </w:pPr>
      <w:r>
        <w:rPr>
          <w:rFonts w:ascii="黑体" w:hAnsi="黑体" w:eastAsia="黑体"/>
          <w:sz w:val="32"/>
        </w:rPr>
        <w:t>一、收入支出决算总体情况说明</w:t>
      </w:r>
    </w:p>
    <w:p w14:paraId="002E1FE5">
      <w:pPr>
        <w:spacing w:line="580" w:lineRule="exact"/>
        <w:ind w:firstLine="640"/>
        <w:jc w:val="both"/>
      </w:pPr>
      <w:r>
        <w:rPr>
          <w:rFonts w:ascii="仿宋_GB2312" w:hAnsi="仿宋_GB2312" w:eastAsia="仿宋_GB2312"/>
          <w:b/>
          <w:sz w:val="32"/>
        </w:rPr>
        <w:t>2024年度收入总计2,003.56万元，</w:t>
      </w:r>
      <w:r>
        <w:rPr>
          <w:rFonts w:ascii="仿宋_GB2312" w:hAnsi="仿宋_GB2312" w:eastAsia="仿宋_GB2312"/>
          <w:b w:val="0"/>
          <w:sz w:val="32"/>
        </w:rPr>
        <w:t>其中：本年收入合计1,971.32万元，使用非财政拨款结余（含专用结余）0.00万元，年初结转和结余32.24万元。</w:t>
      </w:r>
    </w:p>
    <w:p w14:paraId="0E972241">
      <w:pPr>
        <w:spacing w:line="580" w:lineRule="exact"/>
        <w:ind w:firstLine="640"/>
        <w:jc w:val="both"/>
      </w:pPr>
      <w:r>
        <w:rPr>
          <w:rFonts w:ascii="仿宋_GB2312" w:hAnsi="仿宋_GB2312" w:eastAsia="仿宋_GB2312"/>
          <w:b/>
          <w:sz w:val="32"/>
        </w:rPr>
        <w:t>2024年度支出总计2,003.56万元，</w:t>
      </w:r>
      <w:r>
        <w:rPr>
          <w:rFonts w:ascii="仿宋_GB2312" w:hAnsi="仿宋_GB2312" w:eastAsia="仿宋_GB2312"/>
          <w:b w:val="0"/>
          <w:sz w:val="32"/>
        </w:rPr>
        <w:t>其中：本年支出合计1,975.67万元，结余分配0.00万元，年末结转和结余27.89万元。</w:t>
      </w:r>
    </w:p>
    <w:p w14:paraId="12BAA8DF">
      <w:pPr>
        <w:spacing w:line="580" w:lineRule="exact"/>
        <w:ind w:firstLine="640"/>
        <w:jc w:val="both"/>
      </w:pPr>
      <w:r>
        <w:rPr>
          <w:rFonts w:ascii="仿宋_GB2312" w:hAnsi="仿宋_GB2312" w:eastAsia="仿宋_GB2312"/>
          <w:b w:val="0"/>
          <w:sz w:val="32"/>
        </w:rPr>
        <w:t>收入支出总体与上年相比，增加42.79万元，增长2.18%，主要原因是：本年在职人员增加，在职人员工资调增、社保、公积金基数调增，人员经费增加。</w:t>
      </w:r>
    </w:p>
    <w:p w14:paraId="7BED0695">
      <w:pPr>
        <w:spacing w:line="640" w:lineRule="exact"/>
        <w:ind w:firstLine="640"/>
        <w:jc w:val="both"/>
        <w:outlineLvl w:val="2"/>
      </w:pPr>
      <w:r>
        <w:rPr>
          <w:rFonts w:ascii="黑体" w:hAnsi="黑体" w:eastAsia="黑体"/>
          <w:sz w:val="32"/>
        </w:rPr>
        <w:t>二、收入决算情况说明</w:t>
      </w:r>
    </w:p>
    <w:p w14:paraId="31BF4589">
      <w:pPr>
        <w:spacing w:line="580" w:lineRule="exact"/>
        <w:ind w:firstLine="640"/>
        <w:jc w:val="both"/>
      </w:pPr>
      <w:r>
        <w:rPr>
          <w:rFonts w:ascii="仿宋_GB2312" w:hAnsi="仿宋_GB2312" w:eastAsia="仿宋_GB2312"/>
          <w:b/>
          <w:sz w:val="32"/>
        </w:rPr>
        <w:t>本年收入1,971.32万元，</w:t>
      </w:r>
      <w:r>
        <w:rPr>
          <w:rFonts w:ascii="仿宋_GB2312" w:hAnsi="仿宋_GB2312" w:eastAsia="仿宋_GB2312"/>
          <w:b w:val="0"/>
          <w:sz w:val="32"/>
        </w:rPr>
        <w:t>其中：财政拨款收入1,971.32万元，占100.00%；上级补助收入0.00万元，占0.00%；事业收入0.00万元，占0.00%；经营收入0.00万元，占0.00%；附属单位上缴收入0.00万元，占0.00%；其他收入0.00万元，占0.00%。</w:t>
      </w:r>
    </w:p>
    <w:p w14:paraId="75836AFB">
      <w:pPr>
        <w:spacing w:line="640" w:lineRule="exact"/>
        <w:ind w:firstLine="640"/>
        <w:jc w:val="both"/>
        <w:outlineLvl w:val="2"/>
      </w:pPr>
      <w:r>
        <w:rPr>
          <w:rFonts w:ascii="黑体" w:hAnsi="黑体" w:eastAsia="黑体"/>
          <w:sz w:val="32"/>
        </w:rPr>
        <w:t>三、支出决算情况说明</w:t>
      </w:r>
    </w:p>
    <w:p w14:paraId="2FAE4C4A">
      <w:pPr>
        <w:spacing w:line="580" w:lineRule="exact"/>
        <w:ind w:firstLine="640"/>
        <w:jc w:val="both"/>
      </w:pPr>
      <w:r>
        <w:rPr>
          <w:rFonts w:ascii="仿宋_GB2312" w:hAnsi="仿宋_GB2312" w:eastAsia="仿宋_GB2312"/>
          <w:b/>
          <w:sz w:val="32"/>
        </w:rPr>
        <w:t>本年支出1,975.67万元，</w:t>
      </w:r>
      <w:r>
        <w:rPr>
          <w:rFonts w:ascii="仿宋_GB2312" w:hAnsi="仿宋_GB2312" w:eastAsia="仿宋_GB2312"/>
          <w:b w:val="0"/>
          <w:sz w:val="32"/>
        </w:rPr>
        <w:t>其中：基本支出1,476.10万元，占74.71%；项目支出499.57万元，占25.29%；上缴上级支出0.00万元，占0.00%；经营支出0.00万元，占0.00%；对附属单位补助支出0.00万元，占0.00%。</w:t>
      </w:r>
    </w:p>
    <w:p w14:paraId="63E19E85">
      <w:pPr>
        <w:spacing w:line="640" w:lineRule="exact"/>
        <w:ind w:firstLine="640"/>
        <w:jc w:val="both"/>
        <w:outlineLvl w:val="2"/>
      </w:pPr>
      <w:r>
        <w:rPr>
          <w:rFonts w:ascii="黑体" w:hAnsi="黑体" w:eastAsia="黑体"/>
          <w:sz w:val="32"/>
        </w:rPr>
        <w:t>四、财政拨款收入支出决算总体情况说明</w:t>
      </w:r>
    </w:p>
    <w:p w14:paraId="33C56005">
      <w:pPr>
        <w:spacing w:line="580" w:lineRule="exact"/>
        <w:ind w:firstLine="640"/>
        <w:jc w:val="both"/>
      </w:pPr>
      <w:r>
        <w:rPr>
          <w:rFonts w:ascii="仿宋_GB2312" w:hAnsi="仿宋_GB2312" w:eastAsia="仿宋_GB2312"/>
          <w:b/>
          <w:sz w:val="32"/>
        </w:rPr>
        <w:t>2024年度财政拨款收入总计1,971.32万元，</w:t>
      </w:r>
      <w:r>
        <w:rPr>
          <w:rFonts w:ascii="仿宋_GB2312" w:hAnsi="仿宋_GB2312" w:eastAsia="仿宋_GB2312"/>
          <w:b w:val="0"/>
          <w:sz w:val="32"/>
        </w:rPr>
        <w:t>其中：年初财政拨款结转和结余0.00万元，本年财政拨款收入1,971.32万元。</w:t>
      </w:r>
      <w:r>
        <w:rPr>
          <w:rFonts w:ascii="仿宋_GB2312" w:hAnsi="仿宋_GB2312" w:eastAsia="仿宋_GB2312"/>
          <w:b/>
          <w:sz w:val="32"/>
        </w:rPr>
        <w:t>财政拨款支出总计1,971.32万元，</w:t>
      </w:r>
      <w:r>
        <w:rPr>
          <w:rFonts w:ascii="仿宋_GB2312" w:hAnsi="仿宋_GB2312" w:eastAsia="仿宋_GB2312"/>
          <w:b w:val="0"/>
          <w:sz w:val="32"/>
        </w:rPr>
        <w:t>其中：年末财政拨款结转和结余0.00万元，本年财政拨款支出1,971.32万元。</w:t>
      </w:r>
    </w:p>
    <w:p w14:paraId="0B01C12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增加52.77万元，增长2.75%，主要原因是：本年在职人员增加，在职人员工资调增、社保、公积金基数调增，人员经费增加。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年初预算数2,068.83万元，决算数1,971.32万元，预决算差异率-4.71%，主要原因是：严格落实中央八项规定精神，厉行节约，减少不必要的开支。</w:t>
      </w:r>
    </w:p>
    <w:p w14:paraId="4C2BA18A">
      <w:pPr>
        <w:spacing w:line="640" w:lineRule="exact"/>
        <w:ind w:firstLine="640"/>
        <w:jc w:val="both"/>
        <w:outlineLvl w:val="2"/>
      </w:pPr>
      <w:r>
        <w:rPr>
          <w:rFonts w:ascii="黑体" w:hAnsi="黑体" w:eastAsia="黑体"/>
          <w:sz w:val="32"/>
        </w:rPr>
        <w:t>五、一般公共预算财政拨款支出决算情况说明</w:t>
      </w:r>
    </w:p>
    <w:p w14:paraId="03AA1FDB">
      <w:pPr>
        <w:spacing w:line="640" w:lineRule="exact"/>
        <w:ind w:firstLine="640"/>
        <w:jc w:val="both"/>
        <w:outlineLvl w:val="3"/>
      </w:pPr>
      <w:r>
        <w:rPr>
          <w:rFonts w:ascii="楷体_GB2312" w:hAnsi="楷体_GB2312" w:eastAsia="楷体_GB2312"/>
          <w:b/>
          <w:sz w:val="32"/>
        </w:rPr>
        <w:t>（一）一般公共预算财政拨款支出决算总体情况</w:t>
      </w:r>
    </w:p>
    <w:p w14:paraId="20B569D0">
      <w:pPr>
        <w:spacing w:line="580" w:lineRule="exact"/>
        <w:ind w:firstLine="640"/>
        <w:jc w:val="both"/>
      </w:pPr>
      <w:r>
        <w:rPr>
          <w:rFonts w:ascii="仿宋_GB2312" w:hAnsi="仿宋_GB2312" w:eastAsia="仿宋_GB2312"/>
          <w:b/>
          <w:sz w:val="32"/>
        </w:rPr>
        <w:t>2024年度一般公共预算财政拨款支出1,971.32万元，</w:t>
      </w:r>
      <w:r>
        <w:rPr>
          <w:rFonts w:ascii="仿宋_GB2312" w:hAnsi="仿宋_GB2312" w:eastAsia="仿宋_GB2312"/>
          <w:b w:val="0"/>
          <w:sz w:val="32"/>
        </w:rPr>
        <w:t>占本年支出合计的99.78%。</w:t>
      </w:r>
      <w:r>
        <w:rPr>
          <w:rFonts w:ascii="仿宋_GB2312" w:hAnsi="仿宋_GB2312" w:eastAsia="仿宋_GB2312"/>
          <w:b/>
          <w:sz w:val="32"/>
        </w:rPr>
        <w:t>与上年相比，</w:t>
      </w:r>
      <w:r>
        <w:rPr>
          <w:rFonts w:ascii="仿宋_GB2312" w:hAnsi="仿宋_GB2312" w:eastAsia="仿宋_GB2312"/>
          <w:b w:val="0"/>
          <w:sz w:val="32"/>
        </w:rPr>
        <w:t>增加52.77万元，增长2.75%，主要原因是：本年在职人员增加，在职人员工资调增、社保、公积金基数调增，人员经费增加。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年初预算数2,068.83万元，决算数1,971.32万元，预决算差异率-4.71%，主要原因是：严格落实中央八项规定精神，厉行节约，减少不必要的开支。</w:t>
      </w:r>
    </w:p>
    <w:p w14:paraId="65E69CB5">
      <w:pPr>
        <w:spacing w:line="640" w:lineRule="exact"/>
        <w:ind w:firstLine="640"/>
        <w:jc w:val="both"/>
        <w:outlineLvl w:val="3"/>
      </w:pPr>
      <w:r>
        <w:rPr>
          <w:rFonts w:ascii="楷体_GB2312" w:hAnsi="楷体_GB2312" w:eastAsia="楷体_GB2312"/>
          <w:b/>
          <w:sz w:val="32"/>
        </w:rPr>
        <w:t>（二）一般公共预算财政拨款支出决算结构情况</w:t>
      </w:r>
    </w:p>
    <w:p w14:paraId="4FDEF949">
      <w:pPr>
        <w:spacing w:line="580" w:lineRule="exact"/>
        <w:ind w:firstLine="640"/>
        <w:jc w:val="both"/>
      </w:pPr>
      <w:r>
        <w:rPr>
          <w:rFonts w:ascii="仿宋_GB2312" w:hAnsi="仿宋_GB2312" w:eastAsia="仿宋_GB2312"/>
          <w:b w:val="0"/>
          <w:sz w:val="32"/>
        </w:rPr>
        <w:t>1.公共安全支出(类)1,663.59万元,占84.39%。</w:t>
      </w:r>
    </w:p>
    <w:p w14:paraId="06066984">
      <w:pPr>
        <w:spacing w:line="580" w:lineRule="exact"/>
        <w:ind w:firstLine="640"/>
        <w:jc w:val="both"/>
      </w:pPr>
      <w:r>
        <w:rPr>
          <w:rFonts w:ascii="仿宋_GB2312" w:hAnsi="仿宋_GB2312" w:eastAsia="仿宋_GB2312"/>
          <w:b w:val="0"/>
          <w:sz w:val="32"/>
        </w:rPr>
        <w:t>2.社会保障和就业支出(类)148.72万元,占7.54%。</w:t>
      </w:r>
    </w:p>
    <w:p w14:paraId="34E5C458">
      <w:pPr>
        <w:spacing w:line="580" w:lineRule="exact"/>
        <w:ind w:firstLine="640"/>
        <w:jc w:val="both"/>
      </w:pPr>
      <w:r>
        <w:rPr>
          <w:rFonts w:ascii="仿宋_GB2312" w:hAnsi="仿宋_GB2312" w:eastAsia="仿宋_GB2312"/>
          <w:b w:val="0"/>
          <w:sz w:val="32"/>
        </w:rPr>
        <w:t>3.卫生健康支出(类)65.01万元,占3.30%。</w:t>
      </w:r>
    </w:p>
    <w:p w14:paraId="1A992AF9">
      <w:pPr>
        <w:spacing w:line="580" w:lineRule="exact"/>
        <w:ind w:firstLine="640"/>
        <w:jc w:val="both"/>
      </w:pPr>
      <w:r>
        <w:rPr>
          <w:rFonts w:ascii="仿宋_GB2312" w:hAnsi="仿宋_GB2312" w:eastAsia="仿宋_GB2312"/>
          <w:b w:val="0"/>
          <w:sz w:val="32"/>
        </w:rPr>
        <w:t>4.住房保障支出(类)94.00万元,占4.77%。</w:t>
      </w:r>
    </w:p>
    <w:p w14:paraId="4F118FC1">
      <w:pPr>
        <w:spacing w:line="640" w:lineRule="exact"/>
        <w:ind w:firstLine="640"/>
        <w:jc w:val="both"/>
        <w:outlineLvl w:val="3"/>
      </w:pPr>
      <w:r>
        <w:rPr>
          <w:rFonts w:ascii="楷体_GB2312" w:hAnsi="楷体_GB2312" w:eastAsia="楷体_GB2312"/>
          <w:b/>
          <w:sz w:val="32"/>
        </w:rPr>
        <w:t>（三）一般公共预算财政拨款支出决算具体情况</w:t>
      </w:r>
    </w:p>
    <w:p w14:paraId="4EDB5FE1">
      <w:pPr>
        <w:spacing w:line="580" w:lineRule="exact"/>
        <w:ind w:firstLine="640"/>
        <w:jc w:val="both"/>
      </w:pPr>
      <w:r>
        <w:rPr>
          <w:rFonts w:ascii="仿宋_GB2312" w:hAnsi="仿宋_GB2312" w:eastAsia="仿宋_GB2312"/>
          <w:b w:val="0"/>
          <w:sz w:val="32"/>
        </w:rPr>
        <w:t>1.公共安全支出(类)法院(款)行政运行(项):支出决算数为1,168.37万元，比上年决算增加7.27万元，增长0.63%,主要原因是：本年新增在职人员，人员经费增加，导致经费较上年有所增加。</w:t>
      </w:r>
    </w:p>
    <w:p w14:paraId="2F24F5DD">
      <w:pPr>
        <w:spacing w:line="580" w:lineRule="exact"/>
        <w:ind w:firstLine="640"/>
        <w:jc w:val="both"/>
      </w:pPr>
      <w:r>
        <w:rPr>
          <w:rFonts w:ascii="仿宋_GB2312" w:hAnsi="仿宋_GB2312" w:eastAsia="仿宋_GB2312"/>
          <w:b w:val="0"/>
          <w:sz w:val="32"/>
        </w:rPr>
        <w:t>2.公共安全支出(类)法院(款)一般行政管理事务(项):支出决算数为135.95万元，比上年决算减少51.29万元，下降27.39%,主要原因是：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司法绩效考核奖励金减少。</w:t>
      </w:r>
    </w:p>
    <w:p w14:paraId="3D03A7A1">
      <w:pPr>
        <w:spacing w:line="580" w:lineRule="exact"/>
        <w:ind w:firstLine="640"/>
        <w:jc w:val="both"/>
      </w:pPr>
      <w:r>
        <w:rPr>
          <w:rFonts w:ascii="仿宋_GB2312" w:hAnsi="仿宋_GB2312" w:eastAsia="仿宋_GB2312"/>
          <w:b w:val="0"/>
          <w:sz w:val="32"/>
        </w:rPr>
        <w:t>3.公共安全支出(类)法院(款)其他法院支出(项):支出决算数为359.27万元，比上年决算增加91.87万元，增长34.36%,主要原因是：本年减少中央政法纪检监察转移支付资金。</w:t>
      </w:r>
    </w:p>
    <w:p w14:paraId="5A21BF6C">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4.社会保障和就业支出(类)行政事业单位养老支出(款)行政单位离退休(项):支出决算数为29.90万元，比上年决算增加5.15万元，增长20.81%,主要原因是：本年增加退休人员基础绩效奖，退休费支出增加。</w:t>
      </w:r>
    </w:p>
    <w:p w14:paraId="08373CDF">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118.82万元，比上年决算增加16.16万元，增长15.74%,主要原因是：本年在职人员增加，养老保险缴费较上年增加。</w:t>
      </w:r>
    </w:p>
    <w:p w14:paraId="037954BC">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0.00万元，比上年决算减少0.87万元，下降100.00%,主要原因是：本年新增退休人员较上年减少，职业年金缴费较上年减少。</w:t>
      </w:r>
    </w:p>
    <w:p w14:paraId="43A2F0C8">
      <w:pPr>
        <w:spacing w:line="580" w:lineRule="exact"/>
        <w:ind w:firstLine="640"/>
        <w:jc w:val="both"/>
      </w:pPr>
      <w:r>
        <w:rPr>
          <w:rFonts w:ascii="仿宋_GB2312" w:hAnsi="仿宋_GB2312" w:eastAsia="仿宋_GB2312"/>
          <w:b w:val="0"/>
          <w:sz w:val="32"/>
        </w:rPr>
        <w:t>7.社会保障和就业支出(类)抚恤(款)死亡抚恤(项):支出决算数为0.00万元，比上年决算减少32.05万元，下降100.00%,主要原因是：本年无新增死亡人员，死亡抚恤支出较上年减少。</w:t>
      </w:r>
    </w:p>
    <w:p w14:paraId="53F66E95">
      <w:pPr>
        <w:spacing w:line="580" w:lineRule="exact"/>
        <w:ind w:firstLine="640"/>
        <w:jc w:val="both"/>
      </w:pPr>
      <w:r>
        <w:rPr>
          <w:rFonts w:ascii="仿宋_GB2312" w:hAnsi="仿宋_GB2312" w:eastAsia="仿宋_GB2312"/>
          <w:b w:val="0"/>
          <w:sz w:val="32"/>
        </w:rPr>
        <w:t>8.卫生健康支出(类)行政事业单位医疗(款)行政单位医疗(项):支出决算数为50.50万元，比上年决算增加6.86万元，增长15.72%,主要原因是：本年在职人员增加，行政单位医疗支出较上年增加。</w:t>
      </w:r>
    </w:p>
    <w:p w14:paraId="12E417C9">
      <w:pPr>
        <w:spacing w:line="580" w:lineRule="exact"/>
        <w:ind w:firstLine="640"/>
        <w:jc w:val="both"/>
      </w:pPr>
      <w:r>
        <w:rPr>
          <w:rFonts w:ascii="仿宋_GB2312" w:hAnsi="仿宋_GB2312" w:eastAsia="仿宋_GB2312"/>
          <w:b w:val="0"/>
          <w:sz w:val="32"/>
        </w:rPr>
        <w:t>9.卫生健康支出(类)行政事业单位医疗(款)公务员医疗补助(项):支出决算数为14.51万元，比上年决算增加1.46万元，增长11.19%,主要原因是：本年在职人员增加，公务员医疗补助较上年增加。</w:t>
      </w:r>
    </w:p>
    <w:p w14:paraId="55A44E36">
      <w:pPr>
        <w:spacing w:line="580" w:lineRule="exact"/>
        <w:ind w:firstLine="640"/>
        <w:jc w:val="both"/>
      </w:pPr>
      <w:r>
        <w:rPr>
          <w:rFonts w:ascii="仿宋_GB2312" w:hAnsi="仿宋_GB2312" w:eastAsia="仿宋_GB2312"/>
          <w:b w:val="0"/>
          <w:sz w:val="32"/>
        </w:rPr>
        <w:t>10.住房保障支出(类)住房改革支出(款)住房公积金(项):支出决算数为94.00万元，比上年决算增加8.20万元，增长9.56%,主要原因是：本年在职人员增加，住房公积金支出较上年增加。</w:t>
      </w:r>
    </w:p>
    <w:p w14:paraId="15BD17BD">
      <w:pPr>
        <w:spacing w:line="640" w:lineRule="exact"/>
        <w:ind w:firstLine="640"/>
        <w:jc w:val="both"/>
        <w:outlineLvl w:val="2"/>
      </w:pPr>
      <w:r>
        <w:rPr>
          <w:rFonts w:ascii="黑体" w:hAnsi="黑体" w:eastAsia="黑体"/>
          <w:sz w:val="32"/>
        </w:rPr>
        <w:t>六、一般公共预算财政拨款基本支出决算情况说明</w:t>
      </w:r>
    </w:p>
    <w:p w14:paraId="122A8D15">
      <w:pPr>
        <w:spacing w:line="580" w:lineRule="exact"/>
        <w:ind w:firstLine="640"/>
        <w:jc w:val="both"/>
      </w:pPr>
      <w:r>
        <w:rPr>
          <w:rFonts w:ascii="仿宋_GB2312" w:hAnsi="仿宋_GB2312" w:eastAsia="仿宋_GB2312"/>
          <w:b w:val="0"/>
          <w:sz w:val="32"/>
        </w:rPr>
        <w:t>2024年度一般公共预算财政拨款基本支出1,476.10万元，其中：</w:t>
      </w:r>
      <w:r>
        <w:rPr>
          <w:rFonts w:ascii="仿宋_GB2312" w:hAnsi="仿宋_GB2312" w:eastAsia="仿宋_GB2312"/>
          <w:b/>
          <w:sz w:val="32"/>
        </w:rPr>
        <w:t>人员经费1,375.26万元，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包括：基本工资、津贴补贴、奖金、机关事业单位基本养老保险缴费、职工基本医疗保险缴费、公务员医疗补助缴费、其他社会保障缴费、住房公积金、其他工资福利支出、退休费、生活补助。</w:t>
      </w:r>
    </w:p>
    <w:p w14:paraId="670EB1A3">
      <w:pPr>
        <w:spacing w:line="580" w:lineRule="exact"/>
        <w:ind w:firstLine="640"/>
        <w:jc w:val="both"/>
      </w:pPr>
      <w:r>
        <w:rPr>
          <w:rFonts w:ascii="仿宋_GB2312" w:hAnsi="仿宋_GB2312" w:eastAsia="仿宋_GB2312"/>
          <w:b/>
          <w:sz w:val="32"/>
        </w:rPr>
        <w:t>公用经费100.83万元，</w:t>
      </w:r>
      <w:r>
        <w:rPr>
          <w:rFonts w:ascii="仿宋_GB2312" w:hAnsi="仿宋_GB2312" w:eastAsia="仿宋_GB2312"/>
          <w:b w:val="0"/>
          <w:sz w:val="32"/>
        </w:rPr>
        <w:t>包括：办公费、咨询费、水费、电费、邮电费、取暖费、物业管理费、租赁费、专用材料费、劳务费、工会经费、公务用车运行维护费、其他商品和服务支出。</w:t>
      </w:r>
    </w:p>
    <w:p w14:paraId="25944257">
      <w:pPr>
        <w:spacing w:line="640" w:lineRule="exact"/>
        <w:ind w:firstLine="640"/>
        <w:jc w:val="both"/>
        <w:outlineLvl w:val="2"/>
      </w:pPr>
      <w:r>
        <w:rPr>
          <w:rFonts w:ascii="黑体" w:hAnsi="黑体" w:eastAsia="黑体"/>
          <w:sz w:val="32"/>
        </w:rPr>
        <w:t>七、政府性基金预算财政拨款收入支出决算情况说明</w:t>
      </w:r>
    </w:p>
    <w:p w14:paraId="443A68C9">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4A1168BF">
      <w:pPr>
        <w:spacing w:line="640" w:lineRule="exact"/>
        <w:ind w:firstLine="640"/>
        <w:jc w:val="both"/>
        <w:outlineLvl w:val="2"/>
      </w:pPr>
      <w:r>
        <w:rPr>
          <w:rFonts w:ascii="黑体" w:hAnsi="黑体" w:eastAsia="黑体"/>
          <w:sz w:val="32"/>
        </w:rPr>
        <w:t>八、国有资本经营预算财政拨款收入支出决算情况说明</w:t>
      </w:r>
    </w:p>
    <w:p w14:paraId="4D1F5EA7">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771486BD">
      <w:pPr>
        <w:spacing w:line="640" w:lineRule="exact"/>
        <w:ind w:firstLine="640"/>
        <w:jc w:val="both"/>
        <w:outlineLvl w:val="2"/>
      </w:pPr>
      <w:r>
        <w:rPr>
          <w:rFonts w:ascii="黑体" w:hAnsi="黑体" w:eastAsia="黑体"/>
          <w:sz w:val="32"/>
        </w:rPr>
        <w:t>九、财政拨款“三公”经费支出决算情况说明</w:t>
      </w:r>
    </w:p>
    <w:p w14:paraId="495B3810">
      <w:pPr>
        <w:spacing w:line="580" w:lineRule="exact"/>
        <w:ind w:firstLine="640"/>
        <w:jc w:val="both"/>
      </w:pPr>
      <w:r>
        <w:rPr>
          <w:rFonts w:ascii="仿宋_GB2312" w:hAnsi="仿宋_GB2312" w:eastAsia="仿宋_GB2312"/>
          <w:b/>
          <w:sz w:val="32"/>
        </w:rPr>
        <w:t>2024年度财政拨款“三公”经费支出31.14万元，</w:t>
      </w:r>
      <w:r>
        <w:rPr>
          <w:rFonts w:ascii="仿宋_GB2312" w:hAnsi="仿宋_GB2312" w:eastAsia="仿宋_GB2312"/>
          <w:b w:val="0"/>
          <w:sz w:val="32"/>
        </w:rPr>
        <w:t>比上年增加3.54万元，增长12.83%，主要原因是：本年因业务需求，用车次数增加，燃油费增加，导致公务用车运行维护费较上年增加。其中：因公出国（境）费支出0.00万元，占0.00%，比上年增加0.00万元，增长0.00%，主要原因是：2023年与2024年均未安排因公出国（境）费支出。公务用车购置及运行维护费支出31.14万元，占100.00%，比上年增加3.54万元，增长12.83%，主要原因是：本年因业务需求，用车次数增加，燃油费增加，导致公务用车运行维护费较上年增加。公务接待费支出0.00万元，占0.00%，比上年增加0.00万元，增长0.00%，主要原因是：2023年与2024年均未安排公务接待费支出。</w:t>
      </w:r>
    </w:p>
    <w:p w14:paraId="5AF3136B">
      <w:pPr>
        <w:spacing w:line="580" w:lineRule="exact"/>
        <w:ind w:firstLine="640"/>
        <w:jc w:val="both"/>
      </w:pPr>
      <w:r>
        <w:rPr>
          <w:rFonts w:ascii="仿宋_GB2312" w:hAnsi="仿宋_GB2312" w:eastAsia="仿宋_GB2312"/>
          <w:b/>
          <w:sz w:val="32"/>
        </w:rPr>
        <w:t>具体情况如下：</w:t>
      </w:r>
    </w:p>
    <w:p w14:paraId="7F8BF6BD">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9D443E3">
      <w:pPr>
        <w:spacing w:line="580" w:lineRule="exact"/>
        <w:ind w:firstLine="640"/>
        <w:jc w:val="both"/>
      </w:pPr>
      <w:r>
        <w:rPr>
          <w:rFonts w:ascii="仿宋_GB2312" w:hAnsi="仿宋_GB2312" w:eastAsia="仿宋_GB2312"/>
          <w:b w:val="0"/>
          <w:sz w:val="32"/>
        </w:rPr>
        <w:t>公务用车购置及运行维护费31.14万元，其中：公务用车购置费0.00万元，公务用车运行维护费31.14万元。公务用车运行维护费开支内容包括车辆加油费、维修费、保险费、审车费、过路费等。公务用车购置数0辆，公务用车保有量14辆。国有资产占用情况中固定资产车辆14辆，与公务用车保有量差异原因是：本部门固定资产车辆与公务用车保有量一致无差异。</w:t>
      </w:r>
    </w:p>
    <w:p w14:paraId="4B0A39A7">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68CB76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31.14万元，决算数31.14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31.14万元，决算数31.14万元，预决算差异率0.00%，主要原因是：严格按照预算执行，预决算无差异。公务接待费全年预算数0.00万元，决算数0.00万元，预决算差异率0.00%，主要原因是：本部门无公务接待费。</w:t>
      </w:r>
    </w:p>
    <w:p w14:paraId="1043E8DF">
      <w:pPr>
        <w:spacing w:line="640" w:lineRule="exact"/>
        <w:ind w:firstLine="640"/>
        <w:jc w:val="both"/>
        <w:outlineLvl w:val="2"/>
      </w:pPr>
      <w:r>
        <w:rPr>
          <w:rFonts w:ascii="黑体" w:hAnsi="黑体" w:eastAsia="黑体"/>
          <w:sz w:val="32"/>
        </w:rPr>
        <w:t>十、其他重要事项的情况说明</w:t>
      </w:r>
    </w:p>
    <w:p w14:paraId="7DFA4A52">
      <w:pPr>
        <w:spacing w:line="640" w:lineRule="exact"/>
        <w:ind w:firstLine="640"/>
        <w:jc w:val="both"/>
        <w:outlineLvl w:val="3"/>
      </w:pPr>
      <w:r>
        <w:rPr>
          <w:rFonts w:ascii="楷体_GB2312" w:hAnsi="楷体_GB2312" w:eastAsia="楷体_GB2312"/>
          <w:b/>
          <w:sz w:val="32"/>
        </w:rPr>
        <w:t>（一）机关运行经费及公用经费支出情况</w:t>
      </w:r>
    </w:p>
    <w:p w14:paraId="15251F25">
      <w:pPr>
        <w:spacing w:line="580" w:lineRule="exact"/>
        <w:ind w:firstLine="640"/>
        <w:jc w:val="both"/>
      </w:pPr>
      <w:r>
        <w:rPr>
          <w:rFonts w:ascii="仿宋_GB2312" w:hAnsi="仿宋_GB2312" w:eastAsia="仿宋_GB2312"/>
          <w:b w:val="0"/>
          <w:sz w:val="32"/>
        </w:rPr>
        <w:t>2024年度麦盖提县人民法院（行政单位和参照公务员法管理事业单位）机关运行经费支出100.83万元，比上年增加10.57万元，增长11.71%，主要原因是：本年业务量增加，公用经费增加。</w:t>
      </w:r>
    </w:p>
    <w:p w14:paraId="0375508C">
      <w:pPr>
        <w:spacing w:line="640" w:lineRule="exact"/>
        <w:ind w:firstLine="640"/>
        <w:jc w:val="both"/>
        <w:outlineLvl w:val="3"/>
      </w:pPr>
      <w:r>
        <w:rPr>
          <w:rFonts w:ascii="楷体_GB2312" w:hAnsi="楷体_GB2312" w:eastAsia="楷体_GB2312"/>
          <w:b/>
          <w:sz w:val="32"/>
        </w:rPr>
        <w:t>（二）政府采购情况</w:t>
      </w:r>
    </w:p>
    <w:p w14:paraId="7C0D65CF">
      <w:pPr>
        <w:spacing w:line="580" w:lineRule="exact"/>
        <w:ind w:firstLine="640"/>
        <w:jc w:val="both"/>
      </w:pPr>
      <w:r>
        <w:rPr>
          <w:rFonts w:ascii="仿宋_GB2312" w:hAnsi="仿宋_GB2312" w:eastAsia="仿宋_GB2312"/>
          <w:b w:val="0"/>
          <w:sz w:val="32"/>
        </w:rPr>
        <w:t>2024年度政府采购支出总额73.13万元，其中：政府采购货物支出43.87万元、政府采购工程支出0.00万元、政府采购服务支出29.26万元。</w:t>
      </w:r>
    </w:p>
    <w:p w14:paraId="5AEE4260">
      <w:pPr>
        <w:spacing w:line="580" w:lineRule="exact"/>
        <w:ind w:firstLine="640"/>
        <w:jc w:val="both"/>
      </w:pPr>
      <w:r>
        <w:rPr>
          <w:rFonts w:ascii="仿宋_GB2312" w:hAnsi="仿宋_GB2312" w:eastAsia="仿宋_GB2312"/>
          <w:b w:val="0"/>
          <w:sz w:val="32"/>
        </w:rPr>
        <w:t>授予中小企业合同金额73.13万元，占政府采购支出总额的100.00%，其中：授予小微企业合同金额73.13万元，占政府采购支出总额的100.00%。</w:t>
      </w:r>
    </w:p>
    <w:p w14:paraId="7B397736">
      <w:pPr>
        <w:spacing w:line="640" w:lineRule="exact"/>
        <w:ind w:firstLine="640"/>
        <w:jc w:val="both"/>
        <w:outlineLvl w:val="3"/>
      </w:pPr>
      <w:r>
        <w:rPr>
          <w:rFonts w:ascii="楷体_GB2312" w:hAnsi="楷体_GB2312" w:eastAsia="楷体_GB2312"/>
          <w:b/>
          <w:sz w:val="32"/>
        </w:rPr>
        <w:t>（三）国有资产占用情况说明</w:t>
      </w:r>
    </w:p>
    <w:p w14:paraId="21338565">
      <w:pPr>
        <w:spacing w:line="580" w:lineRule="exact"/>
        <w:ind w:firstLine="640"/>
        <w:jc w:val="both"/>
      </w:pPr>
      <w:r>
        <w:rPr>
          <w:rFonts w:ascii="仿宋_GB2312" w:hAnsi="仿宋_GB2312" w:eastAsia="仿宋_GB2312"/>
          <w:b w:val="0"/>
          <w:sz w:val="32"/>
        </w:rPr>
        <w:t>截至2024年12月31日，房屋8,783.24平方米，价值1,991.06万元。车辆14辆，价值188.31万元，其中：副部（省）级及以上领导用车0辆、主要负责人用车0辆、机要通信用车0辆、应急保障用车0辆、执法执勤用车14辆、特种专业技术用车0辆、离退休干部服务用车0辆、其他用车0辆，其他用车主要是：本部门无其他用车。单价100万元（含）以上设备（不含车辆）1台（套）。</w:t>
      </w:r>
    </w:p>
    <w:p w14:paraId="14A3A337">
      <w:pPr>
        <w:spacing w:line="640" w:lineRule="exact"/>
        <w:ind w:firstLine="640"/>
        <w:jc w:val="both"/>
        <w:outlineLvl w:val="2"/>
      </w:pPr>
      <w:r>
        <w:rPr>
          <w:rFonts w:ascii="黑体" w:hAnsi="黑体" w:eastAsia="黑体"/>
          <w:sz w:val="32"/>
        </w:rPr>
        <w:t>十一、预算绩效的情况说明</w:t>
      </w:r>
    </w:p>
    <w:p w14:paraId="022CC711">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根据预算绩效管理要求，本部门2024年度预算绩效管理形成整体支出绩效自评表1个，全年预算总额2,048.24万元，实际执行总额1,971.49万元；预算绩效评价项目</w:t>
      </w:r>
      <w:r>
        <w:rPr>
          <w:rFonts w:hint="eastAsia" w:ascii="仿宋_GB2312" w:hAnsi="仿宋_GB2312" w:eastAsia="仿宋_GB2312"/>
          <w:b w:val="0"/>
          <w:sz w:val="32"/>
          <w:lang w:val="en-US" w:eastAsia="zh-CN"/>
        </w:rPr>
        <w:t>13</w:t>
      </w:r>
      <w:r>
        <w:rPr>
          <w:rFonts w:ascii="仿宋_GB2312" w:hAnsi="仿宋_GB2312" w:eastAsia="仿宋_GB2312"/>
          <w:b w:val="0"/>
          <w:sz w:val="32"/>
        </w:rPr>
        <w:t>个，全年预算数</w:t>
      </w:r>
      <w:r>
        <w:rPr>
          <w:rFonts w:hint="eastAsia" w:ascii="仿宋_GB2312" w:hAnsi="仿宋_GB2312" w:eastAsia="仿宋_GB2312"/>
          <w:b w:val="0"/>
          <w:sz w:val="32"/>
        </w:rPr>
        <w:t>572.15</w:t>
      </w:r>
      <w:r>
        <w:rPr>
          <w:rFonts w:ascii="仿宋_GB2312" w:hAnsi="仿宋_GB2312" w:eastAsia="仿宋_GB2312"/>
          <w:b w:val="0"/>
          <w:sz w:val="32"/>
        </w:rPr>
        <w:t>万元，全年执行数</w:t>
      </w:r>
      <w:r>
        <w:rPr>
          <w:rFonts w:hint="eastAsia" w:ascii="仿宋_GB2312" w:hAnsi="仿宋_GB2312" w:eastAsia="仿宋_GB2312"/>
          <w:b w:val="0"/>
          <w:sz w:val="32"/>
        </w:rPr>
        <w:t>495.39</w:t>
      </w:r>
      <w:r>
        <w:rPr>
          <w:rFonts w:ascii="仿宋_GB2312" w:hAnsi="仿宋_GB2312" w:eastAsia="仿宋_GB2312"/>
          <w:b w:val="0"/>
          <w:sz w:val="32"/>
        </w:rPr>
        <w:t>万元。预算绩效管理取得的成效：</w:t>
      </w:r>
      <w:r>
        <w:rPr>
          <w:rFonts w:hint="eastAsia" w:ascii="仿宋_GB2312" w:hAnsi="仿宋_GB2312" w:eastAsia="仿宋_GB2312"/>
          <w:b w:val="0"/>
          <w:sz w:val="32"/>
        </w:rPr>
        <w:t>一是确保资金的高效使用，切实发挥财政资金使用效果；二是严格按照工作职责和相关文件依据，确保专款专用；三是严格控制资金的流出方向，确保资金的合规性</w:t>
      </w:r>
      <w:r>
        <w:rPr>
          <w:rFonts w:ascii="仿宋_GB2312" w:hAnsi="仿宋_GB2312" w:eastAsia="仿宋_GB2312"/>
          <w:b w:val="0"/>
          <w:sz w:val="32"/>
        </w:rPr>
        <w:t>。发现的问题及原因：</w:t>
      </w:r>
      <w:r>
        <w:rPr>
          <w:rFonts w:hint="eastAsia" w:ascii="仿宋_GB2312" w:hAnsi="仿宋_GB2312" w:eastAsia="仿宋_GB2312"/>
          <w:b w:val="0"/>
          <w:sz w:val="32"/>
        </w:rPr>
        <w:t>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w:t>
      </w:r>
      <w:r>
        <w:rPr>
          <w:rFonts w:ascii="仿宋_GB2312" w:hAnsi="仿宋_GB2312" w:eastAsia="仿宋_GB2312"/>
          <w:b w:val="0"/>
          <w:sz w:val="32"/>
        </w:rPr>
        <w:t>。下一步改进措施：</w:t>
      </w:r>
      <w:r>
        <w:rPr>
          <w:rFonts w:hint="eastAsia" w:ascii="仿宋_GB2312" w:hAnsi="仿宋_GB2312" w:eastAsia="仿宋_GB2312"/>
          <w:b w:val="0"/>
          <w:sz w:val="32"/>
        </w:rPr>
        <w:t>一是加强学习，进一步明确如何参照考核体系，科学合理设定绩效目标，充分发挥预算绩效管理工作效用。二是财务上会计核算要更加详细，为本单位各项工作的开展、总结、评估提供有效数据资料支撑,为各项业务工作更好</w:t>
      </w:r>
      <w:r>
        <w:rPr>
          <w:rFonts w:hint="eastAsia" w:ascii="仿宋_GB2312" w:hAnsi="仿宋_GB2312" w:eastAsia="仿宋_GB2312"/>
          <w:b w:val="0"/>
          <w:sz w:val="32"/>
          <w:lang w:eastAsia="zh-CN"/>
        </w:rPr>
        <w:t>地</w:t>
      </w:r>
      <w:r>
        <w:rPr>
          <w:rFonts w:hint="eastAsia" w:ascii="仿宋_GB2312" w:hAnsi="仿宋_GB2312" w:eastAsia="仿宋_GB2312"/>
          <w:b w:val="0"/>
          <w:sz w:val="32"/>
        </w:rPr>
        <w:t>开展提供帮助</w:t>
      </w:r>
      <w:r>
        <w:rPr>
          <w:rFonts w:ascii="仿宋_GB2312" w:hAnsi="仿宋_GB2312" w:eastAsia="仿宋_GB2312"/>
          <w:b w:val="0"/>
          <w:sz w:val="32"/>
        </w:rPr>
        <w:t>。具体附部门整体支出绩效自评表，项目支出绩效自评表。</w:t>
      </w:r>
    </w:p>
    <w:p w14:paraId="30EA022D">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761B1F38">
        <w:tblPrEx>
          <w:tblCellMar>
            <w:top w:w="0" w:type="dxa"/>
            <w:left w:w="108" w:type="dxa"/>
            <w:bottom w:w="0" w:type="dxa"/>
            <w:right w:w="108" w:type="dxa"/>
          </w:tblCellMar>
        </w:tblPrEx>
        <w:tc>
          <w:tcPr>
            <w:tcW w:w="8847" w:type="dxa"/>
            <w:gridSpan w:val="9"/>
            <w:vAlign w:val="center"/>
          </w:tcPr>
          <w:p w14:paraId="5A47DE97">
            <w:pPr>
              <w:jc w:val="center"/>
            </w:pPr>
            <w:r>
              <w:rPr>
                <w:rFonts w:ascii="宋体" w:hAnsi="宋体" w:eastAsia="宋体"/>
                <w:sz w:val="24"/>
              </w:rPr>
              <w:t>部门整体支出绩效自评表</w:t>
            </w:r>
          </w:p>
        </w:tc>
      </w:tr>
      <w:tr w14:paraId="342E03E5">
        <w:tblPrEx>
          <w:tblCellMar>
            <w:top w:w="0" w:type="dxa"/>
            <w:left w:w="108" w:type="dxa"/>
            <w:bottom w:w="0" w:type="dxa"/>
            <w:right w:w="108" w:type="dxa"/>
          </w:tblCellMar>
        </w:tblPrEx>
        <w:tc>
          <w:tcPr>
            <w:tcW w:w="8847" w:type="dxa"/>
            <w:gridSpan w:val="9"/>
            <w:vAlign w:val="center"/>
          </w:tcPr>
          <w:p w14:paraId="475CC761">
            <w:pPr>
              <w:jc w:val="center"/>
            </w:pPr>
            <w:r>
              <w:rPr>
                <w:rFonts w:ascii="宋体" w:hAnsi="宋体" w:eastAsia="宋体"/>
                <w:sz w:val="24"/>
              </w:rPr>
              <w:t>（2024年度）</w:t>
            </w:r>
          </w:p>
        </w:tc>
      </w:tr>
      <w:tr w14:paraId="607A81B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3A4A60">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20DECFB0">
            <w:pPr>
              <w:jc w:val="center"/>
            </w:pPr>
            <w:r>
              <w:rPr>
                <w:rFonts w:ascii="宋体" w:hAnsi="宋体" w:eastAsia="宋体"/>
                <w:sz w:val="16"/>
              </w:rPr>
              <w:t>麦盖提县人民法院</w:t>
            </w:r>
          </w:p>
        </w:tc>
      </w:tr>
      <w:tr w14:paraId="16878AE8">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4083D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12BA7E">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F131FB">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A5C4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225CE9">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9D700D">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9226B">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E96995">
            <w:pPr>
              <w:jc w:val="center"/>
            </w:pPr>
            <w:r>
              <w:rPr>
                <w:rFonts w:ascii="宋体" w:hAnsi="宋体" w:eastAsia="宋体"/>
                <w:sz w:val="16"/>
              </w:rPr>
              <w:t>得分</w:t>
            </w:r>
          </w:p>
        </w:tc>
      </w:tr>
      <w:tr w14:paraId="3AA4F3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38A33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C9C53B">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E6D3A7">
            <w:pPr>
              <w:jc w:val="center"/>
            </w:pPr>
            <w:r>
              <w:rPr>
                <w:rFonts w:ascii="宋体" w:hAnsi="宋体" w:eastAsia="宋体"/>
                <w:sz w:val="16"/>
              </w:rPr>
              <w:t>2,101.07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38B427B">
            <w:pPr>
              <w:jc w:val="center"/>
            </w:pPr>
            <w:r>
              <w:rPr>
                <w:rFonts w:ascii="宋体" w:hAnsi="宋体" w:eastAsia="宋体"/>
                <w:sz w:val="16"/>
              </w:rPr>
              <w:t>2,048.24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387EFA">
            <w:pPr>
              <w:jc w:val="center"/>
            </w:pPr>
            <w:r>
              <w:rPr>
                <w:rFonts w:ascii="宋体" w:hAnsi="宋体" w:eastAsia="宋体"/>
                <w:sz w:val="16"/>
              </w:rPr>
              <w:t>1,971.49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8892E2">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CD8214">
            <w:pPr>
              <w:jc w:val="center"/>
            </w:pPr>
            <w:r>
              <w:rPr>
                <w:rFonts w:ascii="宋体" w:hAnsi="宋体" w:eastAsia="宋体"/>
                <w:sz w:val="16"/>
              </w:rPr>
              <w:t>96.25%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F845FA">
            <w:pPr>
              <w:jc w:val="center"/>
            </w:pPr>
            <w:r>
              <w:rPr>
                <w:rFonts w:ascii="宋体" w:hAnsi="宋体" w:eastAsia="宋体"/>
                <w:sz w:val="16"/>
              </w:rPr>
              <w:t>9.63</w:t>
            </w:r>
          </w:p>
        </w:tc>
      </w:tr>
      <w:tr w14:paraId="556C6F7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E7E4C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4BD485">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F58C98">
            <w:pPr>
              <w:jc w:val="center"/>
            </w:pPr>
            <w:r>
              <w:rPr>
                <w:rFonts w:ascii="宋体" w:hAnsi="宋体" w:eastAsia="宋体"/>
                <w:sz w:val="16"/>
              </w:rPr>
              <w:t>490.45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08CBFF">
            <w:pPr>
              <w:jc w:val="center"/>
            </w:pPr>
            <w:r>
              <w:rPr>
                <w:rFonts w:ascii="宋体" w:hAnsi="宋体" w:eastAsia="宋体"/>
                <w:sz w:val="16"/>
              </w:rPr>
              <w:t>506.49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F688FA">
            <w:pPr>
              <w:jc w:val="center"/>
            </w:pPr>
            <w:r>
              <w:rPr>
                <w:rFonts w:ascii="宋体" w:hAnsi="宋体" w:eastAsia="宋体"/>
                <w:sz w:val="16"/>
              </w:rPr>
              <w:t>465.51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B783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A29C6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35EC8">
            <w:pPr>
              <w:jc w:val="center"/>
            </w:pPr>
            <w:r>
              <w:rPr>
                <w:rFonts w:ascii="宋体" w:hAnsi="宋体" w:eastAsia="宋体"/>
                <w:sz w:val="16"/>
              </w:rPr>
              <w:t>—</w:t>
            </w:r>
          </w:p>
        </w:tc>
      </w:tr>
      <w:tr w14:paraId="4A41DAE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DCE39F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364098">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39B7C3D">
            <w:pPr>
              <w:jc w:val="center"/>
            </w:pPr>
            <w:r>
              <w:rPr>
                <w:rFonts w:ascii="宋体" w:hAnsi="宋体" w:eastAsia="宋体"/>
                <w:sz w:val="16"/>
              </w:rPr>
              <w:t>1,578.38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5664CB">
            <w:pPr>
              <w:jc w:val="center"/>
            </w:pPr>
            <w:r>
              <w:rPr>
                <w:rFonts w:ascii="宋体" w:hAnsi="宋体" w:eastAsia="宋体"/>
                <w:sz w:val="16"/>
              </w:rPr>
              <w:t>1,509.51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01EBEB">
            <w:pPr>
              <w:jc w:val="center"/>
            </w:pPr>
            <w:r>
              <w:rPr>
                <w:rFonts w:ascii="宋体" w:hAnsi="宋体" w:eastAsia="宋体"/>
                <w:sz w:val="16"/>
              </w:rPr>
              <w:t>1,505.81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4C1D5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48FC01">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1DF88A">
            <w:pPr>
              <w:jc w:val="center"/>
            </w:pPr>
            <w:r>
              <w:rPr>
                <w:rFonts w:ascii="宋体" w:hAnsi="宋体" w:eastAsia="宋体"/>
                <w:sz w:val="16"/>
              </w:rPr>
              <w:t>—</w:t>
            </w:r>
          </w:p>
        </w:tc>
      </w:tr>
      <w:tr w14:paraId="7C02B64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CD02A5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920A31">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436266">
            <w:pPr>
              <w:jc w:val="center"/>
            </w:pPr>
            <w:r>
              <w:rPr>
                <w:rFonts w:ascii="宋体" w:hAnsi="宋体" w:eastAsia="宋体"/>
                <w:sz w:val="16"/>
              </w:rPr>
              <w:t>32.24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4DE83">
            <w:pPr>
              <w:jc w:val="center"/>
            </w:pPr>
            <w:r>
              <w:rPr>
                <w:rFonts w:ascii="宋体" w:hAnsi="宋体" w:eastAsia="宋体"/>
                <w:sz w:val="16"/>
              </w:rPr>
              <w:t>32.24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67BD278">
            <w:pPr>
              <w:jc w:val="center"/>
            </w:pPr>
            <w:r>
              <w:rPr>
                <w:rFonts w:ascii="宋体" w:hAnsi="宋体" w:eastAsia="宋体"/>
                <w:sz w:val="16"/>
              </w:rPr>
              <w:t>0.17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1405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04717A">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01F75">
            <w:pPr>
              <w:jc w:val="center"/>
            </w:pPr>
            <w:r>
              <w:rPr>
                <w:rFonts w:ascii="宋体" w:hAnsi="宋体" w:eastAsia="宋体"/>
                <w:sz w:val="16"/>
              </w:rPr>
              <w:t>—</w:t>
            </w:r>
          </w:p>
        </w:tc>
      </w:tr>
      <w:tr w14:paraId="3C08F74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815A63">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C2462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B92AF25">
            <w:pPr>
              <w:jc w:val="center"/>
            </w:pPr>
            <w:r>
              <w:rPr>
                <w:rFonts w:ascii="宋体" w:hAnsi="宋体" w:eastAsia="宋体"/>
                <w:sz w:val="16"/>
              </w:rPr>
              <w:t>实际完成情况</w:t>
            </w:r>
          </w:p>
        </w:tc>
      </w:tr>
      <w:tr w14:paraId="15B2DFC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960035"/>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1AA6346">
            <w:pPr>
              <w:jc w:val="both"/>
            </w:pPr>
            <w:r>
              <w:rPr>
                <w:rFonts w:ascii="宋体" w:hAnsi="宋体" w:eastAsia="宋体"/>
                <w:sz w:val="16"/>
              </w:rPr>
              <w:t xml:space="preserve">2024年我院将推进审判体系和审判能力现代化，计划办理案件6415件，预计依法结案6113件，依法受理网上立案案件数2695件，依法结案率达到95%以上，切实提升审判质效，紧紧围绕“努力让人民群众在每一个司法案件中感受到公平正义”的目标，为保障人民群众的合法权益，持续推进司法为民审判工作，打造忠诚干净担当的过硬法院干部队伍。                                                                                                                                                              </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5F8922F">
            <w:pPr>
              <w:jc w:val="both"/>
            </w:pPr>
            <w:r>
              <w:rPr>
                <w:rFonts w:ascii="宋体" w:hAnsi="宋体" w:eastAsia="宋体"/>
                <w:sz w:val="16"/>
              </w:rPr>
              <w:t>2024年依法审理案件数为6415件，依法审理案件结案数为6113件，依法受理网上立案案件数2695件，依法审理案件结案率为95.28%，按期审结率为95.28%，在推进审判体系和审判能力现代化，切实提升审判质效，并紧紧围绕“努力让人民群众在每一个司法案件中感受到公平正义”的目标，团结奋斗、苦干实干，充分发挥审判职能作用，为美丽叶城建设提供更加坚实有力的司法服务。</w:t>
            </w:r>
          </w:p>
        </w:tc>
      </w:tr>
      <w:tr w14:paraId="4E327B9E">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81D53C">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C59C68">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877E0B">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FBADBF">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73C3CA">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F06E0">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515517">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A6AA03">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5E546B">
            <w:pPr>
              <w:jc w:val="center"/>
            </w:pPr>
            <w:r>
              <w:rPr>
                <w:rFonts w:ascii="宋体" w:hAnsi="宋体" w:eastAsia="宋体"/>
                <w:sz w:val="16"/>
              </w:rPr>
              <w:t>得分</w:t>
            </w:r>
          </w:p>
        </w:tc>
      </w:tr>
      <w:tr w14:paraId="2EE2ED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D5A7EE">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567B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0C98F6">
            <w:pPr>
              <w:jc w:val="center"/>
            </w:pPr>
            <w:r>
              <w:rPr>
                <w:rFonts w:ascii="宋体" w:hAnsi="宋体" w:eastAsia="宋体"/>
                <w:sz w:val="16"/>
              </w:rPr>
              <w:t>依法审理案件数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C7F9D">
            <w:pPr>
              <w:jc w:val="center"/>
            </w:pPr>
            <w:r>
              <w:rPr>
                <w:rFonts w:ascii="宋体" w:hAnsi="宋体" w:eastAsia="宋体"/>
                <w:sz w:val="16"/>
              </w:rPr>
              <w:t>&gt;=6415件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EDF70A">
            <w:pPr>
              <w:jc w:val="center"/>
            </w:pPr>
            <w:r>
              <w:rPr>
                <w:rFonts w:ascii="宋体" w:hAnsi="宋体" w:eastAsia="宋体"/>
                <w:sz w:val="16"/>
              </w:rPr>
              <w:t>《麦盖提县人民法院2023年工作报告》《麦盖提县人民法院2024年工作计划》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FFC9E7">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E01BD1">
            <w:pPr>
              <w:jc w:val="center"/>
            </w:pPr>
            <w:r>
              <w:rPr>
                <w:rFonts w:ascii="宋体" w:hAnsi="宋体" w:eastAsia="宋体"/>
                <w:sz w:val="16"/>
              </w:rPr>
              <w:t>6415件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328842">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7C79D5">
            <w:pPr>
              <w:jc w:val="center"/>
            </w:pPr>
            <w:r>
              <w:rPr>
                <w:rFonts w:ascii="宋体" w:hAnsi="宋体" w:eastAsia="宋体"/>
                <w:sz w:val="16"/>
              </w:rPr>
              <w:t>20</w:t>
            </w:r>
          </w:p>
        </w:tc>
      </w:tr>
      <w:tr w14:paraId="01F749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1CDFFB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FFE106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5FE598">
            <w:pPr>
              <w:jc w:val="center"/>
            </w:pPr>
            <w:r>
              <w:rPr>
                <w:rFonts w:ascii="宋体" w:hAnsi="宋体" w:eastAsia="宋体"/>
                <w:sz w:val="16"/>
              </w:rPr>
              <w:t>依法审理案件结案数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4A295">
            <w:pPr>
              <w:jc w:val="center"/>
            </w:pPr>
            <w:r>
              <w:rPr>
                <w:rFonts w:ascii="宋体" w:hAnsi="宋体" w:eastAsia="宋体"/>
                <w:sz w:val="16"/>
              </w:rPr>
              <w:t>&gt;=6110件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31A176">
            <w:pPr>
              <w:jc w:val="center"/>
            </w:pPr>
            <w:r>
              <w:rPr>
                <w:rFonts w:ascii="宋体" w:hAnsi="宋体" w:eastAsia="宋体"/>
                <w:sz w:val="16"/>
              </w:rPr>
              <w:t>《麦盖提县人民法院2023年工作报告》《麦盖提县人民法院2024年工作计划》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460E75">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796F9D">
            <w:pPr>
              <w:jc w:val="center"/>
            </w:pPr>
            <w:r>
              <w:rPr>
                <w:rFonts w:ascii="宋体" w:hAnsi="宋体" w:eastAsia="宋体"/>
                <w:sz w:val="16"/>
              </w:rPr>
              <w:t>6113件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5441DF">
            <w:pPr>
              <w:jc w:val="center"/>
            </w:pPr>
            <w:r>
              <w:rPr>
                <w:rFonts w:ascii="宋体" w:hAnsi="宋体" w:eastAsia="宋体"/>
                <w:sz w:val="16"/>
              </w:rPr>
              <w:t>100.05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4F606">
            <w:pPr>
              <w:jc w:val="center"/>
            </w:pPr>
            <w:r>
              <w:rPr>
                <w:rFonts w:ascii="宋体" w:hAnsi="宋体" w:eastAsia="宋体"/>
                <w:sz w:val="16"/>
              </w:rPr>
              <w:t>20</w:t>
            </w:r>
          </w:p>
        </w:tc>
      </w:tr>
      <w:tr w14:paraId="008AFDE8">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002049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E2A7D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17662F">
            <w:pPr>
              <w:jc w:val="center"/>
            </w:pPr>
            <w:r>
              <w:rPr>
                <w:rFonts w:ascii="宋体" w:hAnsi="宋体" w:eastAsia="宋体"/>
                <w:sz w:val="16"/>
              </w:rPr>
              <w:t>依法受理网上立案案件数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B5D20">
            <w:pPr>
              <w:jc w:val="center"/>
            </w:pPr>
            <w:r>
              <w:rPr>
                <w:rFonts w:ascii="宋体" w:hAnsi="宋体" w:eastAsia="宋体"/>
                <w:sz w:val="16"/>
              </w:rPr>
              <w:t>&gt;=2695件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84A1CF">
            <w:pPr>
              <w:jc w:val="center"/>
            </w:pPr>
            <w:r>
              <w:rPr>
                <w:rFonts w:ascii="宋体" w:hAnsi="宋体" w:eastAsia="宋体"/>
                <w:sz w:val="16"/>
              </w:rPr>
              <w:t>《麦盖提县人民法院2023年工作报告》《麦盖提县人民法院2024年工作计划》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6BAB4D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169859">
            <w:pPr>
              <w:jc w:val="center"/>
            </w:pPr>
            <w:r>
              <w:rPr>
                <w:rFonts w:ascii="宋体" w:hAnsi="宋体" w:eastAsia="宋体"/>
                <w:sz w:val="16"/>
              </w:rPr>
              <w:t>2695件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A9255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763061">
            <w:pPr>
              <w:jc w:val="center"/>
            </w:pPr>
            <w:r>
              <w:rPr>
                <w:rFonts w:ascii="宋体" w:hAnsi="宋体" w:eastAsia="宋体"/>
                <w:sz w:val="16"/>
              </w:rPr>
              <w:t>20</w:t>
            </w:r>
          </w:p>
        </w:tc>
      </w:tr>
      <w:tr w14:paraId="778AEA2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3B813C2"/>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1AAC97">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844F7B">
            <w:pPr>
              <w:jc w:val="center"/>
            </w:pPr>
            <w:r>
              <w:rPr>
                <w:rFonts w:ascii="宋体" w:hAnsi="宋体" w:eastAsia="宋体"/>
                <w:sz w:val="16"/>
              </w:rPr>
              <w:t>依法审理案件结案率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1BEB3">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3B8535">
            <w:pPr>
              <w:jc w:val="center"/>
            </w:pPr>
            <w:r>
              <w:rPr>
                <w:rFonts w:ascii="宋体" w:hAnsi="宋体" w:eastAsia="宋体"/>
                <w:sz w:val="16"/>
              </w:rPr>
              <w:t>《麦盖提县人民法院2023年工作报告》《麦盖提县人民法院2024年工作计划》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8A96BD">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1BEF46">
            <w:pPr>
              <w:jc w:val="center"/>
            </w:pPr>
            <w:r>
              <w:rPr>
                <w:rFonts w:ascii="宋体" w:hAnsi="宋体" w:eastAsia="宋体"/>
                <w:sz w:val="16"/>
              </w:rPr>
              <w:t>95.28%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283E23">
            <w:pPr>
              <w:jc w:val="center"/>
            </w:pPr>
            <w:r>
              <w:rPr>
                <w:rFonts w:ascii="宋体" w:hAnsi="宋体" w:eastAsia="宋体"/>
                <w:sz w:val="16"/>
              </w:rPr>
              <w:t>100.29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D53564">
            <w:pPr>
              <w:jc w:val="center"/>
            </w:pPr>
            <w:r>
              <w:rPr>
                <w:rFonts w:ascii="宋体" w:hAnsi="宋体" w:eastAsia="宋体"/>
                <w:sz w:val="16"/>
              </w:rPr>
              <w:t>15</w:t>
            </w:r>
          </w:p>
        </w:tc>
      </w:tr>
      <w:tr w14:paraId="42BC9EF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3A18FF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4AC9A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FFD4C">
            <w:pPr>
              <w:jc w:val="center"/>
            </w:pPr>
            <w:r>
              <w:rPr>
                <w:rFonts w:ascii="宋体" w:hAnsi="宋体" w:eastAsia="宋体"/>
                <w:sz w:val="16"/>
              </w:rPr>
              <w:t>按期审结率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6986D7">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F5D900">
            <w:pPr>
              <w:jc w:val="center"/>
            </w:pPr>
            <w:r>
              <w:rPr>
                <w:rFonts w:ascii="宋体" w:hAnsi="宋体" w:eastAsia="宋体"/>
                <w:sz w:val="16"/>
              </w:rPr>
              <w:t>《麦盖提县人民法院2023年工作报告》《麦盖提县人民法院2024年工作计划》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058A87">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AB748">
            <w:pPr>
              <w:jc w:val="center"/>
            </w:pPr>
            <w:r>
              <w:rPr>
                <w:rFonts w:ascii="宋体" w:hAnsi="宋体" w:eastAsia="宋体"/>
                <w:sz w:val="16"/>
              </w:rPr>
              <w:t>95.28%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4FE6957">
            <w:pPr>
              <w:jc w:val="center"/>
            </w:pPr>
            <w:r>
              <w:rPr>
                <w:rFonts w:ascii="宋体" w:hAnsi="宋体" w:eastAsia="宋体"/>
                <w:sz w:val="16"/>
              </w:rPr>
              <w:t>100.29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C8900">
            <w:pPr>
              <w:jc w:val="center"/>
            </w:pPr>
            <w:r>
              <w:rPr>
                <w:rFonts w:ascii="宋体" w:hAnsi="宋体" w:eastAsia="宋体"/>
                <w:sz w:val="16"/>
              </w:rPr>
              <w:t>15</w:t>
            </w:r>
          </w:p>
        </w:tc>
      </w:tr>
    </w:tbl>
    <w:p w14:paraId="25C6EC18">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96"/>
        <w:gridCol w:w="776"/>
        <w:gridCol w:w="625"/>
        <w:gridCol w:w="632"/>
        <w:gridCol w:w="627"/>
        <w:gridCol w:w="625"/>
        <w:gridCol w:w="625"/>
        <w:gridCol w:w="696"/>
        <w:gridCol w:w="632"/>
        <w:gridCol w:w="616"/>
        <w:gridCol w:w="630"/>
      </w:tblGrid>
      <w:tr w14:paraId="0F60E11F">
        <w:tblPrEx>
          <w:tblCellMar>
            <w:top w:w="0" w:type="dxa"/>
            <w:left w:w="108" w:type="dxa"/>
            <w:bottom w:w="0" w:type="dxa"/>
            <w:right w:w="108" w:type="dxa"/>
          </w:tblCellMar>
        </w:tblPrEx>
        <w:tc>
          <w:tcPr>
            <w:tcW w:w="8848" w:type="dxa"/>
            <w:gridSpan w:val="14"/>
            <w:vAlign w:val="center"/>
          </w:tcPr>
          <w:p w14:paraId="24533910">
            <w:pPr>
              <w:jc w:val="center"/>
            </w:pPr>
            <w:r>
              <w:rPr>
                <w:rFonts w:ascii="宋体" w:hAnsi="宋体" w:eastAsia="宋体"/>
                <w:sz w:val="24"/>
              </w:rPr>
              <w:t>项目支出绩效自评表</w:t>
            </w:r>
          </w:p>
        </w:tc>
      </w:tr>
      <w:tr w14:paraId="4B740ABD">
        <w:tblPrEx>
          <w:tblCellMar>
            <w:top w:w="0" w:type="dxa"/>
            <w:left w:w="108" w:type="dxa"/>
            <w:bottom w:w="0" w:type="dxa"/>
            <w:right w:w="108" w:type="dxa"/>
          </w:tblCellMar>
        </w:tblPrEx>
        <w:tc>
          <w:tcPr>
            <w:tcW w:w="8848" w:type="dxa"/>
            <w:gridSpan w:val="14"/>
            <w:vAlign w:val="center"/>
          </w:tcPr>
          <w:p w14:paraId="28E7AFBE">
            <w:pPr>
              <w:jc w:val="center"/>
            </w:pPr>
            <w:r>
              <w:rPr>
                <w:rFonts w:ascii="宋体" w:hAnsi="宋体" w:eastAsia="宋体"/>
                <w:sz w:val="24"/>
              </w:rPr>
              <w:t>(2024年度)</w:t>
            </w:r>
          </w:p>
        </w:tc>
      </w:tr>
      <w:tr w14:paraId="5C48EC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41EBB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8F44AC7">
            <w:pPr>
              <w:jc w:val="center"/>
            </w:pPr>
            <w:r>
              <w:rPr>
                <w:rFonts w:ascii="宋体" w:hAnsi="宋体" w:eastAsia="宋体"/>
                <w:sz w:val="16"/>
              </w:rPr>
              <w:t>综合业务保障项目</w:t>
            </w:r>
          </w:p>
        </w:tc>
      </w:tr>
      <w:tr w14:paraId="17E3418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E5E5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78236FB">
            <w:pPr>
              <w:jc w:val="center"/>
            </w:pPr>
            <w:r>
              <w:rPr>
                <w:rFonts w:ascii="宋体" w:hAnsi="宋体" w:eastAsia="宋体"/>
                <w:sz w:val="16"/>
              </w:rPr>
              <w:t>喀什地区中级人民法院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EFF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091BDA">
            <w:pPr>
              <w:jc w:val="center"/>
            </w:pPr>
            <w:r>
              <w:rPr>
                <w:rFonts w:ascii="宋体" w:hAnsi="宋体" w:eastAsia="宋体"/>
                <w:sz w:val="16"/>
              </w:rPr>
              <w:t>麦盖提县人民法院</w:t>
            </w:r>
          </w:p>
        </w:tc>
      </w:tr>
      <w:tr w14:paraId="0F47AF6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F4F2CD4">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9C1BD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A913B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E0140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5C67A8">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B0F51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D4154">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6EC4A7">
            <w:pPr>
              <w:jc w:val="center"/>
            </w:pPr>
            <w:r>
              <w:rPr>
                <w:rFonts w:ascii="宋体" w:hAnsi="宋体" w:eastAsia="宋体"/>
                <w:sz w:val="16"/>
              </w:rPr>
              <w:t>得分</w:t>
            </w:r>
          </w:p>
        </w:tc>
      </w:tr>
      <w:tr w14:paraId="2FA9C6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026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DF33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9B9AD9">
            <w:pPr>
              <w:jc w:val="center"/>
            </w:pPr>
            <w:r>
              <w:rPr>
                <w:rFonts w:ascii="宋体" w:hAnsi="宋体" w:eastAsia="宋体"/>
                <w:sz w:val="16"/>
              </w:rPr>
              <w:t>42.68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19CA1">
            <w:pPr>
              <w:jc w:val="center"/>
            </w:pPr>
            <w:r>
              <w:rPr>
                <w:rFonts w:ascii="宋体" w:hAnsi="宋体" w:eastAsia="宋体"/>
                <w:sz w:val="16"/>
              </w:rPr>
              <w:t>42.68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915FAE">
            <w:pPr>
              <w:jc w:val="center"/>
            </w:pPr>
            <w:r>
              <w:rPr>
                <w:rFonts w:ascii="宋体" w:hAnsi="宋体" w:eastAsia="宋体"/>
                <w:sz w:val="16"/>
              </w:rPr>
              <w:t>38.98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DD80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43BD2B">
            <w:pPr>
              <w:jc w:val="center"/>
            </w:pPr>
            <w:r>
              <w:rPr>
                <w:rFonts w:ascii="宋体" w:hAnsi="宋体" w:eastAsia="宋体"/>
                <w:sz w:val="16"/>
              </w:rPr>
              <w:t>91.3%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8F8D">
            <w:pPr>
              <w:jc w:val="center"/>
            </w:pPr>
            <w:r>
              <w:rPr>
                <w:rFonts w:ascii="宋体" w:hAnsi="宋体" w:eastAsia="宋体"/>
                <w:sz w:val="16"/>
              </w:rPr>
              <w:t>7.83分</w:t>
            </w:r>
          </w:p>
        </w:tc>
      </w:tr>
      <w:tr w14:paraId="578C3D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E3430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0BE0F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CD51DB">
            <w:pPr>
              <w:jc w:val="center"/>
            </w:pPr>
            <w:r>
              <w:rPr>
                <w:rFonts w:ascii="宋体" w:hAnsi="宋体" w:eastAsia="宋体"/>
                <w:sz w:val="16"/>
              </w:rPr>
              <w:t>42.68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742F88">
            <w:pPr>
              <w:jc w:val="center"/>
            </w:pPr>
            <w:r>
              <w:rPr>
                <w:rFonts w:ascii="宋体" w:hAnsi="宋体" w:eastAsia="宋体"/>
                <w:sz w:val="16"/>
              </w:rPr>
              <w:t>42.68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E1A753">
            <w:pPr>
              <w:jc w:val="center"/>
            </w:pPr>
            <w:r>
              <w:rPr>
                <w:rFonts w:ascii="宋体" w:hAnsi="宋体" w:eastAsia="宋体"/>
                <w:sz w:val="16"/>
              </w:rPr>
              <w:t>38.98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45F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3FD2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56467">
            <w:pPr>
              <w:jc w:val="center"/>
            </w:pPr>
            <w:r>
              <w:rPr>
                <w:rFonts w:ascii="宋体" w:hAnsi="宋体" w:eastAsia="宋体"/>
                <w:sz w:val="16"/>
              </w:rPr>
              <w:t>—</w:t>
            </w:r>
          </w:p>
        </w:tc>
      </w:tr>
      <w:tr w14:paraId="5C2C0E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950F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C0D23">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7C42A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7549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A14F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24F1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583B8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F88D">
            <w:pPr>
              <w:jc w:val="center"/>
            </w:pPr>
            <w:r>
              <w:rPr>
                <w:rFonts w:ascii="宋体" w:hAnsi="宋体" w:eastAsia="宋体"/>
                <w:sz w:val="16"/>
              </w:rPr>
              <w:t>—</w:t>
            </w:r>
          </w:p>
        </w:tc>
      </w:tr>
      <w:tr w14:paraId="2FAB08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1626B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524D31">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429AE4F">
            <w:pPr>
              <w:jc w:val="center"/>
            </w:pPr>
            <w:r>
              <w:rPr>
                <w:rFonts w:ascii="宋体" w:hAnsi="宋体" w:eastAsia="宋体"/>
                <w:sz w:val="16"/>
              </w:rPr>
              <w:t>实际完成情况</w:t>
            </w:r>
          </w:p>
        </w:tc>
      </w:tr>
      <w:tr w14:paraId="5CA39DE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670788"/>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8B21978">
            <w:pPr>
              <w:jc w:val="both"/>
            </w:pPr>
            <w:r>
              <w:rPr>
                <w:rFonts w:ascii="宋体" w:hAnsi="宋体" w:eastAsia="宋体"/>
                <w:sz w:val="16"/>
              </w:rPr>
              <w:t>该项目主要用于办公费、委托业务费、维修费、其他商品和服务支出等，该项目的实施提升我院办案质量及经费使用效益，全面推进各项审判执行工作，努力打造人民满意的司法机关。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F3376F4">
            <w:pPr>
              <w:jc w:val="both"/>
            </w:pPr>
            <w:r>
              <w:rPr>
                <w:rFonts w:hint="eastAsia" w:ascii="宋体" w:hAnsi="宋体"/>
                <w:sz w:val="16"/>
                <w:lang w:eastAsia="zh-CN"/>
              </w:rPr>
              <w:t>截至</w:t>
            </w:r>
            <w:r>
              <w:rPr>
                <w:rFonts w:ascii="宋体" w:hAnsi="宋体" w:eastAsia="宋体"/>
                <w:sz w:val="16"/>
              </w:rPr>
              <w:t>年底，完成办公费、委托业务费、维修费、其他商品和服务支出38.98万元。该项目的实施，主要是为了提高法院办案质量,全面推进我院各项审判工作开展，努力打造人民满意的审判机关,不断发挥审判机关职能，有效提升司法公信力，提升人民群众安全感，提高审判机关履职能力和建设。</w:t>
            </w:r>
          </w:p>
        </w:tc>
      </w:tr>
      <w:tr w14:paraId="0BF246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CEC37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28619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7EDC4">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C5C4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515E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0A7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BBA55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63898">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24864">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3864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DB531">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1F731">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9CDE79">
            <w:pPr>
              <w:jc w:val="center"/>
            </w:pPr>
            <w:r>
              <w:rPr>
                <w:rFonts w:ascii="宋体" w:hAnsi="宋体" w:eastAsia="宋体"/>
                <w:sz w:val="16"/>
              </w:rPr>
              <w:t>偏差原因分析及改进措施</w:t>
            </w:r>
          </w:p>
        </w:tc>
      </w:tr>
      <w:tr w14:paraId="3E5E102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2909C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AA68A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ED3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6A7B1">
            <w:pPr>
              <w:jc w:val="center"/>
            </w:pPr>
            <w:r>
              <w:rPr>
                <w:rFonts w:ascii="宋体" w:hAnsi="宋体" w:eastAsia="宋体"/>
                <w:sz w:val="16"/>
              </w:rPr>
              <w:t>保障人员数（人）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5C414D">
            <w:pPr>
              <w:jc w:val="center"/>
            </w:pPr>
            <w:r>
              <w:rPr>
                <w:rFonts w:ascii="宋体" w:hAnsi="宋体" w:eastAsia="宋体"/>
                <w:sz w:val="16"/>
              </w:rPr>
              <w: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B0F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87F6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977D15">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4530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B5A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A2E47">
            <w:pPr>
              <w:jc w:val="center"/>
            </w:pPr>
            <w:r>
              <w:rPr>
                <w:rFonts w:ascii="宋体" w:hAnsi="宋体" w:eastAsia="宋体"/>
                <w:sz w:val="16"/>
              </w:rPr>
              <w:t>=59人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E0450">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3ED7F9">
            <w:pPr>
              <w:jc w:val="center"/>
            </w:pPr>
          </w:p>
        </w:tc>
      </w:tr>
      <w:tr w14:paraId="344F6F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6DDF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3C67B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4618">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F270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6D5D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FE40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AACD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A2FD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8E24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6D40A">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5BFF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E4ED4">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5A2547">
            <w:pPr>
              <w:jc w:val="center"/>
            </w:pPr>
          </w:p>
        </w:tc>
      </w:tr>
      <w:tr w14:paraId="4DFEDD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9A4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02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8F41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8CD26">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54C61">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EEA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C412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CB3E2">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9663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C7BD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F2809">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F1911B">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5DC281">
            <w:pPr>
              <w:jc w:val="center"/>
            </w:pPr>
          </w:p>
        </w:tc>
      </w:tr>
      <w:tr w14:paraId="1C8D819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5B15B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B6013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B67BB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5355F">
            <w:pPr>
              <w:jc w:val="center"/>
            </w:pPr>
            <w:r>
              <w:rPr>
                <w:rFonts w:ascii="宋体" w:hAnsi="宋体" w:eastAsia="宋体"/>
                <w:sz w:val="16"/>
              </w:rPr>
              <w:t>其他商品和服务支出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E71B79">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D7EFC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5F1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003B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7A2C1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1206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E3BD2F">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A261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9CA69A">
            <w:pPr>
              <w:jc w:val="center"/>
            </w:pPr>
          </w:p>
        </w:tc>
      </w:tr>
      <w:tr w14:paraId="6F78E6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C5DB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A06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539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509E69">
            <w:pPr>
              <w:jc w:val="center"/>
            </w:pPr>
            <w:r>
              <w:rPr>
                <w:rFonts w:ascii="宋体" w:hAnsi="宋体" w:eastAsia="宋体"/>
                <w:sz w:val="16"/>
              </w:rPr>
              <w:t>委托业务费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239CA">
            <w:pPr>
              <w:jc w:val="center"/>
            </w:pPr>
            <w:r>
              <w:rPr>
                <w:rFonts w:ascii="宋体" w:hAnsi="宋体" w:eastAsia="宋体"/>
                <w:sz w:val="16"/>
              </w:rPr>
              <w:t>&lt;=17.70万元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7A9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2B145">
            <w:pPr>
              <w:jc w:val="center"/>
            </w:pPr>
            <w:r>
              <w:rPr>
                <w:rFonts w:ascii="宋体" w:hAnsi="宋体" w:eastAsia="宋体"/>
                <w:sz w:val="16"/>
              </w:rPr>
              <w:t>45.05万元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9782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49C4E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FECF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ABA35F">
            <w:pPr>
              <w:jc w:val="center"/>
            </w:pPr>
            <w:r>
              <w:rPr>
                <w:rFonts w:ascii="宋体" w:hAnsi="宋体" w:eastAsia="宋体"/>
                <w:sz w:val="16"/>
              </w:rPr>
              <w:t>=17.7万元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AC95B">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83013B">
            <w:pPr>
              <w:jc w:val="center"/>
            </w:pPr>
          </w:p>
        </w:tc>
      </w:tr>
      <w:tr w14:paraId="4AD997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42C13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C41F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764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ED5F6">
            <w:pPr>
              <w:jc w:val="center"/>
            </w:pPr>
            <w:r>
              <w:rPr>
                <w:rFonts w:ascii="宋体" w:hAnsi="宋体" w:eastAsia="宋体"/>
                <w:sz w:val="16"/>
              </w:rPr>
              <w:t>维修费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F3A74">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FDB2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F1AEA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2C05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C88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88C3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A1459">
            <w:pPr>
              <w:jc w:val="center"/>
            </w:pPr>
            <w:r>
              <w:rPr>
                <w:rFonts w:ascii="宋体" w:hAnsi="宋体" w:eastAsia="宋体"/>
                <w:sz w:val="16"/>
              </w:rPr>
              <w:t>=0.496万元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B56B6">
            <w:pPr>
              <w:jc w:val="center"/>
            </w:pPr>
            <w:r>
              <w:rPr>
                <w:rFonts w:ascii="宋体" w:hAnsi="宋体" w:eastAsia="宋体"/>
                <w:sz w:val="16"/>
              </w:rPr>
              <w:t>4.9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A3C8A">
            <w:pPr>
              <w:jc w:val="center"/>
            </w:pPr>
            <w:r>
              <w:rPr>
                <w:rFonts w:ascii="宋体" w:hAnsi="宋体" w:eastAsia="宋体"/>
                <w:sz w:val="16"/>
              </w:rPr>
              <w:t>维修部分项目已</w:t>
            </w:r>
            <w:r>
              <w:rPr>
                <w:rFonts w:hint="eastAsia" w:ascii="宋体" w:hAnsi="宋体"/>
                <w:sz w:val="16"/>
                <w:lang w:eastAsia="zh-CN"/>
              </w:rPr>
              <w:t>完成</w:t>
            </w:r>
            <w:r>
              <w:rPr>
                <w:rFonts w:ascii="宋体" w:hAnsi="宋体" w:eastAsia="宋体"/>
                <w:sz w:val="16"/>
              </w:rPr>
              <w:t>现场查看，还未验收合格，无法形成支付，指标设定不够精准，导致该指标出现偏差。改进措施：合理设定绩效指标，更加精准化。</w:t>
            </w:r>
          </w:p>
        </w:tc>
      </w:tr>
      <w:tr w14:paraId="43BFA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215BD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4A259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A74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964FC">
            <w:pPr>
              <w:jc w:val="center"/>
            </w:pPr>
            <w:r>
              <w:rPr>
                <w:rFonts w:ascii="宋体" w:hAnsi="宋体" w:eastAsia="宋体"/>
                <w:sz w:val="16"/>
              </w:rPr>
              <w:t>办公费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69A40">
            <w:pPr>
              <w:jc w:val="center"/>
            </w:pPr>
            <w:r>
              <w:rPr>
                <w:rFonts w:ascii="宋体" w:hAnsi="宋体" w:eastAsia="宋体"/>
                <w:sz w:val="16"/>
              </w:rPr>
              <w:t>&lt;=23.08万元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88F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CE11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68FF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E403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00D0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8D276">
            <w:pPr>
              <w:jc w:val="center"/>
            </w:pPr>
            <w:r>
              <w:rPr>
                <w:rFonts w:ascii="宋体" w:hAnsi="宋体" w:eastAsia="宋体"/>
                <w:sz w:val="16"/>
              </w:rPr>
              <w:t>=19.38万元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D766A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10130E">
            <w:pPr>
              <w:jc w:val="center"/>
            </w:pPr>
            <w:r>
              <w:rPr>
                <w:rFonts w:ascii="宋体" w:hAnsi="宋体" w:eastAsia="宋体"/>
                <w:sz w:val="16"/>
              </w:rPr>
              <w:t>部分办公用品采购计划已制定，但合同相关手续未齐全，无法进行支付</w:t>
            </w:r>
          </w:p>
        </w:tc>
      </w:tr>
      <w:tr w14:paraId="58CD6B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9EAEE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C14ED">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9C1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2F110D">
            <w:pPr>
              <w:jc w:val="center"/>
            </w:pPr>
            <w:r>
              <w:rPr>
                <w:rFonts w:ascii="宋体" w:hAnsi="宋体" w:eastAsia="宋体"/>
                <w:sz w:val="16"/>
              </w:rPr>
              <w:t>提高司法审判工作质量情况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ABF0E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4645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37DE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7DAE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2A3D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54C8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73CB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83CCAB">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EF888">
            <w:pPr>
              <w:jc w:val="center"/>
            </w:pPr>
          </w:p>
        </w:tc>
      </w:tr>
      <w:tr w14:paraId="6828BA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8FDB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D2D91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1C1F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33FAB">
            <w:pPr>
              <w:jc w:val="center"/>
            </w:pPr>
            <w:r>
              <w:rPr>
                <w:rFonts w:ascii="宋体" w:hAnsi="宋体" w:eastAsia="宋体"/>
                <w:sz w:val="16"/>
              </w:rPr>
              <w:t>干警满意度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A971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A46F4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9E3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2D5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7EE2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8CA8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A3893">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830D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2738B">
            <w:pPr>
              <w:jc w:val="center"/>
            </w:pPr>
          </w:p>
        </w:tc>
      </w:tr>
      <w:tr w14:paraId="60ED0CF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6BF72D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BEAAC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B20E4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22CAB">
            <w:pPr>
              <w:jc w:val="center"/>
            </w:pPr>
            <w:r>
              <w:rPr>
                <w:rFonts w:ascii="宋体" w:hAnsi="宋体" w:eastAsia="宋体"/>
                <w:sz w:val="16"/>
              </w:rPr>
              <w:t>95.73分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49D5228"/>
        </w:tc>
      </w:tr>
    </w:tbl>
    <w:p w14:paraId="4A120C57">
      <w:r>
        <w:br w:type="page"/>
      </w:r>
    </w:p>
    <w:p w14:paraId="3C2EB6A9">
      <w:pPr>
        <w:spacing w:line="640" w:lineRule="exact"/>
        <w:ind w:firstLine="640"/>
        <w:jc w:val="both"/>
        <w:outlineLvl w:val="2"/>
      </w:pPr>
      <w:r>
        <w:rPr>
          <w:rFonts w:ascii="黑体" w:hAnsi="黑体" w:eastAsia="黑体"/>
          <w:sz w:val="32"/>
        </w:rPr>
        <w:t>十二、其他需说明的事项</w:t>
      </w:r>
    </w:p>
    <w:p w14:paraId="13BD9F03">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项目12个，全年预算数529.47万元，全年执行数456.41万元。</w:t>
      </w:r>
      <w:bookmarkStart w:id="0" w:name="_GoBack"/>
      <w:bookmarkEnd w:id="0"/>
    </w:p>
    <w:p w14:paraId="1E70E1A4">
      <w:r>
        <w:br w:type="page"/>
      </w:r>
    </w:p>
    <w:p w14:paraId="309BF313">
      <w:pPr>
        <w:spacing w:line="240" w:lineRule="auto"/>
        <w:jc w:val="center"/>
        <w:outlineLvl w:val="1"/>
      </w:pPr>
      <w:r>
        <w:rPr>
          <w:rFonts w:ascii="黑体" w:hAnsi="黑体" w:eastAsia="黑体"/>
          <w:sz w:val="32"/>
        </w:rPr>
        <w:t>第三部分 专业名词解释</w:t>
      </w:r>
    </w:p>
    <w:p w14:paraId="78551D74">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01DAA9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AB5964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A0B8293">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3092F1C">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D15BDE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69369F5">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460FC4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C2206E9">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8139AB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F64C157">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A3C97D9">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24FE5D9F">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E427B7">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564E7BF">
      <w:r>
        <w:br w:type="page"/>
      </w:r>
    </w:p>
    <w:p w14:paraId="5E05CA4D">
      <w:pPr>
        <w:spacing w:line="240" w:lineRule="auto"/>
        <w:jc w:val="center"/>
        <w:outlineLvl w:val="1"/>
      </w:pPr>
      <w:r>
        <w:rPr>
          <w:rFonts w:ascii="黑体" w:hAnsi="黑体" w:eastAsia="黑体"/>
          <w:sz w:val="32"/>
        </w:rPr>
        <w:t>第四部分 部门决算报表（见附表）</w:t>
      </w:r>
    </w:p>
    <w:p w14:paraId="2C3AE155">
      <w:pPr>
        <w:spacing w:line="240" w:lineRule="auto"/>
        <w:ind w:firstLine="640"/>
        <w:jc w:val="both"/>
      </w:pPr>
      <w:r>
        <w:rPr>
          <w:rFonts w:ascii="仿宋_GB2312" w:hAnsi="仿宋_GB2312" w:eastAsia="仿宋_GB2312"/>
          <w:b w:val="0"/>
          <w:sz w:val="32"/>
        </w:rPr>
        <w:t>一、《收入支出决算总表》</w:t>
      </w:r>
    </w:p>
    <w:p w14:paraId="68A30DD8">
      <w:pPr>
        <w:spacing w:line="240" w:lineRule="auto"/>
        <w:ind w:firstLine="640"/>
        <w:jc w:val="both"/>
      </w:pPr>
      <w:r>
        <w:rPr>
          <w:rFonts w:ascii="仿宋_GB2312" w:hAnsi="仿宋_GB2312" w:eastAsia="仿宋_GB2312"/>
          <w:b w:val="0"/>
          <w:sz w:val="32"/>
        </w:rPr>
        <w:t>二、《收入决算表》</w:t>
      </w:r>
    </w:p>
    <w:p w14:paraId="157E5276">
      <w:pPr>
        <w:spacing w:line="240" w:lineRule="auto"/>
        <w:ind w:firstLine="640"/>
        <w:jc w:val="both"/>
      </w:pPr>
      <w:r>
        <w:rPr>
          <w:rFonts w:ascii="仿宋_GB2312" w:hAnsi="仿宋_GB2312" w:eastAsia="仿宋_GB2312"/>
          <w:b w:val="0"/>
          <w:sz w:val="32"/>
        </w:rPr>
        <w:t>三、《支出决算表》</w:t>
      </w:r>
    </w:p>
    <w:p w14:paraId="33E4A91C">
      <w:pPr>
        <w:spacing w:line="240" w:lineRule="auto"/>
        <w:ind w:firstLine="640"/>
        <w:jc w:val="both"/>
      </w:pPr>
      <w:r>
        <w:rPr>
          <w:rFonts w:ascii="仿宋_GB2312" w:hAnsi="仿宋_GB2312" w:eastAsia="仿宋_GB2312"/>
          <w:b w:val="0"/>
          <w:sz w:val="32"/>
        </w:rPr>
        <w:t>四、《财政拨款收入支出决算总表》</w:t>
      </w:r>
    </w:p>
    <w:p w14:paraId="4AAE276E">
      <w:pPr>
        <w:spacing w:line="240" w:lineRule="auto"/>
        <w:ind w:firstLine="640"/>
        <w:jc w:val="both"/>
      </w:pPr>
      <w:r>
        <w:rPr>
          <w:rFonts w:ascii="仿宋_GB2312" w:hAnsi="仿宋_GB2312" w:eastAsia="仿宋_GB2312"/>
          <w:b w:val="0"/>
          <w:sz w:val="32"/>
        </w:rPr>
        <w:t>五、《一般公共预算财政拨款支出决算表》</w:t>
      </w:r>
    </w:p>
    <w:p w14:paraId="5A510C99">
      <w:pPr>
        <w:spacing w:line="240" w:lineRule="auto"/>
        <w:ind w:firstLine="640"/>
        <w:jc w:val="both"/>
      </w:pPr>
      <w:r>
        <w:rPr>
          <w:rFonts w:ascii="仿宋_GB2312" w:hAnsi="仿宋_GB2312" w:eastAsia="仿宋_GB2312"/>
          <w:b w:val="0"/>
          <w:sz w:val="32"/>
        </w:rPr>
        <w:t>六、《一般公共预算财政拨款基本支出决算表》</w:t>
      </w:r>
    </w:p>
    <w:p w14:paraId="0F0104F3">
      <w:pPr>
        <w:spacing w:line="240" w:lineRule="auto"/>
        <w:ind w:firstLine="640"/>
        <w:jc w:val="both"/>
      </w:pPr>
      <w:r>
        <w:rPr>
          <w:rFonts w:ascii="仿宋_GB2312" w:hAnsi="仿宋_GB2312" w:eastAsia="仿宋_GB2312"/>
          <w:b w:val="0"/>
          <w:sz w:val="32"/>
        </w:rPr>
        <w:t>七、《政府性基金预算财政拨款收入支出决算表》</w:t>
      </w:r>
    </w:p>
    <w:p w14:paraId="4B5B808E">
      <w:pPr>
        <w:spacing w:line="240" w:lineRule="auto"/>
        <w:ind w:firstLine="640"/>
        <w:jc w:val="both"/>
      </w:pPr>
      <w:r>
        <w:rPr>
          <w:rFonts w:ascii="仿宋_GB2312" w:hAnsi="仿宋_GB2312" w:eastAsia="仿宋_GB2312"/>
          <w:b w:val="0"/>
          <w:sz w:val="32"/>
        </w:rPr>
        <w:t>八、《国有资本经营预算财政拨款收入支出决算表》</w:t>
      </w:r>
    </w:p>
    <w:p w14:paraId="5DCBF210">
      <w:pPr>
        <w:spacing w:line="240" w:lineRule="auto"/>
        <w:ind w:firstLine="640"/>
        <w:jc w:val="both"/>
      </w:pPr>
      <w:r>
        <w:rPr>
          <w:rFonts w:ascii="仿宋_GB2312" w:hAnsi="仿宋_GB2312" w:eastAsia="仿宋_GB2312"/>
          <w:b w:val="0"/>
          <w:sz w:val="32"/>
        </w:rPr>
        <w:t>九、《财政拨款“三公”经费支出决算表》</w:t>
      </w:r>
    </w:p>
    <w:p w14:paraId="6545ABD2">
      <w:pPr>
        <w:spacing w:line="240" w:lineRule="auto"/>
        <w:ind w:firstLine="640"/>
        <w:jc w:val="both"/>
      </w:pPr>
    </w:p>
    <w:p w14:paraId="7CB18B1F">
      <w:pPr>
        <w:spacing w:line="240" w:lineRule="auto"/>
        <w:ind w:firstLine="640"/>
        <w:jc w:val="both"/>
      </w:pPr>
    </w:p>
    <w:p w14:paraId="6261654E">
      <w:pPr>
        <w:spacing w:line="240" w:lineRule="auto"/>
        <w:ind w:firstLine="640"/>
        <w:jc w:val="both"/>
      </w:pPr>
    </w:p>
    <w:p w14:paraId="1D6C3B39">
      <w:pPr>
        <w:spacing w:line="240" w:lineRule="auto"/>
        <w:ind w:firstLine="640"/>
        <w:jc w:val="both"/>
      </w:pPr>
    </w:p>
    <w:p w14:paraId="252820C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9602839-7D7E-4E91-B1C9-0612063DBB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3FDAFACB-7A31-4189-8A0D-9EA2991FB1D3}"/>
  </w:font>
  <w:font w:name="方正小标宋_GBK">
    <w:panose1 w:val="02000000000000000000"/>
    <w:charset w:val="86"/>
    <w:family w:val="script"/>
    <w:pitch w:val="default"/>
    <w:sig w:usb0="A00002BF" w:usb1="38CF7CFA" w:usb2="00082016" w:usb3="00000000" w:csb0="00040001" w:csb1="00000000"/>
    <w:embedRegular r:id="rId3" w:fontKey="{C51DBC06-3706-4176-AE1D-C0E3A7B592B8}"/>
  </w:font>
  <w:font w:name="楷体_GB2312">
    <w:panose1 w:val="02010609030101010101"/>
    <w:charset w:val="86"/>
    <w:family w:val="auto"/>
    <w:pitch w:val="default"/>
    <w:sig w:usb0="00000001" w:usb1="080E0000" w:usb2="00000000" w:usb3="00000000" w:csb0="00040000" w:csb1="00000000"/>
    <w:embedRegular r:id="rId4" w:fontKey="{B9CC83B3-3117-4021-B5D5-022A645EF62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0A0942"/>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204083"/>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D475930"/>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5462</Words>
  <Characters>6443</Characters>
  <Lines>0</Lines>
  <Paragraphs>0</Paragraphs>
  <TotalTime>2</TotalTime>
  <ScaleCrop>false</ScaleCrop>
  <LinksUpToDate>false</LinksUpToDate>
  <CharactersWithSpaces>6610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2025-09-29T03:28:29Z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