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2018年度新疆维吾尔自治区喀什地区歌舞剧团部门决算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主要职能:喀什地区歌舞剧团是自治区重点艺表团体之一，从事创作演出优秀歌舞剧目，繁荣地区文化艺术事业，承担地区大型活动，负责完成政府接待和三下乡的演出活动任务，面向基层，为广大群众服务，培训地县专业艺术创作表演人才，承担地委，行署下达的各项演出任务，牢牢把握意识形态领域前沿阵地，争取民心，凝聚人心，打好主动仗，传播正能量。2．本部门机构1个财政补助事业单位组成，与上年相比无变动。单位内部设置了6办公室和队伍，1.行政办公室2.话剧队3.舞蹈队4.乐队5.舞美队6.创作办公室等队伍。机构情况，包括当年变动情况及原因。3．我团编制人数150人，2018年年底在职人数123人，退休人员66人，团领导1名，人员情况，无变化。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新疆维吾尔自治区喀什地区歌舞剧团</w:t>
      </w:r>
      <w:r>
        <w:rPr>
          <w:rFonts w:hint="eastAsia" w:ascii="仿宋_GB2312" w:eastAsia="仿宋_GB2312"/>
          <w:sz w:val="32"/>
          <w:szCs w:val="32"/>
        </w:rPr>
        <w:t>部门决算包括：</w:t>
      </w:r>
      <w:r>
        <w:rPr>
          <w:rFonts w:ascii="仿宋_GB2312" w:eastAsia="仿宋_GB2312"/>
          <w:sz w:val="32"/>
          <w:szCs w:val="32"/>
        </w:rPr>
        <w:t>新疆维吾尔自治区喀什地区歌舞剧团</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新疆维吾尔自治区喀什地区歌舞剧团</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auto"/>
                <w:position w:val="-1"/>
                <w:sz w:val="32"/>
                <w:u w:val="none"/>
              </w:rPr>
              <w:t>新疆维吾尔自治区喀什地区歌舞剧团</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2,280.72</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，与上年相比，减少0.18万元，下降0.01%，减少的主要原因是：</w:t>
      </w:r>
      <w:r>
        <w:rPr>
          <w:rFonts w:hint="eastAsia" w:ascii="仿宋_GB2312" w:eastAsia="仿宋_GB2312"/>
          <w:color w:val="000000" w:themeColor="text1"/>
          <w:sz w:val="32"/>
          <w:szCs w:val="32"/>
        </w:rPr>
        <w:t>部分退休人员经费减少（退休死亡；</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2,252.68</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，与上年相比，减少149.18万元，下降6.21%，减少的主要原因是：</w:t>
      </w:r>
      <w:r>
        <w:rPr>
          <w:rFonts w:hint="eastAsia" w:ascii="仿宋_GB2312" w:eastAsia="仿宋_GB2312"/>
          <w:color w:val="000000" w:themeColor="text1"/>
          <w:sz w:val="32"/>
          <w:szCs w:val="32"/>
        </w:rPr>
        <w:t>今年没有新增加的项目支出，我团今年项目资金支出减少率高，加快了资金执行进度；</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268.04</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，与上年相比，增加28.04万元，增长11.68%，增加的主要原因是：</w:t>
      </w:r>
      <w:r>
        <w:rPr>
          <w:rFonts w:ascii="仿宋_GB2312" w:eastAsia="仿宋_GB2312"/>
          <w:color w:val="000000" w:themeColor="text1"/>
          <w:sz w:val="32"/>
          <w:szCs w:val="32"/>
        </w:rPr>
        <w:t>增加一项上级补助收入，上级补助结余。</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2,280.72</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2,238.72</w:t>
      </w:r>
      <w:r>
        <w:rPr>
          <w:rFonts w:hint="eastAsia" w:ascii="仿宋_GB2312" w:eastAsia="仿宋_GB2312"/>
          <w:color w:val="000000" w:themeColor="text1"/>
          <w:sz w:val="32"/>
          <w:szCs w:val="32"/>
        </w:rPr>
        <w:t>万元，占</w:t>
      </w:r>
      <w:r>
        <w:rPr>
          <w:rFonts w:hint="eastAsia" w:ascii="仿宋_GB2312" w:eastAsia="仿宋_GB2312"/>
          <w:sz w:val="32"/>
          <w:szCs w:val="32"/>
        </w:rPr>
        <w:t>98.16%</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42</w:t>
      </w:r>
      <w:r>
        <w:rPr>
          <w:rFonts w:hint="eastAsia" w:ascii="仿宋_GB2312" w:eastAsia="仿宋_GB2312"/>
          <w:color w:val="000000" w:themeColor="text1"/>
          <w:sz w:val="32"/>
          <w:szCs w:val="32"/>
        </w:rPr>
        <w:t>万元，占</w:t>
      </w:r>
      <w:r>
        <w:rPr>
          <w:rFonts w:hint="eastAsia" w:ascii="仿宋_GB2312" w:eastAsia="仿宋_GB2312"/>
          <w:sz w:val="32"/>
          <w:szCs w:val="32"/>
        </w:rPr>
        <w:t>1.84%</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况：本年收入年初预算数1,856.2万元</w:t>
      </w:r>
      <w:r>
        <w:rPr>
          <w:rFonts w:hint="eastAsia" w:ascii="仿宋_GB2312" w:eastAsia="仿宋_GB2312"/>
          <w:sz w:val="32"/>
          <w:szCs w:val="32"/>
        </w:rPr>
        <w:t>，决算数2,280.72万元</w:t>
      </w:r>
      <w:r>
        <w:rPr>
          <w:rFonts w:ascii="仿宋_GB2312" w:eastAsia="仿宋_GB2312"/>
          <w:sz w:val="32"/>
          <w:szCs w:val="32"/>
        </w:rPr>
        <w:t>，预决算差异率22.87%，差异主要原因是:增加了职工普升工资和艰苦边远津贴，增加了上级补助收入,年中做追加了。</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2,252.68</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1,873.93</w:t>
      </w:r>
      <w:r>
        <w:rPr>
          <w:rFonts w:hint="eastAsia" w:ascii="仿宋_GB2312" w:eastAsia="仿宋_GB2312"/>
          <w:color w:val="000000" w:themeColor="text1"/>
          <w:sz w:val="32"/>
          <w:szCs w:val="32"/>
        </w:rPr>
        <w:t>万元，占</w:t>
      </w:r>
      <w:r>
        <w:rPr>
          <w:rFonts w:hint="eastAsia" w:ascii="仿宋_GB2312" w:eastAsia="仿宋_GB2312"/>
          <w:sz w:val="32"/>
          <w:szCs w:val="32"/>
        </w:rPr>
        <w:t>83.19%</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378.75</w:t>
      </w:r>
      <w:r>
        <w:rPr>
          <w:rFonts w:hint="eastAsia" w:ascii="仿宋_GB2312" w:eastAsia="仿宋_GB2312"/>
          <w:color w:val="000000" w:themeColor="text1"/>
          <w:sz w:val="32"/>
          <w:szCs w:val="32"/>
        </w:rPr>
        <w:t>万元，占</w:t>
      </w:r>
      <w:r>
        <w:rPr>
          <w:rFonts w:hint="eastAsia" w:ascii="仿宋_GB2312" w:eastAsia="仿宋_GB2312"/>
          <w:sz w:val="32"/>
          <w:szCs w:val="32"/>
        </w:rPr>
        <w:t>16.81%</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highlight w:val="none"/>
        </w:rPr>
      </w:pPr>
      <w:bookmarkStart w:id="22" w:name="OLE_LINK56"/>
      <w:r>
        <w:rPr>
          <w:rFonts w:hint="eastAsia" w:ascii="仿宋_GB2312" w:eastAsia="仿宋_GB2312"/>
          <w:color w:val="000000" w:themeColor="text1"/>
          <w:sz w:val="32"/>
          <w:szCs w:val="32"/>
        </w:rPr>
        <w:t>与年初预算数相比情况：本年支出年初预算数2,501.41万元，</w:t>
      </w:r>
      <w:r>
        <w:rPr>
          <w:rFonts w:hint="eastAsia" w:ascii="仿宋_GB2312" w:eastAsia="仿宋_GB2312"/>
          <w:sz w:val="32"/>
          <w:szCs w:val="32"/>
        </w:rPr>
        <w:t>决算数2,252.68万元</w:t>
      </w:r>
      <w:r>
        <w:rPr>
          <w:rFonts w:ascii="仿宋_GB2312" w:eastAsia="仿宋_GB2312"/>
          <w:sz w:val="32"/>
          <w:szCs w:val="32"/>
        </w:rPr>
        <w:t>，预决算差异率-9.94%，差异主要原因是:</w:t>
      </w:r>
      <w:r>
        <w:rPr>
          <w:rFonts w:hint="eastAsia" w:ascii="仿宋_GB2312" w:eastAsia="仿宋_GB2312"/>
          <w:color w:val="000000" w:themeColor="text1"/>
          <w:sz w:val="32"/>
          <w:szCs w:val="32"/>
          <w:highlight w:val="none"/>
        </w:rPr>
        <w:t>部分项目资金收回，部分项目资金结转继续使用</w:t>
      </w:r>
      <w:r>
        <w:rPr>
          <w:rFonts w:ascii="仿宋_GB2312" w:eastAsia="仿宋_GB2312"/>
          <w:sz w:val="32"/>
          <w:szCs w:val="32"/>
          <w:highlight w:val="none"/>
        </w:rPr>
        <w:t>。</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bookmarkStart w:id="92" w:name="_GoBack"/>
      <w:bookmarkEnd w:id="92"/>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8"/>
      <w:bookmarkStart w:id="24" w:name="OLE_LINK57"/>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2,238.72</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，与上年相比，增加167.67万元，增长8.1%，增加的主要原因是：增加了职工普升工资和艰苦边远津贴，增加了政府性基金收入。</w:t>
      </w:r>
      <w:bookmarkEnd w:id="23"/>
      <w:bookmarkEnd w:id="24"/>
      <w:bookmarkStart w:id="26" w:name="OLE_LINK14"/>
      <w:bookmarkStart w:id="27" w:name="OLE_LINK59"/>
      <w:bookmarkStart w:id="28" w:name="OLE_LINK60"/>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2,238.72</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，与上年相比，增加148.4万元，增长7.1%，增加的主要原因是：</w:t>
      </w:r>
      <w:r>
        <w:rPr>
          <w:rFonts w:ascii="仿宋_GB2312" w:eastAsia="仿宋_GB2312"/>
          <w:sz w:val="32"/>
          <w:szCs w:val="32"/>
        </w:rPr>
        <w:t>增加了职工普升工资和艰苦边远津贴，增加了政府性基金收入。</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1,873.93</w:t>
      </w:r>
      <w:r>
        <w:rPr>
          <w:rFonts w:hint="eastAsia" w:ascii="仿宋_GB2312" w:eastAsia="仿宋_GB2312"/>
          <w:color w:val="000000" w:themeColor="text1"/>
          <w:sz w:val="32"/>
          <w:szCs w:val="32"/>
        </w:rPr>
        <w:t>万元，项目支出</w:t>
      </w:r>
      <w:r>
        <w:rPr>
          <w:rFonts w:hint="eastAsia" w:ascii="仿宋_GB2312" w:eastAsia="仿宋_GB2312"/>
          <w:sz w:val="32"/>
          <w:szCs w:val="32"/>
        </w:rPr>
        <w:t>364.79</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，与上年相比，增加0万元，增长0%，主要原因是：基本支出今年主要增加了职工普升工资和艰苦边远津贴，今年单位加快了项目资金进度，财政拨款资金今年没有结转结余资金。</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1,856.2</w:t>
      </w:r>
      <w:r>
        <w:rPr>
          <w:rFonts w:hint="eastAsia" w:ascii="仿宋_GB2312" w:eastAsia="仿宋_GB2312"/>
          <w:color w:val="000000" w:themeColor="text1"/>
          <w:sz w:val="32"/>
          <w:szCs w:val="32"/>
        </w:rPr>
        <w:t>万元，决算数</w:t>
      </w:r>
      <w:r>
        <w:rPr>
          <w:rFonts w:hint="eastAsia" w:ascii="仿宋_GB2312" w:eastAsia="仿宋_GB2312"/>
          <w:sz w:val="32"/>
          <w:szCs w:val="32"/>
        </w:rPr>
        <w:t>2,238.72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，预决算差异率20.61%，差异主要原因是:有调资，今年主要增加了职工普升工资和艰苦边远津贴，今年增加了财政拨的政府性基金收入。</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2,261.41</w:t>
      </w:r>
      <w:r>
        <w:rPr>
          <w:rFonts w:hint="eastAsia" w:ascii="仿宋_GB2312" w:eastAsia="仿宋_GB2312"/>
          <w:color w:val="000000" w:themeColor="text1"/>
          <w:sz w:val="32"/>
          <w:szCs w:val="32"/>
        </w:rPr>
        <w:t>万元，决算数</w:t>
      </w:r>
      <w:r>
        <w:rPr>
          <w:rFonts w:hint="eastAsia" w:ascii="仿宋_GB2312" w:eastAsia="仿宋_GB2312"/>
          <w:sz w:val="32"/>
          <w:szCs w:val="32"/>
        </w:rPr>
        <w:t>2,238.72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，预决算差异率-1%，差异主要原因是:年底部分项目指标根据财政要求已调减。</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2,189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，与上年相比，增加117.95万元，增长5.7%，增加的主要原因是：调资，今年主要增加了职工普升工资和艰苦边远津贴。</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2,189</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，与上年相比，增加98.68万元，增长4.72%，增加的主要原因是：增加了职工普升工资和艰苦边远津贴等人员经费，新增人员年中做了相关追加。</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住房保障支出112.97万元,教育支出7.8万元,文化体育与传媒支出1,769.73万元,其他支出55.32万元,社会保障和就业支出243.17万元。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工资福利支出1,771.1万元,对个人和家庭的补助97.75万元。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1,826.48</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2,189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，预决算差异率19.85%，差异主要原因是:增加了职工普升工资和艰苦边远津贴等人员经费，另外增加了政府性基金收入。</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2,231.69</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2,189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，预决算差异率-1.91%，差异主要原因是:年底部分项目指标根据财政要求已调减，另外退休人员经费年中调减少。</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49.71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，与上年相比，增加49.71万元，增长100%，增加的主要原因是：</w:t>
      </w:r>
      <w:r>
        <w:rPr>
          <w:rFonts w:hint="eastAsia" w:ascii="仿宋_GB2312" w:eastAsia="仿宋_GB2312"/>
          <w:sz w:val="32"/>
          <w:szCs w:val="32"/>
          <w:lang w:val="en-US" w:eastAsia="zh-CN"/>
        </w:rPr>
        <w:t>2017年</w:t>
      </w:r>
      <w:r>
        <w:rPr>
          <w:rFonts w:hint="eastAsia" w:ascii="仿宋_GB2312" w:eastAsia="仿宋_GB2312"/>
          <w:sz w:val="32"/>
          <w:szCs w:val="32"/>
        </w:rPr>
        <w:t>无政府性基金收入</w:t>
      </w:r>
      <w:r>
        <w:rPr>
          <w:rFonts w:hint="eastAsia" w:ascii="仿宋_GB2312" w:eastAsia="仿宋_GB2312"/>
          <w:sz w:val="32"/>
          <w:szCs w:val="32"/>
          <w:lang w:eastAsia="zh-CN"/>
        </w:rPr>
        <w:t>，</w:t>
      </w:r>
      <w:r>
        <w:rPr>
          <w:rFonts w:hint="eastAsia" w:ascii="仿宋_GB2312" w:eastAsia="仿宋_GB2312"/>
          <w:sz w:val="32"/>
          <w:szCs w:val="32"/>
          <w:lang w:val="en-US" w:eastAsia="zh-CN"/>
        </w:rPr>
        <w:t>2018年增加</w:t>
      </w:r>
      <w:r>
        <w:rPr>
          <w:rFonts w:hint="eastAsia" w:ascii="仿宋_GB2312" w:eastAsia="仿宋_GB2312"/>
          <w:color w:val="000000" w:themeColor="text1"/>
          <w:sz w:val="32"/>
          <w:szCs w:val="32"/>
        </w:rPr>
        <w:t>政府性基金预算财政拨款收入</w:t>
      </w:r>
      <w:r>
        <w:rPr>
          <w:rFonts w:hint="eastAsia" w:ascii="仿宋_GB2312" w:eastAsia="仿宋_GB2312"/>
          <w:sz w:val="32"/>
          <w:szCs w:val="32"/>
        </w:rPr>
        <w:t>。</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49.71</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，与上年相比，增加49.71万元，增长100%，增加的主要原因是：</w:t>
      </w:r>
      <w:r>
        <w:rPr>
          <w:rFonts w:hint="eastAsia" w:ascii="仿宋_GB2312" w:eastAsia="仿宋_GB2312"/>
          <w:sz w:val="32"/>
          <w:szCs w:val="32"/>
          <w:lang w:val="en-US" w:eastAsia="zh-CN"/>
        </w:rPr>
        <w:t>2017年</w:t>
      </w:r>
      <w:r>
        <w:rPr>
          <w:rFonts w:hint="eastAsia" w:ascii="仿宋_GB2312" w:eastAsia="仿宋_GB2312"/>
          <w:sz w:val="32"/>
          <w:szCs w:val="32"/>
        </w:rPr>
        <w:t>无政府性基金收入</w:t>
      </w:r>
      <w:r>
        <w:rPr>
          <w:rFonts w:hint="eastAsia" w:ascii="仿宋_GB2312" w:eastAsia="仿宋_GB2312"/>
          <w:sz w:val="32"/>
          <w:szCs w:val="32"/>
          <w:lang w:eastAsia="zh-CN"/>
        </w:rPr>
        <w:t>，</w:t>
      </w:r>
      <w:r>
        <w:rPr>
          <w:rFonts w:hint="eastAsia" w:ascii="仿宋_GB2312" w:eastAsia="仿宋_GB2312"/>
          <w:sz w:val="32"/>
          <w:szCs w:val="32"/>
          <w:lang w:val="en-US" w:eastAsia="zh-CN"/>
        </w:rPr>
        <w:t>2018年增加</w:t>
      </w:r>
      <w:r>
        <w:rPr>
          <w:rFonts w:hint="eastAsia" w:ascii="仿宋_GB2312" w:eastAsia="仿宋_GB2312"/>
          <w:color w:val="000000" w:themeColor="text1"/>
          <w:sz w:val="32"/>
          <w:szCs w:val="32"/>
        </w:rPr>
        <w:t>政府性基金预算财政拨款收入</w:t>
      </w:r>
      <w:r>
        <w:rPr>
          <w:rFonts w:hint="eastAsia" w:ascii="仿宋_GB2312" w:eastAsia="仿宋_GB2312"/>
          <w:sz w:val="32"/>
          <w:szCs w:val="32"/>
        </w:rPr>
        <w:t>。</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，其他支出49.71万元。按经济分类科目（按类级科目公开），商品和服务支出49.71万元。</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与年初预算数相比情况：政府性基金预算财政拨款收入年初预算数29.71万元，决算数</w:t>
      </w:r>
      <w:r>
        <w:rPr>
          <w:rFonts w:ascii="仿宋_GB2312" w:eastAsia="仿宋_GB2312"/>
          <w:color w:val="000000" w:themeColor="text1"/>
          <w:sz w:val="32"/>
          <w:szCs w:val="32"/>
        </w:rPr>
        <w:t>49.71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，预决算差异率67.32%，差异主要原因是:无政府性基金收入。</w:t>
      </w:r>
      <w:bookmarkEnd w:id="49"/>
      <w:bookmarkEnd w:id="50"/>
      <w:bookmarkStart w:id="51" w:name="OLE_LINK73"/>
      <w:r>
        <w:rPr>
          <w:rFonts w:hint="eastAsia" w:ascii="仿宋_GB2312" w:eastAsia="仿宋_GB2312"/>
          <w:color w:val="000000" w:themeColor="text1"/>
          <w:sz w:val="32"/>
          <w:szCs w:val="32"/>
        </w:rPr>
        <w:t>政府性基金预算财政拨款支出年初预算数29.71万元，决算数</w:t>
      </w:r>
      <w:r>
        <w:rPr>
          <w:rFonts w:ascii="仿宋_GB2312" w:eastAsia="仿宋_GB2312"/>
          <w:color w:val="000000" w:themeColor="text1"/>
          <w:sz w:val="32"/>
          <w:szCs w:val="32"/>
        </w:rPr>
        <w:t>49.71</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，预决算差异率67.32%，差异主要原因是:无政府性基金支出。</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6"/>
      <w:bookmarkStart w:id="53" w:name="OLE_LINK25"/>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268.04</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。与上年相比，增加28.04万元，增长11.68%</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7"/>
      <w:bookmarkStart w:id="55" w:name="OLE_LINK28"/>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，与上年相比，减少2.16万元，下降100%，减少的主要原因是：2018年公务用车运行费未单独列入三公经费支出预算中，从项目预算中支出。</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0%，与上年相比，增加0万元，增长0%，主要原因是：无变化；</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0%，与上年相比，减少2.16万元，下降100%，减少的主要原因是：2018年公务用车运行费从项目中支出；</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0%，与上年相比，增加0万元，增长0%，主要原因是：无变化。</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79"/>
      <w:bookmarkStart w:id="66" w:name="OLE_LINK80"/>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新疆维吾尔自治区喀什地区歌舞剧团</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4"/>
      <w:bookmarkStart w:id="69" w:name="OLE_LINK35"/>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无此项开支。</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1"/>
      <w:bookmarkStart w:id="76"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无公务用车</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0</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无公务接待费</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新疆维吾尔自治区喀什地区歌舞剧团</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，预决算差异率0%，差异主要原因是:无变化。</w:t>
      </w:r>
      <w:bookmarkEnd w:id="80"/>
      <w:bookmarkStart w:id="81" w:name="OLE_LINK87"/>
      <w:bookmarkStart w:id="82" w:name="OLE_LINK86"/>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，预决算差异率0%，差异主要原因是:无变化；</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，预决算差异率0%，差异主要原因是:无变化；</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，预决算差异率0%，差异主要原因是:无变化；</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ascii="仿宋_GB2312" w:eastAsia="仿宋_GB2312"/>
          <w:color w:val="000000" w:themeColor="text1"/>
          <w:sz w:val="32"/>
          <w:szCs w:val="32"/>
        </w:rPr>
        <w:t>无变化。</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新疆维吾尔自治区喀什地区歌舞剧团日常公用经费5.08万元，与上年相比，减少21.72万元，下降81.04%，减少的主要原因是：厉行节约，压缩相关支出。</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135.9</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135.34</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0.56</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3</w:t>
      </w:r>
      <w:r>
        <w:rPr>
          <w:rFonts w:hint="eastAsia" w:ascii="仿宋_GB2312" w:eastAsia="仿宋_GB2312"/>
          <w:color w:val="000000" w:themeColor="text1"/>
          <w:sz w:val="32"/>
          <w:szCs w:val="32"/>
        </w:rPr>
        <w:t>辆，价值</w:t>
      </w:r>
      <w:r>
        <w:rPr>
          <w:rFonts w:hint="eastAsia" w:ascii="仿宋_GB2312" w:eastAsia="仿宋_GB2312"/>
          <w:sz w:val="32"/>
          <w:szCs w:val="32"/>
        </w:rPr>
        <w:t>81.1</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3</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一般公务用车；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单位本年纳入绩效管理的项目资金共计6项。3个项目预算执行率为100%，一个项目预算执行率为13.33%，一个项目预算执行率为70.81%，这两项结余已年底做了项目资金调减，其余一个项目资金算执行率为33.24%，结转下年补充日常工作所需。</w:t>
      </w:r>
    </w:p>
    <w:p>
      <w:pPr>
        <w:spacing w:line="540" w:lineRule="exact"/>
        <w:ind w:left="-1" w:right="-1" w:firstLine="646"/>
        <w:jc w:val="left"/>
      </w:pPr>
      <w:r>
        <w:rPr>
          <w:rFonts w:ascii="仿宋_GB2312" w:hAnsi="仿宋_GB2312" w:eastAsia="仿宋_GB2312" w:cs="仿宋_GB2312"/>
          <w:b w:val="0"/>
          <w:color w:val="auto"/>
          <w:sz w:val="32"/>
          <w:u w:val="none"/>
        </w:rPr>
        <w:t>1、文化厅惠民演出补助项目绩效自评综述：根据年初设定的绩效目标，该项目绩效自评得分为70.96分。项目全年预算数为42万元，执行数为13.96万元，完成预算的33.24%。主要产出和效果：文化厅惠民演出补助支出项目预算安排总额为42万元，其中财政资金0万元，其他资金42万元，2018年实际支付其他资金13.96万元， 剩余28.04万元,预算执行率33.23%. 经济性：利用现有的资金优势，把资金用到需要之处提高了项目的经济效益，根据成本指标范围内执行任务，完成了目标任务。效率性：创作丰富多彩的剧节目为民服务。效益性：营造安定祥和的节日氛围，宣传贯彻落实十九大精神。发现的问题及原因：2018年本项目绩效目标全部未完成目标，原因是在2018年度其他任务多等原因,未完成目标。下一步改进措施： 在2019年度，利用资金优势，完成此类项目任务。</w:t>
      </w:r>
    </w:p>
    <w:p>
      <w:pPr>
        <w:spacing w:line="540" w:lineRule="exact"/>
        <w:ind w:left="-1" w:right="-1" w:firstLine="646"/>
        <w:jc w:val="left"/>
      </w:pPr>
      <w:r>
        <w:rPr>
          <w:rFonts w:ascii="仿宋_GB2312" w:hAnsi="仿宋_GB2312" w:eastAsia="仿宋_GB2312" w:cs="仿宋_GB2312"/>
          <w:b w:val="0"/>
          <w:color w:val="auto"/>
          <w:sz w:val="32"/>
          <w:u w:val="none"/>
        </w:rPr>
        <w:t>2、17-18年活动补助支出项目绩效自评综述：根据年初设定的绩效目标，该项目绩效自评得分为68.01分。项目全年预算数为49.38万元，执行数为49.38万元，完成预算的100%。主要产出和效果：根据新财教【2017】101号文件关于下达2018年度歌舞剧团经费项目、金额为49.38万元.本项目实际支付资金49.38万元，预算执行率100%。项目资金主要用于演出差费15.26万元，演出活动专用材料和道具购置费28.55万元，车辆 5.57万元。经济性：主要根据项目实际情况和项目经济效益设置的指标进行综合分析，主要包括项目成本控制情况和项目成本节约情况。效率性：实际用了本项目资金49.38万元，于此同时在宣传农村文化发展活动中起了很好的作用。效益性：逐步提高了农民群众文化知识。发现的问题及原因：2018年本项目绩效目标已完成目标,不存在未完成原因分析。下一步改进措施： 在2019年申请此类项目资金，完成此类项目任务。</w:t>
      </w:r>
    </w:p>
    <w:p>
      <w:pPr>
        <w:spacing w:line="540" w:lineRule="exact"/>
        <w:ind w:left="-1" w:right="-1" w:firstLine="646"/>
        <w:jc w:val="left"/>
      </w:pPr>
      <w:r>
        <w:rPr>
          <w:rFonts w:ascii="仿宋_GB2312" w:hAnsi="仿宋_GB2312" w:eastAsia="仿宋_GB2312" w:cs="仿宋_GB2312"/>
          <w:b w:val="0"/>
          <w:color w:val="auto"/>
          <w:sz w:val="32"/>
          <w:u w:val="none"/>
        </w:rPr>
        <w:t>3、政府购买演出补助支出项目绩效自评综述：根据年初设定的绩效目标，该项目绩效自评得分为85分。项目全年预算数为20.77万元，执行数为20.77万元，完成预算的100%。主要产出和效果：根据新财教【2017】145号文件，喀地【2017】40号文件关于下达2018年度歌舞剧团政府购买演出项目、金额为20.77万元.本项目实际支付1.演员差旅费9.97万元，预算执行率100%，专用材料购置费6.46万元，预算执行率100%，车辆费用4.34万元，预算执行率100%。  经济性：该项目根据成本控制为准，创作良好演艺节目，达到了任务目标。效率性：及时完成了本项目。效益性：用各种演艺形式，丰富了农民生活。发现的问题及原因：2018年本项目绩效目标全部完成，不存在未完成原因分析。下一步改进措施： 将在2019年申请此类项目资金，完成上级安排的此类项目任务。</w:t>
      </w:r>
    </w:p>
    <w:p>
      <w:pPr>
        <w:spacing w:line="540" w:lineRule="exact"/>
        <w:ind w:left="-1" w:right="-1" w:firstLine="646"/>
        <w:jc w:val="left"/>
      </w:pPr>
      <w:r>
        <w:rPr>
          <w:rFonts w:ascii="仿宋_GB2312" w:hAnsi="仿宋_GB2312" w:eastAsia="仿宋_GB2312" w:cs="仿宋_GB2312"/>
          <w:b w:val="0"/>
          <w:color w:val="auto"/>
          <w:sz w:val="32"/>
          <w:u w:val="none"/>
        </w:rPr>
        <w:t>4、2018年度春节晚会补助项目绩效自评综述：根据年初设定的绩效目标，该项目绩效自评得分为81分。项目全年预算数为49.71万元，执行数为49.71万元，完成预算的100%。主要产出和效果：本项目实际支付资金49.71万元，预算执行率100%。春节晚会项目主要用于支出春节晚会外请人员和演员差旅费劳务费27.53万元，支出服装道具购置材料费16.94万元，支出租赁费4.65万元，支出维修维护费0.59万元。经济性：利用现有的资金优势，把资金用到需要之处提高了项目的经济效益，根据成本指标范围内执行任务，完成了目标任务。效率性：创作丰富多彩的剧节目为民服务。效益性：营造安定祥和的节日氛围，宣传贯彻落实十九大精神。发现的问题及原因：2018年本项目绩效目标全部完成目标，不存在未完成原因分析。下一步改进措施： 该项目将在2019年申请此类项目资金，完成此类项目任务。</w:t>
      </w:r>
    </w:p>
    <w:p>
      <w:pPr>
        <w:spacing w:line="540" w:lineRule="exact"/>
        <w:ind w:left="-1" w:right="-1" w:firstLine="646"/>
        <w:jc w:val="left"/>
      </w:pPr>
      <w:r>
        <w:rPr>
          <w:rFonts w:ascii="仿宋_GB2312" w:hAnsi="仿宋_GB2312" w:eastAsia="仿宋_GB2312" w:cs="仿宋_GB2312"/>
          <w:b w:val="0"/>
          <w:color w:val="auto"/>
          <w:sz w:val="32"/>
          <w:u w:val="none"/>
        </w:rPr>
        <w:t>5、舞台服装音箱灯光购置项目绩效自评综述：根据年初设定的绩效目标，该项目绩效自评得分为85.28分。项目全年预算数为343.08万元，执行数为242.92万元，完成预算的70.81%。主要产出和效果：根据新财教【2016】237号文件和新财教【2017】236号文件我团在2018年度做了中央补助地方文化服务体系建设资金项目预算，由财政局安排批复，项目金额为343.08万元.2018年实际收到预算资金242.92万元。预算执行率71%。该项目主要用于1.演员差旅费3.2万元，2.专用设备购置费210.90万元，3.创作新剧目27.60万元，车辆维修维护费1.65万元等支出。经济性：利用现有的资金优势，把资金用到需要之处提高了项目的经济效益，根据成本指标范围内执行任务，基本完成了目标任务。效率性：改善舞台条件为人民服务。效益性：为单位舞台实施提供了良好基础。发现的问题及原因：2018年本项目绩效目标基本大成目标，因自治区文化厅另安排演出任务人手不够等原因未完成部分目标，剩余资金已做了2019年度项目预算。现有的场地较小。下一步改进措施： 不定期对项目进度情况进行督导检查，对检查过程中发现的问题及时督促整改，确保项目按时保质完成.。</w:t>
      </w:r>
    </w:p>
    <w:p>
      <w:pPr>
        <w:spacing w:line="540" w:lineRule="exact"/>
        <w:ind w:left="-1" w:right="-1" w:firstLine="646"/>
        <w:jc w:val="left"/>
      </w:pPr>
      <w:r>
        <w:rPr>
          <w:rFonts w:ascii="仿宋_GB2312" w:hAnsi="仿宋_GB2312" w:eastAsia="仿宋_GB2312" w:cs="仿宋_GB2312"/>
          <w:b w:val="0"/>
          <w:color w:val="auto"/>
          <w:sz w:val="32"/>
          <w:u w:val="none"/>
        </w:rPr>
        <w:t>6、工作补助支出项目绩效自评综述：根据年初设定的绩效目标，该项目绩效自评得分为67.43分。项目全年预算数为15万元，执行数为15万元，完成预算的100%。主要产出和效果：经济性：主要根据项目实际情况和项目经济效益设置的指标进行综合分析，主要包括项目成本控制情况和项目成本节约情况。效率性：主要通过对比分析项目的实施进度和完成质量。效益性：为点提供良好工作平台和以演出形式提高群众文化知识。发现的问题及原因：2018年本项目绩效目标未完成目标，原因是自治区文化厅另安排演出任务。没把握时间安排，人手不够的原因未完成任务目标。下一步改进措施： 在以后的工作中合理安排各项演出任务时间，促进各项演出任务的顺利完成程度。</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229（类）60（款）10（项）指：用于文化事业的彩票公益金支出。221（类）02（款）01（项）指：住房公积金。205（类）02（款）01（项）指：学前教育。207（类）99（款）99（项）指：其他文化体育与传媒支出。207（类）01（款）07（项）指：艺术表演团体。229（类）99（款）01（项）指：其他支出。208（类）05（款）06（项）指：机关事业单位职业年金缴费支出。207（类）01（款）08（项）指：文化活动。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oNotDisplayPageBoundaries w:val="1"/>
  <w:bordersDoNotSurroundHeader w:val="1"/>
  <w:bordersDoNotSurroundFooter w:val="1"/>
  <w:documentProtection w:edit="comments" w:enforcement="1" w:cryptProviderType="rsaFull" w:cryptAlgorithmClass="hash" w:cryptAlgorithmType="typeAny" w:cryptAlgorithmSid="4" w:cryptSpinCount="0" w:hash="UqqNY97XenflGLmwKyXQ4EePdRs=" w:salt="Fa1AcZgoX4J56OfrfA03Ag=="/>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5A"/>
    <w:rsid w:val="001C26F2"/>
    <w:rsid w:val="001C38EB"/>
    <w:rsid w:val="001C40B2"/>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2FA4"/>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1E58"/>
    <w:rsid w:val="00592D42"/>
    <w:rsid w:val="005A5B02"/>
    <w:rsid w:val="005B3245"/>
    <w:rsid w:val="005B6754"/>
    <w:rsid w:val="005B75C0"/>
    <w:rsid w:val="005C3143"/>
    <w:rsid w:val="005D311B"/>
    <w:rsid w:val="005D61D8"/>
    <w:rsid w:val="005E011D"/>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67D4E"/>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24A4B"/>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467C6"/>
    <w:rsid w:val="00A55F77"/>
    <w:rsid w:val="00A72457"/>
    <w:rsid w:val="00A86966"/>
    <w:rsid w:val="00A872D8"/>
    <w:rsid w:val="00A912CC"/>
    <w:rsid w:val="00A970D1"/>
    <w:rsid w:val="00AA57AE"/>
    <w:rsid w:val="00AB0AFB"/>
    <w:rsid w:val="00AC002C"/>
    <w:rsid w:val="00AC1DD9"/>
    <w:rsid w:val="00AC4218"/>
    <w:rsid w:val="00AD13C4"/>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76C9B"/>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36A8D"/>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3D56"/>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E063C64"/>
    <w:rsid w:val="0F4C7B96"/>
    <w:rsid w:val="0FFB575E"/>
    <w:rsid w:val="10845F1B"/>
    <w:rsid w:val="10B77121"/>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AB173D1"/>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45225"/>
    <w:rsid w:val="532D7A17"/>
    <w:rsid w:val="54AF4562"/>
    <w:rsid w:val="54C030FA"/>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A701E23"/>
    <w:rsid w:val="6B2E5CB6"/>
    <w:rsid w:val="6B3D4886"/>
    <w:rsid w:val="6DF8675E"/>
    <w:rsid w:val="6EA80098"/>
    <w:rsid w:val="6F8D70FF"/>
    <w:rsid w:val="6FFE5011"/>
    <w:rsid w:val="7178734D"/>
    <w:rsid w:val="71791096"/>
    <w:rsid w:val="717B0C34"/>
    <w:rsid w:val="71FB78FD"/>
    <w:rsid w:val="7275064A"/>
    <w:rsid w:val="733F750B"/>
    <w:rsid w:val="735702E2"/>
    <w:rsid w:val="73F77D69"/>
    <w:rsid w:val="765F635A"/>
    <w:rsid w:val="76B73454"/>
    <w:rsid w:val="76D254BD"/>
    <w:rsid w:val="77727ACD"/>
    <w:rsid w:val="78071142"/>
    <w:rsid w:val="79274510"/>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6559</Characters>
  <Lines>54</Lines>
  <Paragraphs>15</Paragraphs>
  <TotalTime>1</TotalTime>
  <ScaleCrop>false</ScaleCrop>
  <LinksUpToDate>false</LinksUpToDate>
  <CharactersWithSpaces>7694</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2020-04-03T15:47:39Z</dcterms:modified>
  <cp:revision>815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