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bookmarkStart w:id="1" w:name="_GoBack"/>
      <w:bookmarkEnd w:id="1"/>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r>
        <w:rPr>
          <w:rFonts w:hint="eastAsia" w:ascii="华文中宋" w:hAnsi="华文中宋" w:eastAsia="华文中宋" w:cs="宋体"/>
          <w:b/>
          <w:kern w:val="0"/>
          <w:sz w:val="52"/>
          <w:szCs w:val="52"/>
        </w:rPr>
        <w:t>新疆财政支出绩效自评报告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项目名称：政府购买演出补助</w:t>
      </w:r>
      <w:r>
        <w:rPr>
          <w:rFonts w:hint="eastAsia" w:hAnsi="宋体" w:eastAsia="仿宋_GB2312" w:cs="宋体"/>
          <w:kern w:val="0"/>
          <w:sz w:val="36"/>
          <w:szCs w:val="36"/>
          <w:lang w:eastAsia="zh-CN"/>
        </w:rPr>
        <w:t>支出</w:t>
      </w:r>
      <w:r>
        <w:rPr>
          <w:rFonts w:hint="eastAsia" w:hAnsi="宋体" w:eastAsia="仿宋_GB2312" w:cs="宋体"/>
          <w:kern w:val="0"/>
          <w:sz w:val="36"/>
          <w:szCs w:val="36"/>
        </w:rPr>
        <w:t>项目</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实施单位（公章）：新疆维吾尔自治区喀什地区歌舞剧团</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自治区主管部门（公章）：</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w:t>
      </w:r>
      <w:r>
        <w:rPr>
          <w:rFonts w:hint="eastAsia" w:hAnsi="宋体" w:eastAsia="仿宋_GB2312" w:cs="宋体"/>
          <w:kern w:val="0"/>
          <w:sz w:val="36"/>
          <w:szCs w:val="36"/>
          <w:lang w:eastAsia="zh-CN"/>
        </w:rPr>
        <w:t>鬲岚</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填报时间：2018 年 12 月25日</w:t>
      </w:r>
    </w:p>
    <w:p>
      <w:pPr>
        <w:adjustRightInd w:val="0"/>
        <w:snapToGrid w:val="0"/>
        <w:spacing w:line="560" w:lineRule="exact"/>
        <w:ind w:firstLine="723" w:firstLineChars="200"/>
        <w:jc w:val="center"/>
        <w:rPr>
          <w:rFonts w:ascii="黑体" w:hAnsi="黑体" w:eastAsia="黑体" w:cs="宋体"/>
          <w:b/>
          <w:kern w:val="0"/>
          <w:sz w:val="36"/>
          <w:szCs w:val="36"/>
        </w:rPr>
        <w:sectPr>
          <w:footerReference r:id="rId3" w:type="default"/>
          <w:pgSz w:w="11906" w:h="16838"/>
          <w:pgMar w:top="1440" w:right="1800" w:bottom="1440" w:left="1800" w:header="851" w:footer="992" w:gutter="0"/>
          <w:cols w:space="425" w:num="1"/>
          <w:docGrid w:type="lines" w:linePitch="312" w:charSpace="0"/>
        </w:sectPr>
      </w:pP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新疆维吾尔自治区喀什地区歌舞剧团为全额拨款差额预算管理事业单位、主要负责创作演出优秀民族歌舞剧目，繁荣喀什地区文化事业，承担地区大型活动、政府接待和《三下乡》演出任务面向基层为广大群众服务、宣传好</w:t>
      </w:r>
      <w:r>
        <w:rPr>
          <w:rStyle w:val="19"/>
          <w:rFonts w:hint="eastAsia" w:ascii="仿宋" w:hAnsi="仿宋" w:eastAsia="仿宋"/>
          <w:b w:val="0"/>
          <w:spacing w:val="-4"/>
          <w:sz w:val="32"/>
          <w:szCs w:val="32"/>
          <w:lang w:eastAsia="zh-CN"/>
        </w:rPr>
        <w:t>党的路线</w:t>
      </w:r>
      <w:r>
        <w:rPr>
          <w:rStyle w:val="19"/>
          <w:rFonts w:hint="eastAsia" w:ascii="仿宋" w:hAnsi="仿宋" w:eastAsia="仿宋"/>
          <w:b w:val="0"/>
          <w:spacing w:val="-4"/>
          <w:sz w:val="32"/>
          <w:szCs w:val="32"/>
        </w:rPr>
        <w:t>、方针、政策、做好惠民演出任务争取民心，打好主动仗，传播正能量的单位。</w:t>
      </w:r>
    </w:p>
    <w:p>
      <w:pPr>
        <w:adjustRightInd w:val="0"/>
        <w:snapToGrid w:val="0"/>
        <w:spacing w:line="56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560" w:lineRule="exact"/>
        <w:ind w:firstLine="624" w:firstLineChars="200"/>
        <w:rPr>
          <w:rFonts w:ascii="仿宋" w:hAnsi="仿宋" w:eastAsia="仿宋"/>
          <w:bCs/>
          <w:spacing w:val="-4"/>
          <w:sz w:val="32"/>
          <w:szCs w:val="32"/>
        </w:rPr>
      </w:pPr>
      <w:bookmarkStart w:id="0" w:name="_Toc405279309"/>
      <w:r>
        <w:rPr>
          <w:rFonts w:hint="eastAsia" w:ascii="仿宋" w:hAnsi="仿宋" w:eastAsia="仿宋"/>
          <w:bCs/>
          <w:spacing w:val="-4"/>
          <w:sz w:val="32"/>
          <w:szCs w:val="32"/>
        </w:rPr>
        <w:t>根据新财教【2017】145号文件，喀地【2017】40号文件关于下达2018年度歌舞剧团政府购买演出项目、金额为20.77万元、该项目是用于三下乡演出活动项目，融合多元化的文艺表演形式，创作出被农民群众接受的节目，突出反映农民群众的幸福生活，为加大乡村文化发展程度而设立了此项目。</w:t>
      </w:r>
      <w:bookmarkEnd w:id="0"/>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本项目性质为延续性项目。</w:t>
      </w:r>
    </w:p>
    <w:p>
      <w:pPr>
        <w:adjustRightInd w:val="0"/>
        <w:snapToGrid w:val="0"/>
        <w:spacing w:line="56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主要用于去各各县乡文艺下乡活动演出，为此以各种演出活动形式来丰富农民群众现实生活，提高农民群众文化意识。</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adjustRightInd w:val="0"/>
        <w:snapToGrid w:val="0"/>
        <w:spacing w:line="560" w:lineRule="exact"/>
        <w:ind w:firstLine="640" w:firstLineChars="200"/>
        <w:rPr>
          <w:rFonts w:ascii="仿宋" w:hAnsi="仿宋" w:eastAsia="仿宋"/>
          <w:bCs/>
          <w:spacing w:val="-4"/>
          <w:sz w:val="32"/>
          <w:szCs w:val="32"/>
        </w:rPr>
      </w:pPr>
      <w:r>
        <w:rPr>
          <w:rFonts w:hint="eastAsia" w:ascii="仿宋" w:hAnsi="仿宋" w:eastAsia="仿宋"/>
          <w:sz w:val="32"/>
          <w:szCs w:val="32"/>
        </w:rPr>
        <w:t>政府购买演出</w:t>
      </w:r>
      <w:r>
        <w:rPr>
          <w:rFonts w:hint="eastAsia" w:ascii="仿宋" w:hAnsi="仿宋" w:eastAsia="仿宋"/>
          <w:bCs/>
          <w:spacing w:val="-4"/>
          <w:sz w:val="32"/>
          <w:szCs w:val="32"/>
        </w:rPr>
        <w:t>项目预算安排总额为20.77万元，其中财政资金20.77万元，2018年实际收到预算资金20.77万元。</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本项目实际支付1.演员差旅费9.97万元，预算执行率100</w:t>
      </w:r>
      <w:r>
        <w:rPr>
          <w:rFonts w:ascii="仿宋" w:hAnsi="仿宋" w:eastAsia="仿宋"/>
          <w:bCs/>
          <w:spacing w:val="-4"/>
          <w:sz w:val="32"/>
          <w:szCs w:val="32"/>
        </w:rPr>
        <w:t>%</w:t>
      </w:r>
      <w:r>
        <w:rPr>
          <w:rFonts w:hint="eastAsia" w:ascii="仿宋" w:hAnsi="仿宋" w:eastAsia="仿宋"/>
          <w:bCs/>
          <w:spacing w:val="-4"/>
          <w:sz w:val="32"/>
          <w:szCs w:val="32"/>
        </w:rPr>
        <w:t>，专用材料购置费6.46万元，预算执行率100</w:t>
      </w:r>
      <w:r>
        <w:rPr>
          <w:rFonts w:ascii="仿宋" w:hAnsi="仿宋" w:eastAsia="仿宋"/>
          <w:bCs/>
          <w:spacing w:val="-4"/>
          <w:sz w:val="32"/>
          <w:szCs w:val="32"/>
        </w:rPr>
        <w:t>%</w:t>
      </w:r>
      <w:r>
        <w:rPr>
          <w:rFonts w:hint="eastAsia" w:ascii="仿宋" w:hAnsi="仿宋" w:eastAsia="仿宋"/>
          <w:bCs/>
          <w:spacing w:val="-4"/>
          <w:sz w:val="32"/>
          <w:szCs w:val="32"/>
        </w:rPr>
        <w:t>，车辆费用4.34万元，预算执行率100</w:t>
      </w:r>
      <w:r>
        <w:rPr>
          <w:rFonts w:ascii="仿宋" w:hAnsi="仿宋" w:eastAsia="仿宋"/>
          <w:bCs/>
          <w:spacing w:val="-4"/>
          <w:sz w:val="32"/>
          <w:szCs w:val="32"/>
        </w:rPr>
        <w:t>%</w:t>
      </w:r>
      <w:r>
        <w:rPr>
          <w:rFonts w:hint="eastAsia" w:ascii="仿宋" w:hAnsi="仿宋" w:eastAsia="仿宋"/>
          <w:bCs/>
          <w:spacing w:val="-4"/>
          <w:sz w:val="32"/>
          <w:szCs w:val="32"/>
        </w:rPr>
        <w:t>。</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本项目支出符合喀什地区歌舞剧团相关财务管理制度，包括会计人员集中核算工作管理制度、该项目的拨付有完整的审批程序和手续不存在挤占挪用等情况。</w:t>
      </w:r>
    </w:p>
    <w:p>
      <w:pPr>
        <w:adjustRightInd w:val="0"/>
        <w:snapToGrid w:val="0"/>
        <w:spacing w:line="560" w:lineRule="exact"/>
        <w:ind w:firstLine="624" w:firstLineChars="200"/>
        <w:rPr>
          <w:rStyle w:val="19"/>
          <w:rFonts w:ascii="仿宋" w:hAnsi="仿宋" w:eastAsia="仿宋"/>
          <w:b w:val="0"/>
          <w:spacing w:val="-4"/>
          <w:sz w:val="32"/>
          <w:szCs w:val="32"/>
        </w:rPr>
      </w:pPr>
      <w:r>
        <w:rPr>
          <w:rFonts w:hint="eastAsia" w:ascii="仿宋" w:hAnsi="仿宋" w:eastAsia="仿宋"/>
          <w:bCs/>
          <w:spacing w:val="-4"/>
          <w:sz w:val="32"/>
          <w:szCs w:val="32"/>
        </w:rPr>
        <w:t>本项目不存在变更，调整情况</w:t>
      </w:r>
      <w:r>
        <w:rPr>
          <w:rFonts w:hint="eastAsia" w:ascii="仿宋" w:hAnsi="仿宋" w:eastAsia="仿宋" w:cs="宋体"/>
          <w:spacing w:val="-4"/>
          <w:sz w:val="32"/>
          <w:szCs w:val="32"/>
        </w:rPr>
        <w:t>。</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adjustRightInd w:val="0"/>
        <w:snapToGrid w:val="0"/>
        <w:spacing w:line="560" w:lineRule="exact"/>
        <w:ind w:firstLine="624" w:firstLineChars="200"/>
        <w:outlineLvl w:val="0"/>
        <w:rPr>
          <w:rStyle w:val="19"/>
          <w:rFonts w:ascii="仿宋" w:hAnsi="仿宋" w:eastAsia="仿宋"/>
          <w:b w:val="0"/>
          <w:spacing w:val="-4"/>
          <w:sz w:val="32"/>
          <w:szCs w:val="32"/>
        </w:rPr>
      </w:pPr>
      <w:r>
        <w:rPr>
          <w:rStyle w:val="19"/>
          <w:rFonts w:hint="eastAsia" w:ascii="仿宋" w:hAnsi="仿宋" w:eastAsia="仿宋"/>
          <w:b w:val="0"/>
          <w:spacing w:val="-4"/>
          <w:sz w:val="32"/>
          <w:szCs w:val="32"/>
        </w:rPr>
        <w:t>政府购买演出补助项目涉及金额较大，项目实施过程中均按照本单位制定的管理制度执行，保证了成本控制。</w:t>
      </w:r>
    </w:p>
    <w:p>
      <w:pPr>
        <w:adjustRightInd w:val="0"/>
        <w:snapToGrid w:val="0"/>
        <w:spacing w:line="56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adjustRightInd w:val="0"/>
        <w:snapToGrid w:val="0"/>
        <w:spacing w:line="560" w:lineRule="exact"/>
        <w:ind w:firstLine="624" w:firstLineChars="200"/>
        <w:rPr>
          <w:rStyle w:val="19"/>
          <w:rFonts w:ascii="仿宋" w:hAnsi="仿宋" w:eastAsia="仿宋"/>
          <w:b w:val="0"/>
          <w:spacing w:val="-4"/>
          <w:sz w:val="32"/>
          <w:szCs w:val="32"/>
        </w:rPr>
      </w:pPr>
      <w:r>
        <w:rPr>
          <w:rFonts w:hint="eastAsia" w:ascii="仿宋" w:hAnsi="仿宋" w:eastAsia="仿宋"/>
          <w:bCs/>
          <w:spacing w:val="-4"/>
          <w:sz w:val="32"/>
          <w:szCs w:val="32"/>
        </w:rPr>
        <w:t>本项目实施过程中我团严格执行《中华人民共和国会计法》《中华人民共和国预算法》保障了项目的顺利实施。项目的实施始终由单位党总支监督检查，我单位制定了相关制度，确保了项目按时完成。</w:t>
      </w:r>
    </w:p>
    <w:p>
      <w:pPr>
        <w:adjustRightInd w:val="0"/>
        <w:snapToGrid w:val="0"/>
        <w:spacing w:line="560" w:lineRule="exact"/>
        <w:ind w:firstLine="624" w:firstLineChars="200"/>
        <w:outlineLvl w:val="0"/>
        <w:rPr>
          <w:rStyle w:val="19"/>
          <w:rFonts w:ascii="黑体" w:hAnsi="黑体" w:eastAsia="黑体"/>
        </w:rPr>
      </w:pPr>
      <w:r>
        <w:rPr>
          <w:rStyle w:val="19"/>
          <w:rFonts w:hint="eastAsia" w:ascii="黑体" w:hAnsi="黑体" w:eastAsia="黑体"/>
          <w:b w:val="0"/>
          <w:spacing w:val="-4"/>
          <w:sz w:val="32"/>
          <w:szCs w:val="32"/>
        </w:rPr>
        <w:t>四、项目绩效情况</w:t>
      </w:r>
      <w:r>
        <w:rPr>
          <w:rStyle w:val="19"/>
          <w:rFonts w:hint="eastAsia" w:ascii="黑体" w:hAnsi="黑体" w:eastAsia="黑体"/>
        </w:rPr>
        <w:t xml:space="preserve"> </w:t>
      </w:r>
    </w:p>
    <w:p>
      <w:pPr>
        <w:adjustRightInd w:val="0"/>
        <w:snapToGrid w:val="0"/>
        <w:spacing w:line="56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560" w:lineRule="exact"/>
        <w:ind w:firstLine="624" w:firstLineChars="200"/>
        <w:rPr>
          <w:rFonts w:ascii="仿宋" w:hAnsi="仿宋" w:eastAsia="仿宋"/>
          <w:bCs/>
          <w:spacing w:val="-4"/>
          <w:sz w:val="32"/>
          <w:szCs w:val="32"/>
        </w:rPr>
      </w:pPr>
      <w:r>
        <w:rPr>
          <w:rFonts w:ascii="仿宋" w:hAnsi="仿宋" w:eastAsia="仿宋"/>
          <w:bCs/>
          <w:spacing w:val="-4"/>
          <w:sz w:val="32"/>
          <w:szCs w:val="32"/>
        </w:rPr>
        <w:t>本项目共设置一级指标</w:t>
      </w:r>
      <w:r>
        <w:rPr>
          <w:rFonts w:hint="eastAsia" w:ascii="仿宋" w:hAnsi="仿宋" w:eastAsia="仿宋"/>
          <w:bCs/>
          <w:spacing w:val="-4"/>
          <w:sz w:val="32"/>
          <w:szCs w:val="32"/>
        </w:rPr>
        <w:t>3</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二级指标</w:t>
      </w:r>
      <w:r>
        <w:rPr>
          <w:rFonts w:hint="eastAsia" w:ascii="仿宋" w:hAnsi="仿宋" w:eastAsia="仿宋"/>
          <w:bCs/>
          <w:spacing w:val="-4"/>
          <w:sz w:val="32"/>
          <w:szCs w:val="32"/>
        </w:rPr>
        <w:t>9</w:t>
      </w:r>
      <w:r>
        <w:rPr>
          <w:rFonts w:ascii="仿宋" w:hAnsi="仿宋" w:eastAsia="仿宋"/>
          <w:bCs/>
          <w:spacing w:val="-4"/>
          <w:sz w:val="32"/>
          <w:szCs w:val="32"/>
        </w:rPr>
        <w:t>个</w:t>
      </w:r>
      <w:r>
        <w:rPr>
          <w:rFonts w:hint="eastAsia" w:ascii="仿宋" w:hAnsi="仿宋" w:eastAsia="仿宋"/>
          <w:bCs/>
          <w:spacing w:val="-4"/>
          <w:sz w:val="32"/>
          <w:szCs w:val="32"/>
        </w:rPr>
        <w:t>，</w:t>
      </w:r>
      <w:r>
        <w:rPr>
          <w:rFonts w:ascii="仿宋" w:hAnsi="仿宋" w:eastAsia="仿宋"/>
          <w:bCs/>
          <w:spacing w:val="-4"/>
          <w:sz w:val="32"/>
          <w:szCs w:val="32"/>
        </w:rPr>
        <w:t>三级指标</w:t>
      </w:r>
      <w:r>
        <w:rPr>
          <w:rFonts w:hint="eastAsia" w:ascii="仿宋" w:hAnsi="仿宋" w:eastAsia="仿宋"/>
          <w:bCs/>
          <w:spacing w:val="-4"/>
          <w:sz w:val="32"/>
          <w:szCs w:val="32"/>
        </w:rPr>
        <w:t>1</w:t>
      </w:r>
      <w:r>
        <w:rPr>
          <w:rFonts w:hint="eastAsia" w:ascii="仿宋" w:hAnsi="仿宋" w:eastAsia="仿宋"/>
          <w:bCs/>
          <w:spacing w:val="-4"/>
          <w:sz w:val="32"/>
          <w:szCs w:val="32"/>
          <w:lang w:val="en-US" w:eastAsia="zh-CN"/>
        </w:rPr>
        <w:t>3</w:t>
      </w:r>
      <w:r>
        <w:rPr>
          <w:rFonts w:ascii="仿宋" w:hAnsi="仿宋" w:eastAsia="仿宋"/>
          <w:bCs/>
          <w:spacing w:val="-4"/>
          <w:sz w:val="32"/>
          <w:szCs w:val="32"/>
        </w:rPr>
        <w:t>个</w:t>
      </w:r>
      <w:r>
        <w:rPr>
          <w:rFonts w:hint="eastAsia" w:ascii="仿宋" w:hAnsi="仿宋" w:eastAsia="仿宋"/>
          <w:bCs/>
          <w:spacing w:val="-4"/>
          <w:sz w:val="32"/>
          <w:szCs w:val="32"/>
        </w:rPr>
        <w:t>，其中</w:t>
      </w:r>
      <w:r>
        <w:rPr>
          <w:rFonts w:ascii="仿宋" w:hAnsi="仿宋" w:eastAsia="仿宋"/>
          <w:bCs/>
          <w:spacing w:val="-4"/>
          <w:sz w:val="32"/>
          <w:szCs w:val="32"/>
        </w:rPr>
        <w:t>已完成三级指标</w:t>
      </w:r>
      <w:r>
        <w:rPr>
          <w:rFonts w:hint="eastAsia" w:ascii="仿宋" w:hAnsi="仿宋" w:eastAsia="仿宋"/>
          <w:bCs/>
          <w:spacing w:val="-4"/>
          <w:sz w:val="32"/>
          <w:szCs w:val="32"/>
        </w:rPr>
        <w:t>1</w:t>
      </w:r>
      <w:r>
        <w:rPr>
          <w:rFonts w:hint="eastAsia" w:ascii="仿宋" w:hAnsi="仿宋" w:eastAsia="仿宋"/>
          <w:bCs/>
          <w:spacing w:val="-4"/>
          <w:sz w:val="32"/>
          <w:szCs w:val="32"/>
          <w:lang w:val="en-US" w:eastAsia="zh-CN"/>
        </w:rPr>
        <w:t>3</w:t>
      </w:r>
      <w:r>
        <w:rPr>
          <w:rFonts w:ascii="仿宋" w:hAnsi="仿宋" w:eastAsia="仿宋"/>
          <w:bCs/>
          <w:spacing w:val="-4"/>
          <w:sz w:val="32"/>
          <w:szCs w:val="32"/>
        </w:rPr>
        <w:t>个</w:t>
      </w:r>
      <w:r>
        <w:rPr>
          <w:rFonts w:hint="eastAsia" w:ascii="仿宋" w:hAnsi="仿宋" w:eastAsia="仿宋"/>
          <w:bCs/>
          <w:spacing w:val="-4"/>
          <w:sz w:val="32"/>
          <w:szCs w:val="32"/>
        </w:rPr>
        <w:t>，指标完成率为100%。</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经济性：该项目根据成本控制为准，创作良好演艺节目，达到了任务目标。</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效率性：及时完成了本项目。</w:t>
      </w:r>
    </w:p>
    <w:p>
      <w:pPr>
        <w:adjustRightInd w:val="0"/>
        <w:snapToGrid w:val="0"/>
        <w:spacing w:line="560" w:lineRule="exact"/>
        <w:ind w:firstLine="624" w:firstLineChars="200"/>
        <w:rPr>
          <w:rFonts w:ascii="仿宋" w:hAnsi="仿宋" w:eastAsia="仿宋"/>
          <w:bCs/>
          <w:spacing w:val="-4"/>
          <w:sz w:val="32"/>
          <w:szCs w:val="32"/>
        </w:rPr>
      </w:pPr>
      <w:r>
        <w:rPr>
          <w:rStyle w:val="19"/>
          <w:rFonts w:hint="eastAsia" w:ascii="仿宋" w:hAnsi="仿宋" w:eastAsia="仿宋"/>
          <w:b w:val="0"/>
          <w:spacing w:val="-4"/>
          <w:sz w:val="32"/>
          <w:szCs w:val="32"/>
        </w:rPr>
        <w:t>效益性：用各种演艺形式，丰富了农民生活。</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2018年本项目绩效目标全部完成，不存在未完成原因分析。</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（一）后续工作计划</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该项目将在2019年申请此类项目资金，完成上级安排的此类项目任务。</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主要经验及做法</w:t>
      </w:r>
    </w:p>
    <w:p>
      <w:p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无</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存在的问题</w:t>
      </w:r>
    </w:p>
    <w:p>
      <w:pPr>
        <w:adjustRightInd w:val="0"/>
        <w:snapToGrid w:val="0"/>
        <w:spacing w:line="560" w:lineRule="exact"/>
        <w:ind w:firstLine="624" w:firstLineChars="200"/>
        <w:outlineLvl w:val="0"/>
        <w:rPr>
          <w:rFonts w:ascii="仿宋" w:hAnsi="仿宋" w:eastAsia="仿宋"/>
          <w:bCs/>
          <w:spacing w:val="-4"/>
          <w:sz w:val="32"/>
          <w:szCs w:val="32"/>
        </w:rPr>
      </w:pPr>
      <w:r>
        <w:rPr>
          <w:rFonts w:hint="eastAsia" w:ascii="仿宋" w:hAnsi="仿宋" w:eastAsia="仿宋"/>
          <w:bCs/>
          <w:spacing w:val="-4"/>
          <w:sz w:val="32"/>
          <w:szCs w:val="32"/>
        </w:rPr>
        <w:t>因我团现有的车辆使用时间较长，耗油量较大，因此车辆保养费用将增多。</w:t>
      </w:r>
    </w:p>
    <w:p>
      <w:pPr>
        <w:numPr>
          <w:ilvl w:val="0"/>
          <w:numId w:val="1"/>
        </w:numPr>
        <w:adjustRightInd w:val="0"/>
        <w:snapToGrid w:val="0"/>
        <w:spacing w:line="56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建议</w:t>
      </w:r>
    </w:p>
    <w:p>
      <w:pPr>
        <w:adjustRightInd w:val="0"/>
        <w:snapToGrid w:val="0"/>
        <w:spacing w:line="560" w:lineRule="exact"/>
        <w:ind w:firstLine="624" w:firstLineChars="200"/>
        <w:outlineLvl w:val="0"/>
        <w:rPr>
          <w:rFonts w:hint="eastAsia" w:ascii="仿宋" w:hAnsi="仿宋" w:eastAsia="仿宋"/>
          <w:bCs/>
          <w:spacing w:val="-4"/>
          <w:sz w:val="32"/>
          <w:szCs w:val="32"/>
        </w:rPr>
      </w:pPr>
      <w:r>
        <w:rPr>
          <w:rFonts w:hint="eastAsia" w:ascii="仿宋" w:hAnsi="仿宋" w:eastAsia="仿宋"/>
          <w:bCs/>
          <w:spacing w:val="-4"/>
          <w:sz w:val="32"/>
          <w:szCs w:val="32"/>
        </w:rPr>
        <w:t>进一步规范车辆使用制度，逐步节约此项费用。</w:t>
      </w:r>
    </w:p>
    <w:p>
      <w:pPr>
        <w:adjustRightInd w:val="0"/>
        <w:snapToGrid w:val="0"/>
        <w:spacing w:line="56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（三）其他</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无其他说明内容。</w:t>
      </w:r>
    </w:p>
    <w:p>
      <w:pPr>
        <w:adjustRightInd w:val="0"/>
        <w:snapToGrid w:val="0"/>
        <w:spacing w:line="56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56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本项目评价通过该项目的实际执行方式，实际支出数据分析为：项目已完成任务目标，项目运行已到位，质量好。</w:t>
      </w:r>
      <w:r>
        <w:rPr>
          <w:rStyle w:val="19"/>
          <w:rFonts w:hint="eastAsia" w:ascii="仿宋_GB2312" w:eastAsia="仿宋_GB2312"/>
          <w:b w:val="0"/>
          <w:bCs w:val="0"/>
          <w:spacing w:val="-4"/>
          <w:sz w:val="32"/>
          <w:szCs w:val="32"/>
        </w:rPr>
        <w:t>同时，通过开展自评价来总结经，</w:t>
      </w:r>
      <w:r>
        <w:rPr>
          <w:rFonts w:hint="eastAsia" w:ascii="仿宋" w:hAnsi="仿宋" w:eastAsia="仿宋"/>
          <w:spacing w:val="-4"/>
          <w:sz w:val="32"/>
          <w:szCs w:val="32"/>
        </w:rPr>
        <w:t>为喀什地区歌舞剧团在政府购买演出项目今后的开展工作，</w:t>
      </w:r>
      <w:r>
        <w:rPr>
          <w:rStyle w:val="19"/>
          <w:rFonts w:hint="eastAsia" w:ascii="仿宋_GB2312" w:eastAsia="仿宋_GB2312"/>
          <w:b w:val="0"/>
          <w:bCs w:val="0"/>
          <w:spacing w:val="-4"/>
          <w:sz w:val="32"/>
          <w:szCs w:val="32"/>
        </w:rPr>
        <w:t>提供可行性参考建议</w:t>
      </w:r>
      <w:r>
        <w:rPr>
          <w:rFonts w:hint="eastAsia" w:ascii="仿宋" w:hAnsi="仿宋" w:eastAsia="仿宋"/>
          <w:spacing w:val="-4"/>
          <w:sz w:val="32"/>
          <w:szCs w:val="32"/>
        </w:rPr>
        <w:t>。</w:t>
      </w:r>
    </w:p>
    <w:p>
      <w:pPr>
        <w:adjustRightInd w:val="0"/>
        <w:snapToGrid w:val="0"/>
        <w:spacing w:line="56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56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p>
      <w:pPr>
        <w:adjustRightInd w:val="0"/>
        <w:snapToGrid w:val="0"/>
        <w:spacing w:line="560" w:lineRule="exact"/>
        <w:ind w:firstLine="627" w:firstLineChars="200"/>
        <w:rPr>
          <w:rStyle w:val="19"/>
          <w:rFonts w:ascii="仿宋" w:hAnsi="仿宋" w:eastAsia="仿宋"/>
          <w:spacing w:val="-4"/>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moder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swiss"/>
    <w:pitch w:val="default"/>
    <w:sig w:usb0="00000000" w:usb1="00000000" w:usb2="00000000" w:usb3="00000000" w:csb0="00040000" w:csb1="00000000"/>
  </w:font>
  <w:font w:name="楷体">
    <w:panose1 w:val="02010609060101010101"/>
    <w:charset w:val="86"/>
    <w:family w:val="swiss"/>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pPr>
  </w:p>
  <w:p>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5A89370"/>
    <w:multiLevelType w:val="singleLevel"/>
    <w:tmpl w:val="85A8937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12208E"/>
    <w:rsid w:val="00135256"/>
    <w:rsid w:val="001A4E1F"/>
    <w:rsid w:val="001A57B9"/>
    <w:rsid w:val="001C3847"/>
    <w:rsid w:val="001F3031"/>
    <w:rsid w:val="00210A26"/>
    <w:rsid w:val="002A2532"/>
    <w:rsid w:val="002F0724"/>
    <w:rsid w:val="00365250"/>
    <w:rsid w:val="0036624C"/>
    <w:rsid w:val="00385849"/>
    <w:rsid w:val="0050167F"/>
    <w:rsid w:val="00514506"/>
    <w:rsid w:val="005162F1"/>
    <w:rsid w:val="00535153"/>
    <w:rsid w:val="00575CFE"/>
    <w:rsid w:val="00592D09"/>
    <w:rsid w:val="00675D58"/>
    <w:rsid w:val="006F2E6D"/>
    <w:rsid w:val="007218B8"/>
    <w:rsid w:val="00785FDE"/>
    <w:rsid w:val="007A0351"/>
    <w:rsid w:val="007A14BC"/>
    <w:rsid w:val="007C1025"/>
    <w:rsid w:val="007E6845"/>
    <w:rsid w:val="007F5F8A"/>
    <w:rsid w:val="00826CA1"/>
    <w:rsid w:val="00835B7F"/>
    <w:rsid w:val="00855E3A"/>
    <w:rsid w:val="00922CB9"/>
    <w:rsid w:val="009B526F"/>
    <w:rsid w:val="009C1AFD"/>
    <w:rsid w:val="00A26421"/>
    <w:rsid w:val="00A4293B"/>
    <w:rsid w:val="00A83BD5"/>
    <w:rsid w:val="00B06CA5"/>
    <w:rsid w:val="00B24E8E"/>
    <w:rsid w:val="00B41F61"/>
    <w:rsid w:val="00B55332"/>
    <w:rsid w:val="00B86E8C"/>
    <w:rsid w:val="00BE1A00"/>
    <w:rsid w:val="00C22CF0"/>
    <w:rsid w:val="00C56C72"/>
    <w:rsid w:val="00CA6457"/>
    <w:rsid w:val="00CC6E4D"/>
    <w:rsid w:val="00D17F2E"/>
    <w:rsid w:val="00D46194"/>
    <w:rsid w:val="00E01293"/>
    <w:rsid w:val="00E769FE"/>
    <w:rsid w:val="00EA2CBE"/>
    <w:rsid w:val="00F32FEE"/>
    <w:rsid w:val="00F95141"/>
    <w:rsid w:val="19CA0A6C"/>
    <w:rsid w:val="3B264F1D"/>
    <w:rsid w:val="3BCF4700"/>
    <w:rsid w:val="51223D29"/>
    <w:rsid w:val="55E523CD"/>
    <w:rsid w:val="5CAF6A64"/>
    <w:rsid w:val="67653249"/>
    <w:rsid w:val="6B05641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unhideWhenUsed/>
    <w:qFormat/>
    <w:uiPriority w:val="1"/>
  </w:style>
  <w:style w:type="table" w:default="1" w:styleId="17">
    <w:name w:val="Normal Table"/>
    <w:unhideWhenUsed/>
    <w:uiPriority w:val="99"/>
    <w:tblPr>
      <w:tblLayout w:type="fixed"/>
      <w:tblCellMar>
        <w:top w:w="0" w:type="dxa"/>
        <w:left w:w="108" w:type="dxa"/>
        <w:bottom w:w="0" w:type="dxa"/>
        <w:right w:w="108" w:type="dxa"/>
      </w:tblCellMar>
    </w:tblPr>
  </w:style>
  <w:style w:type="paragraph" w:styleId="11">
    <w:name w:val="Document Map"/>
    <w:basedOn w:val="1"/>
    <w:link w:val="46"/>
    <w:unhideWhenUsed/>
    <w:uiPriority w:val="99"/>
    <w:rPr>
      <w:rFonts w:ascii="宋体"/>
      <w:sz w:val="18"/>
      <w:szCs w:val="18"/>
    </w:rPr>
  </w:style>
  <w:style w:type="paragraph" w:styleId="12">
    <w:name w:val="Balloon Text"/>
    <w:basedOn w:val="1"/>
    <w:link w:val="47"/>
    <w:unhideWhenUsed/>
    <w:qFormat/>
    <w:uiPriority w:val="99"/>
    <w:rPr>
      <w:sz w:val="18"/>
      <w:szCs w:val="18"/>
    </w:rPr>
  </w:style>
  <w:style w:type="paragraph" w:styleId="13">
    <w:name w:val="footer"/>
    <w:basedOn w:val="1"/>
    <w:link w:val="45"/>
    <w:unhideWhenUsed/>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uiPriority w:val="9"/>
    <w:rPr>
      <w:rFonts w:asciiTheme="majorHAnsi" w:hAnsiTheme="majorHAnsi" w:eastAsiaTheme="majorEastAsia"/>
      <w:b/>
      <w:bCs/>
      <w:kern w:val="32"/>
      <w:sz w:val="32"/>
      <w:szCs w:val="32"/>
    </w:rPr>
  </w:style>
  <w:style w:type="character" w:customStyle="1" w:styleId="22">
    <w:name w:val="标题 2 字符"/>
    <w:basedOn w:val="18"/>
    <w:link w:val="3"/>
    <w:semiHidden/>
    <w:uiPriority w:val="9"/>
    <w:rPr>
      <w:rFonts w:asciiTheme="majorHAnsi" w:hAnsiTheme="majorHAnsi" w:eastAsiaTheme="majorEastAsia"/>
      <w:b/>
      <w:bCs/>
      <w:i/>
      <w:iCs/>
      <w:sz w:val="28"/>
      <w:szCs w:val="28"/>
    </w:rPr>
  </w:style>
  <w:style w:type="character" w:customStyle="1" w:styleId="23">
    <w:name w:val="标题 3 字符"/>
    <w:basedOn w:val="18"/>
    <w:link w:val="4"/>
    <w:semiHidden/>
    <w:uiPriority w:val="9"/>
    <w:rPr>
      <w:rFonts w:asciiTheme="majorHAnsi" w:hAnsiTheme="majorHAnsi" w:eastAsiaTheme="majorEastAsia"/>
      <w:b/>
      <w:bCs/>
      <w:sz w:val="26"/>
      <w:szCs w:val="26"/>
    </w:rPr>
  </w:style>
  <w:style w:type="character" w:customStyle="1" w:styleId="24">
    <w:name w:val="标题 4 字符"/>
    <w:basedOn w:val="18"/>
    <w:link w:val="5"/>
    <w:semiHidden/>
    <w:uiPriority w:val="9"/>
    <w:rPr>
      <w:b/>
      <w:bCs/>
      <w:sz w:val="28"/>
      <w:szCs w:val="28"/>
    </w:rPr>
  </w:style>
  <w:style w:type="character" w:customStyle="1" w:styleId="25">
    <w:name w:val="标题 5 字符"/>
    <w:basedOn w:val="18"/>
    <w:link w:val="6"/>
    <w:semiHidden/>
    <w:uiPriority w:val="9"/>
    <w:rPr>
      <w:b/>
      <w:bCs/>
      <w:i/>
      <w:iCs/>
      <w:sz w:val="26"/>
      <w:szCs w:val="26"/>
    </w:rPr>
  </w:style>
  <w:style w:type="character" w:customStyle="1" w:styleId="26">
    <w:name w:val="标题 6 字符"/>
    <w:basedOn w:val="18"/>
    <w:link w:val="7"/>
    <w:semiHidden/>
    <w:uiPriority w:val="9"/>
    <w:rPr>
      <w:b/>
      <w:bCs/>
    </w:rPr>
  </w:style>
  <w:style w:type="character" w:customStyle="1" w:styleId="27">
    <w:name w:val="标题 7 字符"/>
    <w:basedOn w:val="18"/>
    <w:link w:val="8"/>
    <w:semiHidden/>
    <w:uiPriority w:val="9"/>
    <w:rPr>
      <w:sz w:val="24"/>
      <w:szCs w:val="24"/>
    </w:rPr>
  </w:style>
  <w:style w:type="character" w:customStyle="1" w:styleId="28">
    <w:name w:val="标题 8 字符"/>
    <w:basedOn w:val="18"/>
    <w:link w:val="9"/>
    <w:semiHidden/>
    <w:uiPriority w:val="9"/>
    <w:rPr>
      <w:i/>
      <w:iCs/>
      <w:sz w:val="24"/>
      <w:szCs w:val="24"/>
    </w:rPr>
  </w:style>
  <w:style w:type="character" w:customStyle="1" w:styleId="29">
    <w:name w:val="标题 9 字符"/>
    <w:basedOn w:val="18"/>
    <w:link w:val="10"/>
    <w:semiHidden/>
    <w:uiPriority w:val="9"/>
    <w:rPr>
      <w:rFonts w:asciiTheme="majorHAnsi" w:hAnsiTheme="majorHAnsi" w:eastAsiaTheme="majorEastAsia"/>
    </w:rPr>
  </w:style>
  <w:style w:type="character" w:customStyle="1" w:styleId="30">
    <w:name w:val="标题 字符"/>
    <w:basedOn w:val="18"/>
    <w:link w:val="16"/>
    <w:uiPriority w:val="10"/>
    <w:rPr>
      <w:rFonts w:asciiTheme="majorHAnsi" w:hAnsiTheme="majorHAnsi" w:eastAsiaTheme="majorEastAsia"/>
      <w:b/>
      <w:bCs/>
      <w:kern w:val="28"/>
      <w:sz w:val="32"/>
      <w:szCs w:val="32"/>
    </w:rPr>
  </w:style>
  <w:style w:type="character" w:customStyle="1" w:styleId="31">
    <w:name w:val="副标题 字符"/>
    <w:basedOn w:val="18"/>
    <w:link w:val="15"/>
    <w:uiPriority w:val="11"/>
    <w:rPr>
      <w:rFonts w:asciiTheme="majorHAnsi" w:hAnsiTheme="majorHAnsi" w:eastAsiaTheme="majorEastAsia"/>
      <w:sz w:val="24"/>
      <w:szCs w:val="24"/>
    </w:rPr>
  </w:style>
  <w:style w:type="paragraph" w:customStyle="1"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uiPriority w:val="29"/>
    <w:rPr>
      <w:i/>
      <w:sz w:val="24"/>
      <w:szCs w:val="24"/>
    </w:rPr>
  </w:style>
  <w:style w:type="paragraph" w:customStyle="1"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unhideWhenUsed/>
    <w:qFormat/>
    <w:uiPriority w:val="39"/>
    <w:pPr>
      <w:outlineLvl w:val="9"/>
    </w:pPr>
    <w:rPr>
      <w:lang w:eastAsia="en-US" w:bidi="en-US"/>
    </w:rPr>
  </w:style>
  <w:style w:type="character" w:customStyle="1" w:styleId="44">
    <w:name w:val="页眉 字符"/>
    <w:basedOn w:val="18"/>
    <w:link w:val="14"/>
    <w:uiPriority w:val="99"/>
    <w:rPr>
      <w:rFonts w:ascii="Calibri" w:hAnsi="Calibri" w:eastAsia="宋体"/>
      <w:kern w:val="2"/>
      <w:sz w:val="18"/>
      <w:szCs w:val="18"/>
    </w:rPr>
  </w:style>
  <w:style w:type="character" w:customStyle="1" w:styleId="45">
    <w:name w:val="页脚 字符"/>
    <w:basedOn w:val="18"/>
    <w:link w:val="13"/>
    <w:uiPriority w:val="99"/>
    <w:rPr>
      <w:rFonts w:ascii="Calibri" w:hAnsi="Calibri" w:eastAsia="宋体"/>
      <w:kern w:val="2"/>
      <w:sz w:val="18"/>
      <w:szCs w:val="18"/>
    </w:rPr>
  </w:style>
  <w:style w:type="character" w:customStyle="1" w:styleId="46">
    <w:name w:val="文档结构图 字符"/>
    <w:basedOn w:val="18"/>
    <w:link w:val="11"/>
    <w:semiHidden/>
    <w:uiPriority w:val="99"/>
    <w:rPr>
      <w:rFonts w:ascii="宋体" w:hAnsi="Times New Roman" w:eastAsia="宋体"/>
      <w:kern w:val="2"/>
      <w:sz w:val="18"/>
      <w:szCs w:val="18"/>
    </w:rPr>
  </w:style>
  <w:style w:type="character" w:customStyle="1" w:styleId="47">
    <w:name w:val="批注框文本 字符"/>
    <w:basedOn w:val="18"/>
    <w:link w:val="12"/>
    <w:semiHidden/>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ABA02F-29E9-4276-B65E-D31349713F2B}">
  <ds:schemaRefs/>
</ds:datastoreItem>
</file>

<file path=docProps/app.xml><?xml version="1.0" encoding="utf-8"?>
<Properties xmlns="http://schemas.openxmlformats.org/officeDocument/2006/extended-properties" xmlns:vt="http://schemas.openxmlformats.org/officeDocument/2006/docPropsVTypes">
  <Template>Normal</Template>
  <Pages>5</Pages>
  <Words>223</Words>
  <Characters>1275</Characters>
  <Lines>10</Lines>
  <Paragraphs>2</Paragraphs>
  <TotalTime>12</TotalTime>
  <ScaleCrop>false</ScaleCrop>
  <LinksUpToDate>false</LinksUpToDate>
  <CharactersWithSpaces>1496</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lenovo</cp:lastModifiedBy>
  <cp:lastPrinted>2018-12-27T06:12:00Z</cp:lastPrinted>
  <dcterms:modified xsi:type="dcterms:W3CDTF">2026-08-24T04:27:38Z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