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473454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喀什地区体育运动学校</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F73F55D">
      <w:r>
        <w:br w:type="page"/>
      </w:r>
    </w:p>
    <w:p w14:paraId="03980880">
      <w:pPr>
        <w:spacing w:line="640" w:lineRule="exact"/>
        <w:jc w:val="center"/>
        <w:outlineLvl w:val="1"/>
      </w:pPr>
      <w:r>
        <w:rPr>
          <w:rFonts w:ascii="黑体" w:hAnsi="黑体" w:eastAsia="黑体"/>
          <w:sz w:val="32"/>
        </w:rPr>
        <w:t>第一部分 部门概况</w:t>
      </w:r>
    </w:p>
    <w:p w14:paraId="2C1D45DF">
      <w:pPr>
        <w:spacing w:line="640" w:lineRule="exact"/>
        <w:ind w:firstLine="640"/>
        <w:jc w:val="both"/>
        <w:outlineLvl w:val="2"/>
      </w:pPr>
      <w:r>
        <w:rPr>
          <w:rFonts w:ascii="黑体" w:hAnsi="黑体" w:eastAsia="黑体"/>
          <w:sz w:val="32"/>
        </w:rPr>
        <w:t>一、主要职能</w:t>
      </w:r>
    </w:p>
    <w:p w14:paraId="3AD1630F">
      <w:pPr>
        <w:spacing w:line="580" w:lineRule="exact"/>
        <w:ind w:firstLine="640"/>
        <w:jc w:val="both"/>
      </w:pPr>
      <w:r>
        <w:rPr>
          <w:rFonts w:ascii="仿宋_GB2312" w:hAnsi="仿宋_GB2312" w:eastAsia="仿宋_GB2312"/>
          <w:sz w:val="32"/>
        </w:rPr>
        <w:t>本部门是一所培养中专学历体育人才，促进体育事业发展，体育教学，运动训练，社会体育学科，中专学历，体育专业培训的中等职业学校。</w:t>
      </w:r>
    </w:p>
    <w:p w14:paraId="37396E74">
      <w:pPr>
        <w:spacing w:line="580" w:lineRule="exact"/>
        <w:ind w:firstLine="640"/>
        <w:jc w:val="both"/>
      </w:pPr>
      <w:r>
        <w:rPr>
          <w:rFonts w:ascii="仿宋_GB2312" w:hAnsi="仿宋_GB2312" w:eastAsia="仿宋_GB2312"/>
          <w:sz w:val="32"/>
        </w:rPr>
        <w:t>（一）培养中学、中专学历体育人才。</w:t>
      </w:r>
    </w:p>
    <w:p w14:paraId="5099C444">
      <w:pPr>
        <w:spacing w:line="580" w:lineRule="exact"/>
        <w:ind w:firstLine="640"/>
        <w:jc w:val="both"/>
      </w:pPr>
      <w:r>
        <w:rPr>
          <w:rFonts w:ascii="仿宋_GB2312" w:hAnsi="仿宋_GB2312" w:eastAsia="仿宋_GB2312"/>
          <w:sz w:val="32"/>
        </w:rPr>
        <w:t>（二）承担向国家和自治区专业队以及高校创办的高水平运动队培养输送德智体美全面发展的具有良好身体素质和高水平竞技体育运动的后备人才。</w:t>
      </w:r>
    </w:p>
    <w:p w14:paraId="6BF50874">
      <w:pPr>
        <w:spacing w:line="580" w:lineRule="exact"/>
        <w:ind w:firstLine="640"/>
        <w:jc w:val="both"/>
      </w:pPr>
      <w:r>
        <w:rPr>
          <w:rFonts w:ascii="仿宋_GB2312" w:hAnsi="仿宋_GB2312" w:eastAsia="仿宋_GB2312"/>
          <w:sz w:val="32"/>
        </w:rPr>
        <w:t>（三）为社会培养具有体育专项运动技能的体育指导员和体育师资。</w:t>
      </w:r>
    </w:p>
    <w:p w14:paraId="7C47CC40">
      <w:pPr>
        <w:spacing w:line="580" w:lineRule="exact"/>
        <w:ind w:firstLine="640"/>
        <w:jc w:val="both"/>
      </w:pPr>
      <w:r>
        <w:rPr>
          <w:rFonts w:ascii="仿宋_GB2312" w:hAnsi="仿宋_GB2312" w:eastAsia="仿宋_GB2312"/>
          <w:sz w:val="32"/>
        </w:rPr>
        <w:t>（四）代表喀什地区参加各级各类体育赛事。</w:t>
      </w:r>
    </w:p>
    <w:p w14:paraId="36AE4898">
      <w:pPr>
        <w:spacing w:line="580" w:lineRule="exact"/>
        <w:ind w:firstLine="640"/>
        <w:jc w:val="both"/>
      </w:pPr>
      <w:r>
        <w:rPr>
          <w:rFonts w:ascii="仿宋_GB2312" w:hAnsi="仿宋_GB2312" w:eastAsia="仿宋_GB2312"/>
          <w:sz w:val="32"/>
        </w:rPr>
        <w:t>（五）完成地委和行署交办的其他工作任务。</w:t>
      </w:r>
    </w:p>
    <w:p w14:paraId="0165560F">
      <w:pPr>
        <w:spacing w:line="640" w:lineRule="exact"/>
        <w:ind w:firstLine="640"/>
        <w:jc w:val="both"/>
        <w:outlineLvl w:val="2"/>
      </w:pPr>
      <w:r>
        <w:rPr>
          <w:rFonts w:ascii="黑体" w:hAnsi="黑体" w:eastAsia="黑体"/>
          <w:sz w:val="32"/>
        </w:rPr>
        <w:t>二、机构设置及人员情况</w:t>
      </w:r>
    </w:p>
    <w:p w14:paraId="2D896ED4">
      <w:pPr>
        <w:spacing w:line="580" w:lineRule="exact"/>
        <w:ind w:firstLine="640"/>
        <w:jc w:val="both"/>
      </w:pPr>
      <w:r>
        <w:rPr>
          <w:rFonts w:ascii="仿宋_GB2312" w:hAnsi="仿宋_GB2312" w:eastAsia="仿宋_GB2312"/>
          <w:sz w:val="32"/>
        </w:rPr>
        <w:t>喀什地区体育运动学校2024年度，实有人数106人，其中：在职人员69人，增加11人；离休人员0人，增加0人；退休人员37人,增加0人。</w:t>
      </w:r>
    </w:p>
    <w:p w14:paraId="7BF31F2C">
      <w:pPr>
        <w:spacing w:line="580" w:lineRule="exact"/>
        <w:ind w:firstLine="640"/>
        <w:jc w:val="both"/>
      </w:pPr>
      <w:r>
        <w:rPr>
          <w:rFonts w:ascii="仿宋_GB2312" w:hAnsi="仿宋_GB2312" w:eastAsia="仿宋_GB2312"/>
          <w:sz w:val="32"/>
        </w:rPr>
        <w:t>喀什地区体育运动学校无下属预算单位，下设8个科室，分别是：办公室、教学科、训练科、学生科、总务科、保卫科、团委、德育办。</w:t>
      </w:r>
    </w:p>
    <w:p w14:paraId="7508DF0A">
      <w:r>
        <w:br w:type="page"/>
      </w:r>
    </w:p>
    <w:p w14:paraId="6DEAABFF">
      <w:pPr>
        <w:spacing w:line="240" w:lineRule="auto"/>
        <w:jc w:val="center"/>
        <w:outlineLvl w:val="1"/>
      </w:pPr>
      <w:r>
        <w:rPr>
          <w:rFonts w:ascii="黑体" w:hAnsi="黑体" w:eastAsia="黑体"/>
          <w:sz w:val="32"/>
        </w:rPr>
        <w:t>第二部分 部门决算情况说明</w:t>
      </w:r>
    </w:p>
    <w:p w14:paraId="1038608D">
      <w:pPr>
        <w:spacing w:line="640" w:lineRule="exact"/>
        <w:ind w:firstLine="640"/>
        <w:jc w:val="both"/>
        <w:outlineLvl w:val="2"/>
      </w:pPr>
      <w:r>
        <w:rPr>
          <w:rFonts w:ascii="黑体" w:hAnsi="黑体" w:eastAsia="黑体"/>
          <w:sz w:val="32"/>
        </w:rPr>
        <w:t>一、收入支出决算总体情况说明</w:t>
      </w:r>
    </w:p>
    <w:p w14:paraId="4F6FCDED">
      <w:pPr>
        <w:spacing w:line="580" w:lineRule="exact"/>
        <w:ind w:firstLine="640"/>
        <w:jc w:val="both"/>
      </w:pPr>
      <w:r>
        <w:rPr>
          <w:rFonts w:ascii="仿宋_GB2312" w:hAnsi="仿宋_GB2312" w:eastAsia="仿宋_GB2312"/>
          <w:b/>
          <w:sz w:val="32"/>
        </w:rPr>
        <w:t>2024年度收入总计3,446.92万元，</w:t>
      </w:r>
      <w:r>
        <w:rPr>
          <w:rFonts w:ascii="仿宋_GB2312" w:hAnsi="仿宋_GB2312" w:eastAsia="仿宋_GB2312"/>
          <w:b w:val="0"/>
          <w:sz w:val="32"/>
        </w:rPr>
        <w:t>其中：本年收入合计3,446.92万元，使用非财政拨款结余（含专用结余）0.00万元，年初结转和结余0.00万元。</w:t>
      </w:r>
    </w:p>
    <w:p w14:paraId="3E317253">
      <w:pPr>
        <w:spacing w:line="580" w:lineRule="exact"/>
        <w:ind w:firstLine="640"/>
        <w:jc w:val="both"/>
      </w:pPr>
      <w:r>
        <w:rPr>
          <w:rFonts w:ascii="仿宋_GB2312" w:hAnsi="仿宋_GB2312" w:eastAsia="仿宋_GB2312"/>
          <w:b/>
          <w:sz w:val="32"/>
        </w:rPr>
        <w:t>2024年度支出总计3,446.92万元，</w:t>
      </w:r>
      <w:r>
        <w:rPr>
          <w:rFonts w:ascii="仿宋_GB2312" w:hAnsi="仿宋_GB2312" w:eastAsia="仿宋_GB2312"/>
          <w:b w:val="0"/>
          <w:sz w:val="32"/>
        </w:rPr>
        <w:t>其中：本年支出合计3,446.92万元，结余分配0.00万元，年末结转和结余0.00万元。</w:t>
      </w:r>
    </w:p>
    <w:p w14:paraId="787C95EB">
      <w:pPr>
        <w:spacing w:line="580" w:lineRule="exact"/>
        <w:ind w:firstLine="640"/>
        <w:jc w:val="both"/>
      </w:pPr>
      <w:r>
        <w:rPr>
          <w:rFonts w:ascii="仿宋_GB2312" w:hAnsi="仿宋_GB2312" w:eastAsia="仿宋_GB2312"/>
          <w:b w:val="0"/>
          <w:sz w:val="32"/>
        </w:rPr>
        <w:t>收入支出总体与上年相比，增加1,324.97万元，增长62.44%，主要原因是：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增加社会服务设施建设支持工程专项2024年第三批中央基建投资预算项目(体校搬迁-青少年足球训练中心项目）项目，导致经费较上年增加。</w:t>
      </w:r>
    </w:p>
    <w:p w14:paraId="5D830619">
      <w:pPr>
        <w:spacing w:line="640" w:lineRule="exact"/>
        <w:ind w:firstLine="640"/>
        <w:jc w:val="both"/>
        <w:outlineLvl w:val="2"/>
      </w:pPr>
      <w:r>
        <w:rPr>
          <w:rFonts w:ascii="黑体" w:hAnsi="黑体" w:eastAsia="黑体"/>
          <w:sz w:val="32"/>
        </w:rPr>
        <w:t>二、收入决算情况说明</w:t>
      </w:r>
    </w:p>
    <w:p w14:paraId="450ECA66">
      <w:pPr>
        <w:spacing w:line="580" w:lineRule="exact"/>
        <w:ind w:firstLine="640"/>
        <w:jc w:val="both"/>
      </w:pPr>
      <w:r>
        <w:rPr>
          <w:rFonts w:ascii="仿宋_GB2312" w:hAnsi="仿宋_GB2312" w:eastAsia="仿宋_GB2312"/>
          <w:b/>
          <w:sz w:val="32"/>
        </w:rPr>
        <w:t>本年收入3,446.92万元，</w:t>
      </w:r>
      <w:r>
        <w:rPr>
          <w:rFonts w:ascii="仿宋_GB2312" w:hAnsi="仿宋_GB2312" w:eastAsia="仿宋_GB2312"/>
          <w:b w:val="0"/>
          <w:sz w:val="32"/>
        </w:rPr>
        <w:t>其中：财政拨款收入3,446.92万元，占100.00%；上级补助收入0.00万元，占0.00%；事业收入0.00万元，占0.00%；经营收入0.00万元，占0.00%；附属单位上缴收入0.00万元，占0.00%；其他收入0.00万元，占0.00%。</w:t>
      </w:r>
    </w:p>
    <w:p w14:paraId="4ADC2DBC">
      <w:pPr>
        <w:spacing w:line="640" w:lineRule="exact"/>
        <w:ind w:firstLine="640"/>
        <w:jc w:val="both"/>
        <w:outlineLvl w:val="2"/>
      </w:pPr>
      <w:r>
        <w:rPr>
          <w:rFonts w:ascii="黑体" w:hAnsi="黑体" w:eastAsia="黑体"/>
          <w:sz w:val="32"/>
        </w:rPr>
        <w:t>三、支出决算情况说明</w:t>
      </w:r>
    </w:p>
    <w:p w14:paraId="766A0FB7">
      <w:pPr>
        <w:spacing w:line="580" w:lineRule="exact"/>
        <w:ind w:firstLine="640"/>
        <w:jc w:val="both"/>
      </w:pPr>
      <w:r>
        <w:rPr>
          <w:rFonts w:ascii="仿宋_GB2312" w:hAnsi="仿宋_GB2312" w:eastAsia="仿宋_GB2312"/>
          <w:b/>
          <w:sz w:val="32"/>
        </w:rPr>
        <w:t>本年支出3,446.92万元，</w:t>
      </w:r>
      <w:r>
        <w:rPr>
          <w:rFonts w:ascii="仿宋_GB2312" w:hAnsi="仿宋_GB2312" w:eastAsia="仿宋_GB2312"/>
          <w:b w:val="0"/>
          <w:sz w:val="32"/>
        </w:rPr>
        <w:t>其中：基本支出1,267.26万元，占36.76%；项目支出2,179.65万元，占63.23%；上缴上级支出0.00万元，占0.00%；经营支出0.00万元，占0.00%；对附属单位补助支出0.00万元，占0.00%。</w:t>
      </w:r>
    </w:p>
    <w:p w14:paraId="3F2653DB">
      <w:pPr>
        <w:spacing w:line="640" w:lineRule="exact"/>
        <w:ind w:firstLine="640"/>
        <w:jc w:val="both"/>
        <w:outlineLvl w:val="2"/>
      </w:pPr>
      <w:r>
        <w:rPr>
          <w:rFonts w:ascii="黑体" w:hAnsi="黑体" w:eastAsia="黑体"/>
          <w:sz w:val="32"/>
        </w:rPr>
        <w:t>四、财政拨款收入支出决算总体情况说明</w:t>
      </w:r>
    </w:p>
    <w:p w14:paraId="3399B166">
      <w:pPr>
        <w:spacing w:line="580" w:lineRule="exact"/>
        <w:ind w:firstLine="640"/>
        <w:jc w:val="both"/>
      </w:pPr>
      <w:r>
        <w:rPr>
          <w:rFonts w:ascii="仿宋_GB2312" w:hAnsi="仿宋_GB2312" w:eastAsia="仿宋_GB2312"/>
          <w:b/>
          <w:sz w:val="32"/>
        </w:rPr>
        <w:t>2024年度财政拨款收入总计3,446.92万元，</w:t>
      </w:r>
      <w:r>
        <w:rPr>
          <w:rFonts w:ascii="仿宋_GB2312" w:hAnsi="仿宋_GB2312" w:eastAsia="仿宋_GB2312"/>
          <w:b w:val="0"/>
          <w:sz w:val="32"/>
        </w:rPr>
        <w:t>其中：年初财政拨款结转和结余0.00万元，本年财政拨款收入3,446.92万元。</w:t>
      </w:r>
      <w:r>
        <w:rPr>
          <w:rFonts w:ascii="仿宋_GB2312" w:hAnsi="仿宋_GB2312" w:eastAsia="仿宋_GB2312"/>
          <w:b/>
          <w:sz w:val="32"/>
        </w:rPr>
        <w:t>财政拨款支出总计3,446.92万元，</w:t>
      </w:r>
      <w:r>
        <w:rPr>
          <w:rFonts w:ascii="仿宋_GB2312" w:hAnsi="仿宋_GB2312" w:eastAsia="仿宋_GB2312"/>
          <w:b w:val="0"/>
          <w:sz w:val="32"/>
        </w:rPr>
        <w:t>其中：年末财政拨款结转和结余0.00万元，本年财政拨款支出3,446.92万元。</w:t>
      </w:r>
    </w:p>
    <w:p w14:paraId="6D26539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增加1,324.97万元，增长62.44%，主要原因是：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增加社会服务设施建设支持工程专项2024年第三批中央基建投资预算项目(体校搬迁-青少年足球训练中心项目）项目，导致经费较上年增加。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2,734.19万元，决算数3,446.92万元，预决算差异率26.07%，主要原因是：年中追加社会服务设施建设支持工程专项2024年第三批中央基建投资预算项目(体校搬迁-青少年足球训练中心项目）拨款，导致预决算存在差异。</w:t>
      </w:r>
    </w:p>
    <w:p w14:paraId="656CC16D">
      <w:pPr>
        <w:spacing w:line="640" w:lineRule="exact"/>
        <w:ind w:firstLine="640"/>
        <w:jc w:val="both"/>
        <w:outlineLvl w:val="2"/>
      </w:pPr>
      <w:r>
        <w:rPr>
          <w:rFonts w:ascii="黑体" w:hAnsi="黑体" w:eastAsia="黑体"/>
          <w:sz w:val="32"/>
        </w:rPr>
        <w:t>五、一般公共预算财政拨款支出决算情况说明</w:t>
      </w:r>
    </w:p>
    <w:p w14:paraId="27EF86B0">
      <w:pPr>
        <w:spacing w:line="640" w:lineRule="exact"/>
        <w:ind w:firstLine="640"/>
        <w:jc w:val="both"/>
        <w:outlineLvl w:val="3"/>
      </w:pPr>
      <w:r>
        <w:rPr>
          <w:rFonts w:ascii="楷体_GB2312" w:hAnsi="楷体_GB2312" w:eastAsia="楷体_GB2312"/>
          <w:b/>
          <w:sz w:val="32"/>
        </w:rPr>
        <w:t>（一）一般公共预算财政拨款支出决算总体情况</w:t>
      </w:r>
    </w:p>
    <w:p w14:paraId="2C1FDFC5">
      <w:pPr>
        <w:spacing w:line="580" w:lineRule="exact"/>
        <w:ind w:firstLine="640"/>
        <w:jc w:val="both"/>
      </w:pPr>
      <w:r>
        <w:rPr>
          <w:rFonts w:ascii="仿宋_GB2312" w:hAnsi="仿宋_GB2312" w:eastAsia="仿宋_GB2312"/>
          <w:b/>
          <w:sz w:val="32"/>
        </w:rPr>
        <w:t>2024年度一般公共预算财政拨款支出2,959.25万元，</w:t>
      </w:r>
      <w:r>
        <w:rPr>
          <w:rFonts w:ascii="仿宋_GB2312" w:hAnsi="仿宋_GB2312" w:eastAsia="仿宋_GB2312"/>
          <w:b w:val="0"/>
          <w:sz w:val="32"/>
        </w:rPr>
        <w:t>占本年支出合计的85.85%。</w:t>
      </w:r>
      <w:r>
        <w:rPr>
          <w:rFonts w:ascii="仿宋_GB2312" w:hAnsi="仿宋_GB2312" w:eastAsia="仿宋_GB2312"/>
          <w:b/>
          <w:sz w:val="32"/>
        </w:rPr>
        <w:t>与上年相比，</w:t>
      </w:r>
      <w:r>
        <w:rPr>
          <w:rFonts w:ascii="仿宋_GB2312" w:hAnsi="仿宋_GB2312" w:eastAsia="仿宋_GB2312"/>
          <w:b w:val="0"/>
          <w:sz w:val="32"/>
        </w:rPr>
        <w:t>增加1,004.37万元，增长51.38%，主要原因是：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增加社会服务设施建设支持工程专项2024年第三批中央基建投资预算项目(体校搬迁-青少年足球训练中心项目）项目，导致经费较上年增加。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1,591.19万元，决算数2,959.25万元，预决算差异率85.98%，主要原因是：年中追加社会服务设施建设支持工程专项2024年第三批中央基建投资预算项目(体校搬迁-青少年足球训练中心项目）拨款，导致预决算存在差异。</w:t>
      </w:r>
    </w:p>
    <w:p w14:paraId="6010D327">
      <w:pPr>
        <w:spacing w:line="640" w:lineRule="exact"/>
        <w:ind w:firstLine="640"/>
        <w:jc w:val="both"/>
        <w:outlineLvl w:val="3"/>
      </w:pPr>
      <w:r>
        <w:rPr>
          <w:rFonts w:ascii="楷体_GB2312" w:hAnsi="楷体_GB2312" w:eastAsia="楷体_GB2312"/>
          <w:b/>
          <w:sz w:val="32"/>
        </w:rPr>
        <w:t>（二）一般公共预算财政拨款支出决算结构情况</w:t>
      </w:r>
    </w:p>
    <w:p w14:paraId="55FBC3AF">
      <w:pPr>
        <w:spacing w:line="580" w:lineRule="exact"/>
        <w:ind w:firstLine="640"/>
        <w:jc w:val="both"/>
      </w:pPr>
      <w:r>
        <w:rPr>
          <w:rFonts w:ascii="仿宋_GB2312" w:hAnsi="仿宋_GB2312" w:eastAsia="仿宋_GB2312"/>
          <w:b w:val="0"/>
          <w:sz w:val="32"/>
        </w:rPr>
        <w:t>1.一般公共服务支出(类)2.20万元,占0.07%。</w:t>
      </w:r>
    </w:p>
    <w:p w14:paraId="3EB75078">
      <w:pPr>
        <w:spacing w:line="580" w:lineRule="exact"/>
        <w:ind w:firstLine="640"/>
        <w:jc w:val="both"/>
      </w:pPr>
      <w:r>
        <w:rPr>
          <w:rFonts w:ascii="仿宋_GB2312" w:hAnsi="仿宋_GB2312" w:eastAsia="仿宋_GB2312"/>
          <w:b w:val="0"/>
          <w:sz w:val="32"/>
        </w:rPr>
        <w:t>2.教育支出(类)1,524.82万元,占51.53%。</w:t>
      </w:r>
    </w:p>
    <w:p w14:paraId="5CDC15EF">
      <w:pPr>
        <w:spacing w:line="580" w:lineRule="exact"/>
        <w:ind w:firstLine="640"/>
        <w:jc w:val="both"/>
      </w:pPr>
      <w:r>
        <w:rPr>
          <w:rFonts w:ascii="仿宋_GB2312" w:hAnsi="仿宋_GB2312" w:eastAsia="仿宋_GB2312"/>
          <w:b w:val="0"/>
          <w:sz w:val="32"/>
        </w:rPr>
        <w:t>3.文化旅游体育与传媒支出(类)1,313.16万元,占44.37%。</w:t>
      </w:r>
    </w:p>
    <w:p w14:paraId="486F78D8">
      <w:pPr>
        <w:spacing w:line="580" w:lineRule="exact"/>
        <w:ind w:firstLine="640"/>
        <w:jc w:val="both"/>
      </w:pPr>
      <w:r>
        <w:rPr>
          <w:rFonts w:ascii="仿宋_GB2312" w:hAnsi="仿宋_GB2312" w:eastAsia="仿宋_GB2312"/>
          <w:b w:val="0"/>
          <w:sz w:val="32"/>
        </w:rPr>
        <w:t>4.社会保障和就业支出(类)119.07万元,占4.02%。</w:t>
      </w:r>
    </w:p>
    <w:p w14:paraId="2AE7DDC4">
      <w:pPr>
        <w:spacing w:line="640" w:lineRule="exact"/>
        <w:ind w:firstLine="640"/>
        <w:jc w:val="both"/>
        <w:outlineLvl w:val="3"/>
      </w:pPr>
      <w:r>
        <w:rPr>
          <w:rFonts w:ascii="楷体_GB2312" w:hAnsi="楷体_GB2312" w:eastAsia="楷体_GB2312"/>
          <w:b/>
          <w:sz w:val="32"/>
        </w:rPr>
        <w:t>（三）一般公共预算财政拨款支出决算具体情况</w:t>
      </w:r>
    </w:p>
    <w:p w14:paraId="3D1391F1">
      <w:pPr>
        <w:spacing w:line="580" w:lineRule="exact"/>
        <w:ind w:firstLine="640"/>
        <w:jc w:val="both"/>
      </w:pPr>
      <w:r>
        <w:rPr>
          <w:rFonts w:ascii="仿宋_GB2312" w:hAnsi="仿宋_GB2312" w:eastAsia="仿宋_GB2312"/>
          <w:b w:val="0"/>
          <w:sz w:val="32"/>
        </w:rPr>
        <w:t>1.一般公共服务支出(类)统战事务(款)宗教事务(项):支出决算数为2.20万元，比上年决算增加1.71万元，增长348.98%,主要原因是：本年增加专项业务经费项目，导致经费较上年增加。</w:t>
      </w:r>
    </w:p>
    <w:p w14:paraId="22CFC354">
      <w:pPr>
        <w:spacing w:line="580" w:lineRule="exact"/>
        <w:ind w:firstLine="640"/>
        <w:jc w:val="both"/>
      </w:pPr>
      <w:r>
        <w:rPr>
          <w:rFonts w:ascii="仿宋_GB2312" w:hAnsi="仿宋_GB2312" w:eastAsia="仿宋_GB2312"/>
          <w:b w:val="0"/>
          <w:sz w:val="32"/>
        </w:rPr>
        <w:t>2.教育支出(类)普通教育(款)初中教育(项):支出决算数为101.42万元，比上年决算增加3.74万元，增长3.83%,主要原因是：本年在职人员工资调增，医疗、公积金基数调增，人员经费增加。</w:t>
      </w:r>
    </w:p>
    <w:p w14:paraId="2CC769CC">
      <w:pPr>
        <w:spacing w:line="580" w:lineRule="exact"/>
        <w:ind w:firstLine="640"/>
        <w:jc w:val="both"/>
        <w:rPr>
          <w:rFonts w:hint="default" w:ascii="仿宋_GB2312" w:hAnsi="仿宋_GB2312" w:eastAsia="仿宋_GB2312"/>
          <w:b w:val="0"/>
          <w:sz w:val="32"/>
          <w:lang w:val="en-US" w:eastAsia="zh-CN"/>
        </w:rPr>
      </w:pPr>
      <w:r>
        <w:rPr>
          <w:rFonts w:ascii="仿宋_GB2312" w:hAnsi="仿宋_GB2312" w:eastAsia="仿宋_GB2312"/>
          <w:b w:val="0"/>
          <w:sz w:val="32"/>
        </w:rPr>
        <w:t>3.教育支出(类)职业教育(款)中等职业教育(项):支出决算数为1,423.40万元，比上年决算减少287.28万元，下降16.79%,主要原因是：</w:t>
      </w:r>
      <w:r>
        <w:rPr>
          <w:rFonts w:hint="eastAsia" w:ascii="仿宋_GB2312" w:hAnsi="仿宋_GB2312" w:eastAsia="仿宋_GB2312"/>
          <w:b w:val="0"/>
          <w:sz w:val="32"/>
          <w:lang w:val="en-US" w:eastAsia="zh-CN"/>
        </w:rPr>
        <w:t>本年减少女生公寓楼建设、食堂建设等项目经费，导致相关经费减少。</w:t>
      </w:r>
    </w:p>
    <w:p w14:paraId="0312B0CA">
      <w:pPr>
        <w:spacing w:line="580" w:lineRule="exact"/>
        <w:ind w:firstLine="640"/>
        <w:jc w:val="both"/>
      </w:pPr>
      <w:r>
        <w:rPr>
          <w:rFonts w:ascii="仿宋_GB2312" w:hAnsi="仿宋_GB2312" w:eastAsia="仿宋_GB2312"/>
          <w:b w:val="0"/>
          <w:sz w:val="32"/>
        </w:rPr>
        <w:t>4.文化旅游体育与传媒支出(类)体育(款)体育竞赛(项):支出决算数为0.00万元，比上年决算减少0.60万元，下降100.00%,主要原因是：</w:t>
      </w:r>
      <w:r>
        <w:rPr>
          <w:rFonts w:hint="eastAsia" w:ascii="仿宋_GB2312" w:hAnsi="仿宋_GB2312" w:eastAsia="仿宋_GB2312"/>
          <w:b w:val="0"/>
          <w:sz w:val="32"/>
        </w:rPr>
        <w:t>本年减少十九届运动会奖金，导致经费较上年减少</w:t>
      </w:r>
      <w:r>
        <w:rPr>
          <w:rFonts w:ascii="仿宋_GB2312" w:hAnsi="仿宋_GB2312" w:eastAsia="仿宋_GB2312"/>
          <w:b w:val="0"/>
          <w:sz w:val="32"/>
        </w:rPr>
        <w:t>。</w:t>
      </w:r>
    </w:p>
    <w:p w14:paraId="6FAB1A04">
      <w:pPr>
        <w:spacing w:line="580" w:lineRule="exact"/>
        <w:ind w:firstLine="640"/>
        <w:jc w:val="both"/>
      </w:pPr>
      <w:r>
        <w:rPr>
          <w:rFonts w:ascii="仿宋_GB2312" w:hAnsi="仿宋_GB2312" w:eastAsia="仿宋_GB2312"/>
          <w:b w:val="0"/>
          <w:sz w:val="32"/>
        </w:rPr>
        <w:t>5.文化旅游体育与传媒支出(类)体育(款)体育场馆(项):支出决算数为1,313.16万元，比上年决算增加1,313.16万元，增长100.00%,主要原因是：本年增加社会服务设施建设支持工程专项2024年第三批中央基建投资预算项目(体校搬迁-青少年足球训练中心项目）拨款，导致经费较上年增加。</w:t>
      </w:r>
    </w:p>
    <w:p w14:paraId="4AE09F20">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117.19万元，比上年决算增加13.18万元，增长12.67%,主要原因是：本年在职人员增加，在职人员工资基数调增，养老缴费基数上涨，相应支出增加。</w:t>
      </w:r>
    </w:p>
    <w:p w14:paraId="5D994DEF">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1.88万元，比上年决算减少39.54万元，下降95.46%,主要原因是：本年新增调出到其他省份人员较上年减少，职业年金缴费较上年减少。</w:t>
      </w:r>
    </w:p>
    <w:p w14:paraId="2A9D2CFC">
      <w:pPr>
        <w:spacing w:line="640" w:lineRule="exact"/>
        <w:ind w:firstLine="640"/>
        <w:jc w:val="both"/>
        <w:outlineLvl w:val="2"/>
      </w:pPr>
      <w:r>
        <w:rPr>
          <w:rFonts w:ascii="黑体" w:hAnsi="黑体" w:eastAsia="黑体"/>
          <w:sz w:val="32"/>
        </w:rPr>
        <w:t>六、一般公共预算财政拨款基本支出决算情况说明</w:t>
      </w:r>
    </w:p>
    <w:p w14:paraId="1919BAE1">
      <w:pPr>
        <w:spacing w:line="580" w:lineRule="exact"/>
        <w:ind w:firstLine="640"/>
        <w:jc w:val="both"/>
      </w:pPr>
      <w:r>
        <w:rPr>
          <w:rFonts w:ascii="仿宋_GB2312" w:hAnsi="仿宋_GB2312" w:eastAsia="仿宋_GB2312"/>
          <w:b w:val="0"/>
          <w:sz w:val="32"/>
        </w:rPr>
        <w:t>2024年度一般公共预算财政拨款基本支出1,267.26万元，其中：</w:t>
      </w:r>
      <w:r>
        <w:rPr>
          <w:rFonts w:ascii="仿宋_GB2312" w:hAnsi="仿宋_GB2312" w:eastAsia="仿宋_GB2312"/>
          <w:b/>
          <w:sz w:val="32"/>
        </w:rPr>
        <w:t>人员经费1,244.97万元，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其他对个人和家庭的补助。</w:t>
      </w:r>
    </w:p>
    <w:p w14:paraId="2282B3AB">
      <w:pPr>
        <w:spacing w:line="580" w:lineRule="exact"/>
        <w:ind w:firstLine="640"/>
        <w:jc w:val="both"/>
      </w:pPr>
      <w:r>
        <w:rPr>
          <w:rFonts w:ascii="仿宋_GB2312" w:hAnsi="仿宋_GB2312" w:eastAsia="仿宋_GB2312"/>
          <w:b/>
          <w:sz w:val="32"/>
        </w:rPr>
        <w:t>公用经费22.29万元，</w:t>
      </w:r>
      <w:r>
        <w:rPr>
          <w:rFonts w:ascii="仿宋_GB2312" w:hAnsi="仿宋_GB2312" w:eastAsia="仿宋_GB2312"/>
          <w:b w:val="0"/>
          <w:sz w:val="32"/>
        </w:rPr>
        <w:t>包括：委托业务费、工会经费、其他商品和服务支出。</w:t>
      </w:r>
    </w:p>
    <w:p w14:paraId="0C039481">
      <w:pPr>
        <w:spacing w:line="640" w:lineRule="exact"/>
        <w:ind w:firstLine="640"/>
        <w:jc w:val="both"/>
        <w:outlineLvl w:val="2"/>
      </w:pPr>
      <w:r>
        <w:rPr>
          <w:rFonts w:ascii="黑体" w:hAnsi="黑体" w:eastAsia="黑体"/>
          <w:sz w:val="32"/>
        </w:rPr>
        <w:t>七、政府性基金预算财政拨款收入支出决算情况说明</w:t>
      </w:r>
    </w:p>
    <w:p w14:paraId="49393576">
      <w:pPr>
        <w:spacing w:line="580" w:lineRule="exact"/>
        <w:ind w:firstLine="640"/>
        <w:jc w:val="both"/>
      </w:pPr>
      <w:r>
        <w:rPr>
          <w:rFonts w:ascii="仿宋_GB2312" w:hAnsi="仿宋_GB2312" w:eastAsia="仿宋_GB2312"/>
          <w:b/>
          <w:sz w:val="32"/>
        </w:rPr>
        <w:t>2024年度政府性基金预算财政拨款收入总计487.67万元，</w:t>
      </w:r>
      <w:r>
        <w:rPr>
          <w:rFonts w:ascii="仿宋_GB2312" w:hAnsi="仿宋_GB2312" w:eastAsia="仿宋_GB2312"/>
          <w:b w:val="0"/>
          <w:sz w:val="32"/>
        </w:rPr>
        <w:t>其中：年初结转和结余0.00万元，本年收入487.67万元。</w:t>
      </w:r>
      <w:r>
        <w:rPr>
          <w:rFonts w:ascii="仿宋_GB2312" w:hAnsi="仿宋_GB2312" w:eastAsia="仿宋_GB2312"/>
          <w:b/>
          <w:sz w:val="32"/>
        </w:rPr>
        <w:t>政府性基金预算财政拨款支出总计487.67万元，</w:t>
      </w:r>
      <w:r>
        <w:rPr>
          <w:rFonts w:ascii="仿宋_GB2312" w:hAnsi="仿宋_GB2312" w:eastAsia="仿宋_GB2312"/>
          <w:b w:val="0"/>
          <w:sz w:val="32"/>
        </w:rPr>
        <w:t>其中：年末结转和结余0.00万元，本年支出487.67万元。</w:t>
      </w:r>
    </w:p>
    <w:p w14:paraId="315269A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增加320.60万元，增长191.90%，主要原因是：本年增加2024年体育运动学校迁建前期启动资金项目，导致经费较上年增加。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年初预算数1,143.00万元，决算数487.67万元，预决算差异率-57.33%，主要原因是：年中对于确实不能执行的2024年体育运动学校迁建前期启动资金项目资金进行调减，导致预决算差异率。</w:t>
      </w:r>
    </w:p>
    <w:p w14:paraId="70068D9C">
      <w:pPr>
        <w:spacing w:line="580" w:lineRule="exact"/>
        <w:ind w:firstLine="640"/>
        <w:jc w:val="both"/>
      </w:pPr>
      <w:r>
        <w:rPr>
          <w:rFonts w:ascii="仿宋_GB2312" w:hAnsi="仿宋_GB2312" w:eastAsia="仿宋_GB2312"/>
          <w:b w:val="0"/>
          <w:sz w:val="32"/>
        </w:rPr>
        <w:t>政府性基金预算财政拨款支出487.67万元。</w:t>
      </w:r>
    </w:p>
    <w:p w14:paraId="5A498C29">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487.67万元，比上年决算增加320.60万元，增长191.90%,主要原因是：本年增加2024年体育运动学校迁建前期启动资金项目，导致经费较上年增加。</w:t>
      </w:r>
    </w:p>
    <w:p w14:paraId="303D990C">
      <w:pPr>
        <w:spacing w:line="640" w:lineRule="exact"/>
        <w:ind w:firstLine="640"/>
        <w:jc w:val="both"/>
        <w:outlineLvl w:val="2"/>
      </w:pPr>
      <w:r>
        <w:rPr>
          <w:rFonts w:ascii="黑体" w:hAnsi="黑体" w:eastAsia="黑体"/>
          <w:sz w:val="32"/>
        </w:rPr>
        <w:t>八、国有资本经营预算财政拨款收入支出决算情况说明</w:t>
      </w:r>
    </w:p>
    <w:p w14:paraId="0C00CF28">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1DE01BDC">
      <w:pPr>
        <w:spacing w:line="640" w:lineRule="exact"/>
        <w:ind w:firstLine="640"/>
        <w:jc w:val="both"/>
        <w:outlineLvl w:val="2"/>
      </w:pPr>
      <w:r>
        <w:rPr>
          <w:rFonts w:ascii="黑体" w:hAnsi="黑体" w:eastAsia="黑体"/>
          <w:sz w:val="32"/>
        </w:rPr>
        <w:t>九、财政拨款“三公”经费支出决算情况说明</w:t>
      </w:r>
    </w:p>
    <w:p w14:paraId="3B07F26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C2E7CCA">
      <w:pPr>
        <w:spacing w:line="580" w:lineRule="exact"/>
        <w:ind w:firstLine="640"/>
        <w:jc w:val="both"/>
      </w:pPr>
      <w:r>
        <w:rPr>
          <w:rFonts w:ascii="仿宋_GB2312" w:hAnsi="仿宋_GB2312" w:eastAsia="仿宋_GB2312"/>
          <w:b/>
          <w:sz w:val="32"/>
        </w:rPr>
        <w:t>具体情况如下：</w:t>
      </w:r>
    </w:p>
    <w:p w14:paraId="6772CDE9">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4F0E7E5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0辆，与公务用车保有量差异原因是：本部门无固定资产车辆。</w:t>
      </w:r>
    </w:p>
    <w:p w14:paraId="54B4F911">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7CC34A9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1F8B0EFC">
      <w:pPr>
        <w:spacing w:line="640" w:lineRule="exact"/>
        <w:ind w:firstLine="640"/>
        <w:jc w:val="both"/>
        <w:outlineLvl w:val="2"/>
      </w:pPr>
      <w:r>
        <w:rPr>
          <w:rFonts w:ascii="黑体" w:hAnsi="黑体" w:eastAsia="黑体"/>
          <w:sz w:val="32"/>
        </w:rPr>
        <w:t>十、其他重要事项的情况说明</w:t>
      </w:r>
    </w:p>
    <w:p w14:paraId="28238BC0">
      <w:pPr>
        <w:spacing w:line="640" w:lineRule="exact"/>
        <w:ind w:firstLine="640"/>
        <w:jc w:val="both"/>
        <w:outlineLvl w:val="3"/>
      </w:pPr>
      <w:r>
        <w:rPr>
          <w:rFonts w:ascii="楷体_GB2312" w:hAnsi="楷体_GB2312" w:eastAsia="楷体_GB2312"/>
          <w:b/>
          <w:sz w:val="32"/>
        </w:rPr>
        <w:t>（一）机关运行经费及公用经费支出情况</w:t>
      </w:r>
    </w:p>
    <w:p w14:paraId="668CDCC1">
      <w:pPr>
        <w:spacing w:line="580" w:lineRule="exact"/>
        <w:ind w:firstLine="640"/>
        <w:jc w:val="both"/>
      </w:pPr>
      <w:r>
        <w:rPr>
          <w:rFonts w:ascii="仿宋_GB2312" w:hAnsi="仿宋_GB2312" w:eastAsia="仿宋_GB2312"/>
          <w:b w:val="0"/>
          <w:sz w:val="32"/>
        </w:rPr>
        <w:t>2024年度喀什地区体育运动学校（事业单位）公用经费支出22.29万元，比上年减少6.87万元，下降23.56%，主要原因是：本年减少专项活动经费开支，导致公用经费减少。</w:t>
      </w:r>
    </w:p>
    <w:p w14:paraId="08F692F0">
      <w:pPr>
        <w:spacing w:line="640" w:lineRule="exact"/>
        <w:ind w:firstLine="640"/>
        <w:jc w:val="both"/>
        <w:outlineLvl w:val="3"/>
      </w:pPr>
      <w:r>
        <w:rPr>
          <w:rFonts w:ascii="楷体_GB2312" w:hAnsi="楷体_GB2312" w:eastAsia="楷体_GB2312"/>
          <w:b/>
          <w:sz w:val="32"/>
        </w:rPr>
        <w:t>（二）政府采购情况</w:t>
      </w:r>
    </w:p>
    <w:p w14:paraId="1BEFE6C2">
      <w:pPr>
        <w:spacing w:line="580" w:lineRule="exact"/>
        <w:ind w:firstLine="640"/>
        <w:jc w:val="both"/>
      </w:pPr>
      <w:r>
        <w:rPr>
          <w:rFonts w:ascii="仿宋_GB2312" w:hAnsi="仿宋_GB2312" w:eastAsia="仿宋_GB2312"/>
          <w:b w:val="0"/>
          <w:sz w:val="32"/>
        </w:rPr>
        <w:t>2024年度政府采购支出总额1,577.22万元，其中：政府采购货物支出120.11万元、政府采购工程支出0.00万元、政府采购服务支出1,457.11万元。</w:t>
      </w:r>
    </w:p>
    <w:p w14:paraId="3814DB37">
      <w:pPr>
        <w:spacing w:line="580" w:lineRule="exact"/>
        <w:ind w:firstLine="640"/>
        <w:jc w:val="both"/>
      </w:pPr>
      <w:r>
        <w:rPr>
          <w:rFonts w:ascii="仿宋_GB2312" w:hAnsi="仿宋_GB2312" w:eastAsia="仿宋_GB2312"/>
          <w:b w:val="0"/>
          <w:sz w:val="32"/>
        </w:rPr>
        <w:t>授予中小企业合同金额1,577.22万元，占政府采购支出总额的100.00%，其中：授予小微企业合同金额1,577.11万元，占政府采购支出总额的99.99%。</w:t>
      </w:r>
    </w:p>
    <w:p w14:paraId="3B7B73D1">
      <w:pPr>
        <w:spacing w:line="640" w:lineRule="exact"/>
        <w:ind w:firstLine="640"/>
        <w:jc w:val="both"/>
        <w:outlineLvl w:val="3"/>
      </w:pPr>
      <w:r>
        <w:rPr>
          <w:rFonts w:ascii="楷体_GB2312" w:hAnsi="楷体_GB2312" w:eastAsia="楷体_GB2312"/>
          <w:b/>
          <w:sz w:val="32"/>
        </w:rPr>
        <w:t>（三）国有资产占用情况说明</w:t>
      </w:r>
    </w:p>
    <w:p w14:paraId="5AE9FB0C">
      <w:pPr>
        <w:spacing w:line="580" w:lineRule="exact"/>
        <w:ind w:firstLine="640"/>
        <w:jc w:val="both"/>
      </w:pPr>
      <w:r>
        <w:rPr>
          <w:rFonts w:ascii="仿宋_GB2312" w:hAnsi="仿宋_GB2312" w:eastAsia="仿宋_GB2312"/>
          <w:b w:val="0"/>
          <w:sz w:val="32"/>
        </w:rPr>
        <w:t>截至2024年12月31日，房屋16,194.08平方米，价值2,182.97万元。车辆0辆，价值0.00万元，其中：副部（省）级及以上领导用车0辆、主要负责人用车0辆、机要通信用车0辆、应急保障用车0辆、执法执勤用车0辆、特种专业技术用车0辆、离退休干部服务用车0辆、其他用车0辆，其他用车主要是：本部门无其他用车。单价100万元（含）以上设备（不含车辆）0台（套）。</w:t>
      </w:r>
    </w:p>
    <w:p w14:paraId="0FE1E1C7">
      <w:pPr>
        <w:spacing w:line="640" w:lineRule="exact"/>
        <w:ind w:firstLine="640"/>
        <w:jc w:val="both"/>
        <w:outlineLvl w:val="2"/>
      </w:pPr>
      <w:r>
        <w:rPr>
          <w:rFonts w:ascii="黑体" w:hAnsi="黑体" w:eastAsia="黑体"/>
          <w:sz w:val="32"/>
        </w:rPr>
        <w:t>十一、预算绩效的情况说明</w:t>
      </w:r>
    </w:p>
    <w:p w14:paraId="06E95F25">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根据预算绩效管理要求，本部门2024年度预算绩效管理形成整体支出绩效自评表1个，全年预算总额16,830.72万元，实际执行总额3,446.92万元；预算绩效评价项目</w:t>
      </w:r>
      <w:r>
        <w:rPr>
          <w:rFonts w:hint="eastAsia" w:ascii="仿宋_GB2312" w:hAnsi="仿宋_GB2312" w:eastAsia="仿宋_GB2312"/>
          <w:b w:val="0"/>
          <w:sz w:val="32"/>
          <w:lang w:val="en-US" w:eastAsia="zh-CN"/>
        </w:rPr>
        <w:t>10</w:t>
      </w:r>
      <w:r>
        <w:rPr>
          <w:rFonts w:ascii="仿宋_GB2312" w:hAnsi="仿宋_GB2312" w:eastAsia="仿宋_GB2312"/>
          <w:b w:val="0"/>
          <w:sz w:val="32"/>
        </w:rPr>
        <w:t>个，全年预算数</w:t>
      </w:r>
      <w:r>
        <w:rPr>
          <w:rFonts w:hint="eastAsia" w:ascii="仿宋_GB2312" w:hAnsi="仿宋_GB2312" w:eastAsia="仿宋_GB2312"/>
          <w:b w:val="0"/>
          <w:sz w:val="32"/>
        </w:rPr>
        <w:t>7551.38</w:t>
      </w:r>
      <w:r>
        <w:rPr>
          <w:rFonts w:ascii="仿宋_GB2312" w:hAnsi="仿宋_GB2312" w:eastAsia="仿宋_GB2312"/>
          <w:b w:val="0"/>
          <w:sz w:val="32"/>
        </w:rPr>
        <w:t>万元，全年执行数</w:t>
      </w:r>
      <w:r>
        <w:rPr>
          <w:rFonts w:hint="eastAsia" w:ascii="仿宋_GB2312" w:hAnsi="仿宋_GB2312" w:eastAsia="仿宋_GB2312"/>
          <w:b w:val="0"/>
          <w:sz w:val="32"/>
        </w:rPr>
        <w:t>2173.98</w:t>
      </w:r>
      <w:r>
        <w:rPr>
          <w:rFonts w:ascii="仿宋_GB2312" w:hAnsi="仿宋_GB2312" w:eastAsia="仿宋_GB2312"/>
          <w:b w:val="0"/>
          <w:sz w:val="32"/>
        </w:rPr>
        <w:t>万元。预算绩效管理取得的成效：一是抓住用好乡村振兴战略的机遇，加快推进农业农村现代化步伐。二是贯彻落实好三免一补专项惠民政策及国家现代职业教育提升计划，发展好我校的职业教育事业，力争完成2024年我校的中等职业教育和体育人才培训输送工作任务。</w:t>
      </w:r>
      <w:r>
        <w:rPr>
          <w:rFonts w:hint="eastAsia" w:ascii="仿宋_GB2312" w:hAnsi="仿宋_GB2312" w:eastAsia="仿宋_GB2312"/>
          <w:b w:val="0"/>
          <w:sz w:val="32"/>
        </w:rPr>
        <w:t>三是筑牢安全教育生产控防线，确保本校全年无重大人员安全事故发生。</w:t>
      </w:r>
      <w:r>
        <w:rPr>
          <w:rFonts w:ascii="仿宋_GB2312" w:hAnsi="仿宋_GB2312" w:eastAsia="仿宋_GB2312"/>
          <w:b w:val="0"/>
          <w:sz w:val="32"/>
        </w:rPr>
        <w:t>四是抓好学生三免一补专项惠民政策及国家现代职业教育提升计划项目监管工作。继续推动建设以坚持项目引领、兼顾公平与均衡发展，对南疆职业学校和贫困县职业教育予以倾斜原则，用于现代职业教育提升计划有关的项目建设工作。五是深化我校职业教育质量提升计划改革，发挥我区职业教育领域提升效率。发现的问题及原因：一是预算执行存在偏差，</w:t>
      </w:r>
      <w:r>
        <w:rPr>
          <w:rFonts w:hint="eastAsia" w:ascii="仿宋_GB2312" w:hAnsi="仿宋_GB2312" w:eastAsia="仿宋_GB2312"/>
          <w:b w:val="0"/>
          <w:sz w:val="32"/>
          <w:lang w:eastAsia="zh-CN"/>
        </w:rPr>
        <w:t>由于</w:t>
      </w:r>
      <w:r>
        <w:rPr>
          <w:rFonts w:ascii="仿宋_GB2312" w:hAnsi="仿宋_GB2312" w:eastAsia="仿宋_GB2312"/>
          <w:b w:val="0"/>
          <w:sz w:val="32"/>
        </w:rPr>
        <w:t>部分项目支出预算指标10-11月份才下达，造成本部门在预算执行情况不好的情况。对个别项目资金使用方面预算不够细致、实施不够规范，出现项目资金结转资金数额多的情况。二是目标设定科学性及评价存在难度，</w:t>
      </w:r>
      <w:r>
        <w:rPr>
          <w:rFonts w:hint="eastAsia" w:ascii="仿宋_GB2312" w:hAnsi="仿宋_GB2312" w:eastAsia="仿宋_GB2312"/>
          <w:b w:val="0"/>
          <w:sz w:val="32"/>
          <w:lang w:eastAsia="zh-CN"/>
        </w:rPr>
        <w:t>由于</w:t>
      </w:r>
      <w:r>
        <w:rPr>
          <w:rFonts w:ascii="仿宋_GB2312" w:hAnsi="仿宋_GB2312" w:eastAsia="仿宋_GB2312"/>
          <w:b w:val="0"/>
          <w:sz w:val="32"/>
        </w:rPr>
        <w:t>部分目标的三级指标设定需要根据各部门科室的实际情况进行核实汇总，形成整合后统一名称的三级指标，对于如何科学整合分解全单位绩效目标比较困难；目标设定后如何科学设定考核评价标准，特别是对于不能量化的目标如何评价没有进行充分的研究论证。三是项目方面，项目前期调研不充分、未制定合理的实施方案。在年初对全年工作缺乏计划性，项目实施过程无法合理配置资源，如人力，财力，物力等。项目过程监管不足，对资金拨付后没有开展有效的监管和针对具体措施进行实时纠偏整改。下一步改进措施：一是加强新行政单位会计制度、新预算法、绩效管理等学习培训、规范账务处理。加强新《中华人民共和国预算法</w:t>
      </w:r>
      <w:r>
        <w:rPr>
          <w:rFonts w:hint="eastAsia" w:ascii="仿宋_GB2312" w:hAnsi="仿宋_GB2312" w:eastAsia="仿宋_GB2312"/>
          <w:b w:val="0"/>
          <w:sz w:val="32"/>
          <w:lang w:eastAsia="zh-CN"/>
        </w:rPr>
        <w:t>》《</w:t>
      </w:r>
      <w:r>
        <w:rPr>
          <w:rFonts w:ascii="仿宋_GB2312" w:hAnsi="仿宋_GB2312" w:eastAsia="仿宋_GB2312"/>
          <w:b w:val="0"/>
          <w:sz w:val="32"/>
        </w:rPr>
        <w:t>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内部控制制度》等学习培训,规范部门预算收支核算,一是制定和完善基本支出、项目支出等各项支出标准,严格按项目和进度执行预算,增强预算的约束力和严肃性。二是落实预算执行分析,及时了解预算执行差异,合理调整、纠正预算执行偏差，切实提高部门预算收支管理水平。尽可能地做到决算与预算相衔接。</w:t>
      </w:r>
      <w:r>
        <w:rPr>
          <w:rFonts w:hint="eastAsia" w:ascii="仿宋_GB2312" w:hAnsi="仿宋_GB2312" w:eastAsia="仿宋_GB2312"/>
          <w:b w:val="0"/>
          <w:sz w:val="32"/>
        </w:rPr>
        <w:t>二是完善管理制度,进一步加强资产管理，严格按照《固定资产管理办法》的规定加强固定资产管理,及时登记、更新台账，加强资产卡片管理,对各类实物资产进行全面盘点,确保账账、账实相符。</w:t>
      </w:r>
      <w:r>
        <w:rPr>
          <w:rFonts w:ascii="仿宋_GB2312" w:hAnsi="仿宋_GB2312" w:eastAsia="仿宋_GB2312"/>
          <w:b w:val="0"/>
          <w:sz w:val="32"/>
        </w:rPr>
        <w:t>三是加强学习如何科学合理制定绩效目标及考核体系，充分发挥绩效工作效用。四是财务上，会计核算要更加详细，为本部门各项工作的开展、总结、评估提供有效数据资料支撑,为各项业务工作更好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开展提供帮助。具体附部门整体支出绩效自评表，项目支出绩效自评表和部门评价报告。</w:t>
      </w:r>
    </w:p>
    <w:p w14:paraId="7F3588C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E47E62B">
        <w:tblPrEx>
          <w:tblCellMar>
            <w:top w:w="0" w:type="dxa"/>
            <w:left w:w="108" w:type="dxa"/>
            <w:bottom w:w="0" w:type="dxa"/>
            <w:right w:w="108" w:type="dxa"/>
          </w:tblCellMar>
        </w:tblPrEx>
        <w:tc>
          <w:tcPr>
            <w:tcW w:w="8847" w:type="dxa"/>
            <w:gridSpan w:val="9"/>
            <w:vAlign w:val="center"/>
          </w:tcPr>
          <w:p w14:paraId="4B5671C9">
            <w:pPr>
              <w:jc w:val="center"/>
            </w:pPr>
            <w:r>
              <w:rPr>
                <w:rFonts w:ascii="宋体" w:hAnsi="宋体" w:eastAsia="宋体"/>
                <w:sz w:val="24"/>
              </w:rPr>
              <w:t>部门整体支出绩效自评表</w:t>
            </w:r>
          </w:p>
        </w:tc>
      </w:tr>
      <w:tr w14:paraId="1C78CE9E">
        <w:tblPrEx>
          <w:tblCellMar>
            <w:top w:w="0" w:type="dxa"/>
            <w:left w:w="108" w:type="dxa"/>
            <w:bottom w:w="0" w:type="dxa"/>
            <w:right w:w="108" w:type="dxa"/>
          </w:tblCellMar>
        </w:tblPrEx>
        <w:tc>
          <w:tcPr>
            <w:tcW w:w="8847" w:type="dxa"/>
            <w:gridSpan w:val="9"/>
            <w:vAlign w:val="center"/>
          </w:tcPr>
          <w:p w14:paraId="5EC144BC">
            <w:pPr>
              <w:jc w:val="center"/>
            </w:pPr>
            <w:r>
              <w:rPr>
                <w:rFonts w:ascii="宋体" w:hAnsi="宋体" w:eastAsia="宋体"/>
                <w:sz w:val="24"/>
              </w:rPr>
              <w:t>（2024年度）</w:t>
            </w:r>
          </w:p>
        </w:tc>
      </w:tr>
      <w:tr w14:paraId="2196BF5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6F690">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B1DC9F7">
            <w:pPr>
              <w:jc w:val="center"/>
            </w:pPr>
            <w:r>
              <w:rPr>
                <w:rFonts w:ascii="宋体" w:hAnsi="宋体" w:eastAsia="宋体"/>
                <w:sz w:val="16"/>
              </w:rPr>
              <w:t>喀什地区体育运动学校</w:t>
            </w:r>
          </w:p>
        </w:tc>
      </w:tr>
      <w:tr w14:paraId="43B447E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BCCF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CAD0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1D50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4208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9B914">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AFD8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CE3F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CF9C2">
            <w:pPr>
              <w:jc w:val="center"/>
            </w:pPr>
            <w:r>
              <w:rPr>
                <w:rFonts w:ascii="宋体" w:hAnsi="宋体" w:eastAsia="宋体"/>
                <w:sz w:val="16"/>
              </w:rPr>
              <w:t>得分</w:t>
            </w:r>
          </w:p>
        </w:tc>
      </w:tr>
      <w:tr w14:paraId="149176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5156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BC30E">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ABBDE">
            <w:pPr>
              <w:jc w:val="center"/>
            </w:pPr>
            <w:r>
              <w:rPr>
                <w:rFonts w:ascii="宋体" w:hAnsi="宋体" w:eastAsia="宋体"/>
                <w:sz w:val="16"/>
              </w:rPr>
              <w:t>2,734.20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2AE00">
            <w:pPr>
              <w:jc w:val="center"/>
            </w:pPr>
            <w:r>
              <w:rPr>
                <w:rFonts w:ascii="宋体" w:hAnsi="宋体" w:eastAsia="宋体"/>
                <w:sz w:val="16"/>
              </w:rPr>
              <w:t>16,830.72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20AAE">
            <w:pPr>
              <w:jc w:val="center"/>
            </w:pPr>
            <w:r>
              <w:rPr>
                <w:rFonts w:ascii="宋体" w:hAnsi="宋体" w:eastAsia="宋体"/>
                <w:sz w:val="16"/>
              </w:rPr>
              <w:t>3,446.92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F994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79300">
            <w:pPr>
              <w:jc w:val="center"/>
            </w:pPr>
            <w:r>
              <w:rPr>
                <w:rFonts w:ascii="宋体" w:hAnsi="宋体" w:eastAsia="宋体"/>
                <w:sz w:val="16"/>
              </w:rPr>
              <w:t>20.48%</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04A5D">
            <w:pPr>
              <w:jc w:val="center"/>
            </w:pPr>
            <w:r>
              <w:rPr>
                <w:rFonts w:ascii="宋体" w:hAnsi="宋体" w:eastAsia="宋体"/>
                <w:sz w:val="16"/>
              </w:rPr>
              <w:t>2.05</w:t>
            </w:r>
          </w:p>
        </w:tc>
      </w:tr>
      <w:tr w14:paraId="5BAB02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9B34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E8552">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8A902">
            <w:pPr>
              <w:jc w:val="center"/>
            </w:pPr>
            <w:r>
              <w:rPr>
                <w:rFonts w:ascii="宋体" w:hAnsi="宋体" w:eastAsia="宋体"/>
                <w:sz w:val="16"/>
              </w:rPr>
              <w:t>338.58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79AE4">
            <w:pPr>
              <w:jc w:val="center"/>
            </w:pPr>
            <w:r>
              <w:rPr>
                <w:rFonts w:ascii="宋体" w:hAnsi="宋体" w:eastAsia="宋体"/>
                <w:sz w:val="16"/>
              </w:rPr>
              <w:t>4,416.06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03E3B">
            <w:pPr>
              <w:jc w:val="center"/>
            </w:pPr>
            <w:r>
              <w:rPr>
                <w:rFonts w:ascii="宋体" w:hAnsi="宋体" w:eastAsia="宋体"/>
                <w:sz w:val="16"/>
              </w:rPr>
              <w:t>1,691.00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4E93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BEA1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553E0">
            <w:pPr>
              <w:jc w:val="center"/>
            </w:pPr>
            <w:r>
              <w:rPr>
                <w:rFonts w:ascii="宋体" w:hAnsi="宋体" w:eastAsia="宋体"/>
                <w:sz w:val="16"/>
              </w:rPr>
              <w:t>—</w:t>
            </w:r>
          </w:p>
        </w:tc>
      </w:tr>
      <w:tr w14:paraId="63A7E6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0969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F415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B88BC">
            <w:pPr>
              <w:jc w:val="center"/>
            </w:pPr>
            <w:r>
              <w:rPr>
                <w:rFonts w:ascii="宋体" w:hAnsi="宋体" w:eastAsia="宋体"/>
                <w:sz w:val="16"/>
              </w:rPr>
              <w:t>2,395.62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8E779">
            <w:pPr>
              <w:jc w:val="center"/>
            </w:pPr>
            <w:r>
              <w:rPr>
                <w:rFonts w:ascii="宋体" w:hAnsi="宋体" w:eastAsia="宋体"/>
                <w:sz w:val="16"/>
              </w:rPr>
              <w:t>10,414.66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73C66">
            <w:pPr>
              <w:jc w:val="center"/>
            </w:pPr>
            <w:r>
              <w:rPr>
                <w:rFonts w:ascii="宋体" w:hAnsi="宋体" w:eastAsia="宋体"/>
                <w:sz w:val="16"/>
              </w:rPr>
              <w:t>1,755.92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43FC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F857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C8197">
            <w:pPr>
              <w:jc w:val="center"/>
            </w:pPr>
            <w:r>
              <w:rPr>
                <w:rFonts w:ascii="宋体" w:hAnsi="宋体" w:eastAsia="宋体"/>
                <w:sz w:val="16"/>
              </w:rPr>
              <w:t>—</w:t>
            </w:r>
          </w:p>
        </w:tc>
      </w:tr>
      <w:tr w14:paraId="1639F7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C540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59ED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2FD6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689E9">
            <w:pPr>
              <w:jc w:val="center"/>
            </w:pPr>
            <w:r>
              <w:rPr>
                <w:rFonts w:ascii="宋体" w:hAnsi="宋体" w:eastAsia="宋体"/>
                <w:sz w:val="16"/>
              </w:rPr>
              <w:t>2,000.00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5AAF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BC1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4161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BD965">
            <w:pPr>
              <w:jc w:val="center"/>
            </w:pPr>
            <w:r>
              <w:rPr>
                <w:rFonts w:ascii="宋体" w:hAnsi="宋体" w:eastAsia="宋体"/>
                <w:sz w:val="16"/>
              </w:rPr>
              <w:t>—</w:t>
            </w:r>
          </w:p>
        </w:tc>
      </w:tr>
      <w:tr w14:paraId="3208D77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99E3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6D4B6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0D3E9A">
            <w:pPr>
              <w:jc w:val="center"/>
            </w:pPr>
            <w:r>
              <w:rPr>
                <w:rFonts w:ascii="宋体" w:hAnsi="宋体" w:eastAsia="宋体"/>
                <w:sz w:val="16"/>
              </w:rPr>
              <w:t>实际完成情况</w:t>
            </w:r>
          </w:p>
        </w:tc>
      </w:tr>
      <w:tr w14:paraId="274C26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6F5E9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6400F3">
            <w:pPr>
              <w:jc w:val="both"/>
            </w:pPr>
            <w:r>
              <w:rPr>
                <w:rFonts w:ascii="宋体" w:hAnsi="宋体" w:eastAsia="宋体"/>
                <w:sz w:val="16"/>
              </w:rPr>
              <w:t>全面贯彻党的教育方针，落实立德树人根本任务，以习近平新时代中国特色社会主义思想为指导，深入贯彻落实党的二十大精神，认真贯彻落实党中央、自治区党委和地委的决策部署，紧紧围绕社会长治久安总目标，统筹推进喀什地区体育运动学校各项工作有序进行，坚持把“安全为先、质量为重、特色彰显、全面发展”作为学校发展的总目标，促均衡、提质量、创特色、增效能、强队伍，统筹推进学校党建人事、师生管理、思政德育、队伍建设、后勤保障等工作，努力实现高质量教育，做好学校的学生招生工作，保障中职学生的资助补助政策的覆盖率，做好本年中职学生的就业落实率，发展本校的体育专业优势，培养更多的体育人才，向上级输送更多的体育人才队伍，同时建好学校的现代职业教育提升计划的硬件设施，提高学校的知名度。</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99F0E2">
            <w:pPr>
              <w:jc w:val="both"/>
            </w:pPr>
            <w:r>
              <w:rPr>
                <w:rFonts w:ascii="宋体" w:hAnsi="宋体" w:eastAsia="宋体"/>
                <w:sz w:val="16"/>
              </w:rPr>
              <w:t>2024年度</w:t>
            </w:r>
            <w:r>
              <w:rPr>
                <w:rFonts w:hint="eastAsia" w:ascii="宋体" w:hAnsi="宋体"/>
                <w:sz w:val="16"/>
                <w:lang w:eastAsia="zh-CN"/>
              </w:rPr>
              <w:t>按照</w:t>
            </w:r>
            <w:r>
              <w:rPr>
                <w:rFonts w:ascii="宋体" w:hAnsi="宋体" w:eastAsia="宋体"/>
                <w:sz w:val="16"/>
              </w:rPr>
              <w:t>喀什地区教工委及喀什地区教育局的要求，认真完成好学校的教育教学工作，组织实施年度冬训、夏训计划，如提升在校学生的竞技水平，为全疆乃至全国的各级各类体育赛事做好准备，发展好学校的专业特长优势，同时向上级部门培养和输送更多体育优秀人才，提高学校的知名度。本年严格贯彻落实</w:t>
            </w:r>
            <w:r>
              <w:rPr>
                <w:rFonts w:hint="eastAsia" w:ascii="宋体" w:hAnsi="宋体"/>
                <w:sz w:val="16"/>
                <w:lang w:eastAsia="zh-CN"/>
              </w:rPr>
              <w:t>党的路线方针政策</w:t>
            </w:r>
            <w:r>
              <w:rPr>
                <w:rFonts w:ascii="宋体" w:hAnsi="宋体" w:eastAsia="宋体"/>
                <w:sz w:val="16"/>
              </w:rPr>
              <w:t>，完成招生216名，组织学生就业实习达到就业率96.17%，发展本校的体育优势，为上级输送了19名体育竞技后备人才，完成了现代职业教育购置图书项目、喀什地区青训中心建设及体校迁建项目的推进工作，圆满完成了2024年年度工作。</w:t>
            </w:r>
          </w:p>
        </w:tc>
      </w:tr>
      <w:tr w14:paraId="2F96232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3EC9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8419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09F6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64772">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16F2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5DDF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1A6B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B7D33">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E868C">
            <w:pPr>
              <w:jc w:val="center"/>
            </w:pPr>
            <w:r>
              <w:rPr>
                <w:rFonts w:ascii="宋体" w:hAnsi="宋体" w:eastAsia="宋体"/>
                <w:sz w:val="16"/>
              </w:rPr>
              <w:t>得分</w:t>
            </w:r>
          </w:p>
        </w:tc>
      </w:tr>
      <w:tr w14:paraId="664C754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1537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78A61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41E4F">
            <w:pPr>
              <w:jc w:val="center"/>
            </w:pPr>
            <w:r>
              <w:rPr>
                <w:rFonts w:ascii="宋体" w:hAnsi="宋体" w:eastAsia="宋体"/>
                <w:sz w:val="16"/>
              </w:rPr>
              <w:t>中职享受资助政策补助学生数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F149B">
            <w:pPr>
              <w:jc w:val="center"/>
            </w:pPr>
            <w:r>
              <w:rPr>
                <w:rFonts w:ascii="宋体" w:hAnsi="宋体" w:eastAsia="宋体"/>
                <w:sz w:val="16"/>
              </w:rPr>
              <w:t>&gt;=481人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D3312">
            <w:pPr>
              <w:jc w:val="center"/>
            </w:pPr>
            <w:r>
              <w:rPr>
                <w:rFonts w:ascii="宋体" w:hAnsi="宋体" w:eastAsia="宋体"/>
                <w:sz w:val="16"/>
              </w:rPr>
              <w:t>《关于提前下达2024年学生资助补助经费预算（中央直达资金）的通知》喀地财教</w:t>
            </w:r>
            <w:r>
              <w:rPr>
                <w:rFonts w:hint="eastAsia" w:ascii="宋体" w:hAnsi="宋体"/>
                <w:sz w:val="16"/>
                <w:lang w:eastAsia="zh-CN"/>
              </w:rPr>
              <w:t>〔2023〕72号</w:t>
            </w:r>
            <w:r>
              <w:rPr>
                <w:rFonts w:ascii="宋体" w:hAnsi="宋体" w:eastAsia="宋体"/>
                <w:sz w:val="16"/>
              </w:rPr>
              <w:t>、喀地财教</w:t>
            </w:r>
            <w:r>
              <w:rPr>
                <w:rFonts w:hint="eastAsia" w:ascii="宋体" w:hAnsi="宋体"/>
                <w:sz w:val="16"/>
                <w:lang w:eastAsia="zh-CN"/>
              </w:rPr>
              <w:t>〔2023〕82号</w:t>
            </w:r>
            <w:r>
              <w:rPr>
                <w:rFonts w:ascii="宋体" w:hAnsi="宋体" w:eastAsia="宋体"/>
                <w:sz w:val="16"/>
              </w:rPr>
              <w:t>、喀地财教</w:t>
            </w:r>
            <w:r>
              <w:rPr>
                <w:rFonts w:hint="eastAsia" w:ascii="宋体" w:hAnsi="宋体"/>
                <w:sz w:val="16"/>
                <w:lang w:eastAsia="zh-CN"/>
              </w:rPr>
              <w:t>〔2023〕83号</w:t>
            </w:r>
            <w:r>
              <w:rPr>
                <w:rFonts w:ascii="宋体" w:hAnsi="宋体" w:eastAsia="宋体"/>
                <w:sz w:val="16"/>
              </w:rPr>
              <w:t>、喀地财教</w:t>
            </w:r>
            <w:r>
              <w:rPr>
                <w:rFonts w:hint="eastAsia" w:ascii="宋体" w:hAnsi="宋体"/>
                <w:sz w:val="16"/>
                <w:lang w:eastAsia="zh-CN"/>
              </w:rPr>
              <w:t>〔2023〕84号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2179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65E95">
            <w:pPr>
              <w:jc w:val="center"/>
            </w:pPr>
            <w:r>
              <w:rPr>
                <w:rFonts w:ascii="宋体" w:hAnsi="宋体" w:eastAsia="宋体"/>
                <w:sz w:val="16"/>
              </w:rPr>
              <w:t>481人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DD2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DA614">
            <w:pPr>
              <w:jc w:val="center"/>
            </w:pPr>
            <w:r>
              <w:rPr>
                <w:rFonts w:ascii="宋体" w:hAnsi="宋体" w:eastAsia="宋体"/>
                <w:sz w:val="16"/>
              </w:rPr>
              <w:t>15</w:t>
            </w:r>
          </w:p>
        </w:tc>
      </w:tr>
      <w:tr w14:paraId="6947CB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701CF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0DA3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D801B">
            <w:pPr>
              <w:jc w:val="center"/>
            </w:pPr>
            <w:r>
              <w:rPr>
                <w:rFonts w:ascii="宋体" w:hAnsi="宋体" w:eastAsia="宋体"/>
                <w:sz w:val="16"/>
              </w:rPr>
              <w:t>中职毕业生初次去向落实率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5D148">
            <w:pPr>
              <w:jc w:val="center"/>
            </w:pPr>
            <w:r>
              <w:rPr>
                <w:rFonts w:ascii="宋体" w:hAnsi="宋体" w:eastAsia="宋体"/>
                <w:sz w:val="16"/>
              </w:rPr>
              <w:t>&gt;=96%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71C32">
            <w:pPr>
              <w:jc w:val="center"/>
            </w:pPr>
            <w:r>
              <w:rPr>
                <w:rFonts w:ascii="宋体" w:hAnsi="宋体" w:eastAsia="宋体"/>
                <w:sz w:val="16"/>
              </w:rPr>
              <w:t>喀什地区体育运动学校2024年工作计划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58CD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403A6">
            <w:pPr>
              <w:jc w:val="center"/>
            </w:pPr>
            <w:r>
              <w:rPr>
                <w:rFonts w:ascii="宋体" w:hAnsi="宋体" w:eastAsia="宋体"/>
                <w:sz w:val="16"/>
              </w:rPr>
              <w:t>96.17%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33D74">
            <w:pPr>
              <w:jc w:val="center"/>
            </w:pPr>
            <w:r>
              <w:rPr>
                <w:rFonts w:ascii="宋体" w:hAnsi="宋体" w:eastAsia="宋体"/>
                <w:sz w:val="16"/>
              </w:rPr>
              <w:t>100.18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738AF">
            <w:pPr>
              <w:jc w:val="center"/>
            </w:pPr>
            <w:r>
              <w:rPr>
                <w:rFonts w:ascii="宋体" w:hAnsi="宋体" w:eastAsia="宋体"/>
                <w:sz w:val="16"/>
              </w:rPr>
              <w:t>15</w:t>
            </w:r>
          </w:p>
        </w:tc>
      </w:tr>
      <w:tr w14:paraId="4FAA1F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5372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3664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DE157">
            <w:pPr>
              <w:jc w:val="center"/>
            </w:pPr>
            <w:r>
              <w:rPr>
                <w:rFonts w:ascii="宋体" w:hAnsi="宋体" w:eastAsia="宋体"/>
                <w:sz w:val="16"/>
              </w:rPr>
              <w:t>中职体育专业入学人数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91DF3">
            <w:pPr>
              <w:jc w:val="center"/>
            </w:pPr>
            <w:r>
              <w:rPr>
                <w:rFonts w:ascii="宋体" w:hAnsi="宋体" w:eastAsia="宋体"/>
                <w:sz w:val="16"/>
              </w:rPr>
              <w:t>&lt;=216人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BBCB2">
            <w:pPr>
              <w:jc w:val="center"/>
            </w:pPr>
            <w:r>
              <w:rPr>
                <w:rFonts w:ascii="宋体" w:hAnsi="宋体" w:eastAsia="宋体"/>
                <w:sz w:val="16"/>
              </w:rPr>
              <w:t>喀什地区体育运动学校2024年工作计划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1402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629DB">
            <w:pPr>
              <w:jc w:val="center"/>
            </w:pPr>
            <w:r>
              <w:rPr>
                <w:rFonts w:ascii="宋体" w:hAnsi="宋体" w:eastAsia="宋体"/>
                <w:sz w:val="16"/>
              </w:rPr>
              <w:t>216人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EB8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E53E0">
            <w:pPr>
              <w:jc w:val="center"/>
            </w:pPr>
            <w:r>
              <w:rPr>
                <w:rFonts w:ascii="宋体" w:hAnsi="宋体" w:eastAsia="宋体"/>
                <w:sz w:val="16"/>
              </w:rPr>
              <w:t>15</w:t>
            </w:r>
          </w:p>
        </w:tc>
      </w:tr>
      <w:tr w14:paraId="7953AE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E88A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9F4B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77F21">
            <w:pPr>
              <w:jc w:val="center"/>
            </w:pPr>
            <w:r>
              <w:rPr>
                <w:rFonts w:ascii="宋体" w:hAnsi="宋体" w:eastAsia="宋体"/>
                <w:sz w:val="16"/>
              </w:rPr>
              <w:t>现代教育质量提升项目个数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864A1">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71BF3">
            <w:pPr>
              <w:jc w:val="center"/>
            </w:pPr>
            <w:r>
              <w:rPr>
                <w:rFonts w:ascii="宋体" w:hAnsi="宋体" w:eastAsia="宋体"/>
                <w:sz w:val="16"/>
              </w:rPr>
              <w:t>喀地财教</w:t>
            </w:r>
            <w:r>
              <w:rPr>
                <w:rFonts w:hint="eastAsia" w:ascii="宋体" w:hAnsi="宋体"/>
                <w:sz w:val="16"/>
                <w:lang w:eastAsia="zh-CN"/>
              </w:rPr>
              <w:t>〔2023〕86号</w:t>
            </w:r>
            <w:r>
              <w:rPr>
                <w:rFonts w:ascii="宋体" w:hAnsi="宋体" w:eastAsia="宋体"/>
                <w:sz w:val="16"/>
              </w:rPr>
              <w:t>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7BB9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C70CB">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04E6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05700">
            <w:pPr>
              <w:jc w:val="center"/>
            </w:pPr>
            <w:r>
              <w:rPr>
                <w:rFonts w:ascii="宋体" w:hAnsi="宋体" w:eastAsia="宋体"/>
                <w:sz w:val="16"/>
              </w:rPr>
              <w:t>15</w:t>
            </w:r>
          </w:p>
        </w:tc>
      </w:tr>
      <w:tr w14:paraId="44FF82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CDD4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768C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7ED9B">
            <w:pPr>
              <w:jc w:val="center"/>
            </w:pPr>
            <w:r>
              <w:rPr>
                <w:rFonts w:ascii="宋体" w:hAnsi="宋体" w:eastAsia="宋体"/>
                <w:sz w:val="16"/>
              </w:rPr>
              <w:t>体育运动学校迁建项目个数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FA4F1">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F839A">
            <w:pPr>
              <w:jc w:val="center"/>
            </w:pPr>
            <w:r>
              <w:rPr>
                <w:rFonts w:ascii="宋体" w:hAnsi="宋体" w:eastAsia="宋体"/>
                <w:sz w:val="16"/>
              </w:rPr>
              <w:t>喀发改社会</w:t>
            </w:r>
            <w:r>
              <w:rPr>
                <w:rFonts w:hint="eastAsia" w:ascii="宋体" w:hAnsi="宋体"/>
                <w:sz w:val="16"/>
                <w:lang w:eastAsia="zh-CN"/>
              </w:rPr>
              <w:t>〔2023〕557号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235F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031F3">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48C2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B4F00">
            <w:pPr>
              <w:jc w:val="center"/>
            </w:pPr>
            <w:r>
              <w:rPr>
                <w:rFonts w:ascii="宋体" w:hAnsi="宋体" w:eastAsia="宋体"/>
                <w:sz w:val="16"/>
              </w:rPr>
              <w:t>15</w:t>
            </w:r>
          </w:p>
        </w:tc>
      </w:tr>
      <w:tr w14:paraId="5CC3706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7A6A4">
            <w:pPr>
              <w:jc w:val="center"/>
            </w:pPr>
            <w:r>
              <w:rPr>
                <w:rFonts w:ascii="宋体" w:hAnsi="宋体" w:eastAsia="宋体"/>
                <w:sz w:val="16"/>
              </w:rPr>
              <w:t>社会效应</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BEA4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93C50">
            <w:pPr>
              <w:jc w:val="center"/>
            </w:pPr>
            <w:r>
              <w:rPr>
                <w:rFonts w:ascii="宋体" w:hAnsi="宋体" w:eastAsia="宋体"/>
                <w:sz w:val="16"/>
              </w:rPr>
              <w:t>体育人才输送人数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35CDD">
            <w:pPr>
              <w:jc w:val="center"/>
            </w:pPr>
            <w:r>
              <w:rPr>
                <w:rFonts w:ascii="宋体" w:hAnsi="宋体" w:eastAsia="宋体"/>
                <w:sz w:val="16"/>
              </w:rPr>
              <w:t>&gt;=19人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E1FA5">
            <w:pPr>
              <w:jc w:val="center"/>
            </w:pPr>
            <w:r>
              <w:rPr>
                <w:rFonts w:ascii="宋体" w:hAnsi="宋体" w:eastAsia="宋体"/>
                <w:sz w:val="16"/>
              </w:rPr>
              <w:t>喀什地区体育运动学校2024年工作计划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E1BD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392C1">
            <w:pPr>
              <w:jc w:val="center"/>
            </w:pPr>
            <w:r>
              <w:rPr>
                <w:rFonts w:ascii="宋体" w:hAnsi="宋体" w:eastAsia="宋体"/>
                <w:sz w:val="16"/>
              </w:rPr>
              <w:t>19人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CD9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1AA84">
            <w:pPr>
              <w:jc w:val="center"/>
            </w:pPr>
            <w:r>
              <w:rPr>
                <w:rFonts w:ascii="宋体" w:hAnsi="宋体" w:eastAsia="宋体"/>
                <w:sz w:val="16"/>
              </w:rPr>
              <w:t>15</w:t>
            </w:r>
          </w:p>
        </w:tc>
      </w:tr>
    </w:tbl>
    <w:p w14:paraId="7F5CC56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632"/>
        <w:gridCol w:w="632"/>
        <w:gridCol w:w="632"/>
        <w:gridCol w:w="696"/>
        <w:gridCol w:w="632"/>
        <w:gridCol w:w="632"/>
        <w:gridCol w:w="632"/>
      </w:tblGrid>
      <w:tr w14:paraId="65692787">
        <w:tblPrEx>
          <w:tblCellMar>
            <w:top w:w="0" w:type="dxa"/>
            <w:left w:w="108" w:type="dxa"/>
            <w:bottom w:w="0" w:type="dxa"/>
            <w:right w:w="108" w:type="dxa"/>
          </w:tblCellMar>
        </w:tblPrEx>
        <w:tc>
          <w:tcPr>
            <w:tcW w:w="8848" w:type="dxa"/>
            <w:gridSpan w:val="14"/>
            <w:vAlign w:val="center"/>
          </w:tcPr>
          <w:p w14:paraId="13F6FA2C">
            <w:pPr>
              <w:jc w:val="center"/>
            </w:pPr>
            <w:r>
              <w:rPr>
                <w:rFonts w:ascii="宋体" w:hAnsi="宋体" w:eastAsia="宋体"/>
                <w:sz w:val="24"/>
              </w:rPr>
              <w:t>项目支出绩效自评表</w:t>
            </w:r>
          </w:p>
        </w:tc>
      </w:tr>
      <w:tr w14:paraId="71D8CA9D">
        <w:tblPrEx>
          <w:tblCellMar>
            <w:top w:w="0" w:type="dxa"/>
            <w:left w:w="108" w:type="dxa"/>
            <w:bottom w:w="0" w:type="dxa"/>
            <w:right w:w="108" w:type="dxa"/>
          </w:tblCellMar>
        </w:tblPrEx>
        <w:tc>
          <w:tcPr>
            <w:tcW w:w="8848" w:type="dxa"/>
            <w:gridSpan w:val="14"/>
            <w:vAlign w:val="center"/>
          </w:tcPr>
          <w:p w14:paraId="49B6DEA5">
            <w:pPr>
              <w:jc w:val="center"/>
            </w:pPr>
            <w:r>
              <w:rPr>
                <w:rFonts w:ascii="宋体" w:hAnsi="宋体" w:eastAsia="宋体"/>
                <w:sz w:val="24"/>
              </w:rPr>
              <w:t>(2024年度)</w:t>
            </w:r>
          </w:p>
        </w:tc>
      </w:tr>
      <w:tr w14:paraId="214FEA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3A7E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518D11">
            <w:pPr>
              <w:jc w:val="center"/>
            </w:pPr>
            <w:r>
              <w:rPr>
                <w:rFonts w:ascii="宋体" w:hAnsi="宋体" w:eastAsia="宋体"/>
                <w:sz w:val="16"/>
              </w:rPr>
              <w:t>2024年中职生均公用经费项目（本级）</w:t>
            </w:r>
          </w:p>
        </w:tc>
      </w:tr>
      <w:tr w14:paraId="62C543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9056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7FA6A4">
            <w:pPr>
              <w:jc w:val="center"/>
            </w:pPr>
            <w:r>
              <w:rPr>
                <w:rFonts w:ascii="宋体" w:hAnsi="宋体" w:eastAsia="宋体"/>
                <w:sz w:val="16"/>
              </w:rPr>
              <w:t>喀什地区体育局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CDEF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5542B8">
            <w:pPr>
              <w:jc w:val="center"/>
            </w:pPr>
            <w:r>
              <w:rPr>
                <w:rFonts w:ascii="宋体" w:hAnsi="宋体" w:eastAsia="宋体"/>
                <w:sz w:val="16"/>
              </w:rPr>
              <w:t>喀什地区体育运动学校</w:t>
            </w:r>
          </w:p>
        </w:tc>
      </w:tr>
      <w:tr w14:paraId="09DB8A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537D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6C34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F44B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3DBC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7655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3D68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238E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1323B">
            <w:pPr>
              <w:jc w:val="center"/>
            </w:pPr>
            <w:r>
              <w:rPr>
                <w:rFonts w:ascii="宋体" w:hAnsi="宋体" w:eastAsia="宋体"/>
                <w:sz w:val="16"/>
              </w:rPr>
              <w:t>得分</w:t>
            </w:r>
          </w:p>
        </w:tc>
      </w:tr>
      <w:tr w14:paraId="258F3E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ABF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435C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D7CE3">
            <w:pPr>
              <w:jc w:val="center"/>
            </w:pPr>
            <w:r>
              <w:rPr>
                <w:rFonts w:ascii="宋体" w:hAnsi="宋体" w:eastAsia="宋体"/>
                <w:sz w:val="16"/>
              </w:rPr>
              <w:t>48.60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E1E4D">
            <w:pPr>
              <w:jc w:val="center"/>
            </w:pPr>
            <w:r>
              <w:rPr>
                <w:rFonts w:ascii="宋体" w:hAnsi="宋体" w:eastAsia="宋体"/>
                <w:sz w:val="16"/>
              </w:rPr>
              <w:t>48.60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6FAFD">
            <w:pPr>
              <w:jc w:val="center"/>
            </w:pPr>
            <w:r>
              <w:rPr>
                <w:rFonts w:ascii="宋体" w:hAnsi="宋体" w:eastAsia="宋体"/>
                <w:sz w:val="16"/>
              </w:rPr>
              <w:t>45.19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B3C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FE659">
            <w:pPr>
              <w:jc w:val="center"/>
            </w:pPr>
            <w:r>
              <w:rPr>
                <w:rFonts w:ascii="宋体" w:hAnsi="宋体" w:eastAsia="宋体"/>
                <w:sz w:val="16"/>
              </w:rPr>
              <w:t>92.98%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C8638">
            <w:pPr>
              <w:jc w:val="center"/>
            </w:pPr>
            <w:r>
              <w:rPr>
                <w:rFonts w:ascii="宋体" w:hAnsi="宋体" w:eastAsia="宋体"/>
                <w:sz w:val="16"/>
              </w:rPr>
              <w:t>10.00分</w:t>
            </w:r>
          </w:p>
        </w:tc>
      </w:tr>
      <w:tr w14:paraId="692E3A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D4E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7574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B4C7B">
            <w:pPr>
              <w:jc w:val="center"/>
            </w:pPr>
            <w:r>
              <w:rPr>
                <w:rFonts w:ascii="宋体" w:hAnsi="宋体" w:eastAsia="宋体"/>
                <w:sz w:val="16"/>
              </w:rPr>
              <w:t>48.60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0B171">
            <w:pPr>
              <w:jc w:val="center"/>
            </w:pPr>
            <w:r>
              <w:rPr>
                <w:rFonts w:ascii="宋体" w:hAnsi="宋体" w:eastAsia="宋体"/>
                <w:sz w:val="16"/>
              </w:rPr>
              <w:t>48.60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FF109">
            <w:pPr>
              <w:jc w:val="center"/>
            </w:pPr>
            <w:r>
              <w:rPr>
                <w:rFonts w:ascii="宋体" w:hAnsi="宋体" w:eastAsia="宋体"/>
                <w:sz w:val="16"/>
              </w:rPr>
              <w:t>45.19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86A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C2F2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5552">
            <w:pPr>
              <w:jc w:val="center"/>
            </w:pPr>
            <w:r>
              <w:rPr>
                <w:rFonts w:ascii="宋体" w:hAnsi="宋体" w:eastAsia="宋体"/>
                <w:sz w:val="16"/>
              </w:rPr>
              <w:t>—</w:t>
            </w:r>
          </w:p>
        </w:tc>
      </w:tr>
      <w:tr w14:paraId="0F6D25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0E5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7088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26D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F1A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115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8A3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CFB3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3AFB1">
            <w:pPr>
              <w:jc w:val="center"/>
            </w:pPr>
            <w:r>
              <w:rPr>
                <w:rFonts w:ascii="宋体" w:hAnsi="宋体" w:eastAsia="宋体"/>
                <w:sz w:val="16"/>
              </w:rPr>
              <w:t>—</w:t>
            </w:r>
          </w:p>
        </w:tc>
      </w:tr>
      <w:tr w14:paraId="269013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AEA0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B4D08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D4C296">
            <w:pPr>
              <w:jc w:val="center"/>
            </w:pPr>
            <w:r>
              <w:rPr>
                <w:rFonts w:ascii="宋体" w:hAnsi="宋体" w:eastAsia="宋体"/>
                <w:sz w:val="16"/>
              </w:rPr>
              <w:t>实际完成情况</w:t>
            </w:r>
          </w:p>
        </w:tc>
      </w:tr>
      <w:tr w14:paraId="4F82F7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3133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B8AF88">
            <w:pPr>
              <w:jc w:val="both"/>
            </w:pPr>
            <w:r>
              <w:rPr>
                <w:rFonts w:ascii="宋体" w:hAnsi="宋体" w:eastAsia="宋体"/>
                <w:sz w:val="16"/>
              </w:rPr>
              <w:t>喀地财教</w:t>
            </w:r>
            <w:r>
              <w:rPr>
                <w:rFonts w:hint="eastAsia" w:ascii="宋体" w:hAnsi="宋体"/>
                <w:sz w:val="16"/>
                <w:lang w:eastAsia="zh-CN"/>
              </w:rPr>
              <w:t>〔2023〕84号</w:t>
            </w:r>
            <w:r>
              <w:rPr>
                <w:rFonts w:ascii="宋体" w:hAnsi="宋体" w:eastAsia="宋体"/>
                <w:sz w:val="16"/>
              </w:rPr>
              <w:t>文件按生均1000元/生/年拨入467名学生生均公用经费46.7万元，主要用于学校维持正常运转的基本公用开支，项目的实施有效保障学校的正常运转教学训练秩序，提高师生的满意度。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7E0597">
            <w:pPr>
              <w:jc w:val="both"/>
            </w:pPr>
            <w:r>
              <w:rPr>
                <w:rFonts w:ascii="宋体" w:hAnsi="宋体" w:eastAsia="宋体"/>
                <w:sz w:val="16"/>
              </w:rPr>
              <w:t>喀地财教</w:t>
            </w:r>
            <w:r>
              <w:rPr>
                <w:rFonts w:hint="eastAsia" w:ascii="宋体" w:hAnsi="宋体"/>
                <w:sz w:val="16"/>
                <w:lang w:eastAsia="zh-CN"/>
              </w:rPr>
              <w:t>〔2023〕84号</w:t>
            </w:r>
            <w:r>
              <w:rPr>
                <w:rFonts w:ascii="宋体" w:hAnsi="宋体" w:eastAsia="宋体"/>
                <w:sz w:val="16"/>
              </w:rPr>
              <w:t>文件按生均1000元/生/年拨入486名学生生均公用经费48.6万元，支出金额45.19万元，项目执行率93%，主要用于支付物业管理费15万元，劳务费30.19万元，用于维持我校正常运转的基本公用开支，项目的实施有效</w:t>
            </w:r>
            <w:r>
              <w:rPr>
                <w:rFonts w:hint="eastAsia" w:ascii="宋体" w:hAnsi="宋体"/>
                <w:sz w:val="16"/>
                <w:lang w:eastAsia="zh-CN"/>
              </w:rPr>
              <w:t>保障</w:t>
            </w:r>
            <w:r>
              <w:rPr>
                <w:rFonts w:ascii="宋体" w:hAnsi="宋体" w:eastAsia="宋体"/>
                <w:sz w:val="16"/>
              </w:rPr>
              <w:t>我校教学训练秩序。</w:t>
            </w:r>
          </w:p>
        </w:tc>
      </w:tr>
      <w:tr w14:paraId="20FE3E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D192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7906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5C76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B0E3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B6E6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3D32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FC8B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E63B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5243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75F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18C6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759F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B8E2A">
            <w:pPr>
              <w:jc w:val="center"/>
            </w:pPr>
            <w:r>
              <w:rPr>
                <w:rFonts w:ascii="宋体" w:hAnsi="宋体" w:eastAsia="宋体"/>
                <w:sz w:val="16"/>
              </w:rPr>
              <w:t>偏差原因分析及改进措施</w:t>
            </w:r>
          </w:p>
        </w:tc>
      </w:tr>
      <w:tr w14:paraId="17B2EC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432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B34B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B275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59827">
            <w:pPr>
              <w:jc w:val="center"/>
            </w:pPr>
            <w:r>
              <w:rPr>
                <w:rFonts w:ascii="宋体" w:hAnsi="宋体" w:eastAsia="宋体"/>
                <w:sz w:val="16"/>
              </w:rPr>
              <w:t>受助学生人数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18A6B">
            <w:pPr>
              <w:jc w:val="center"/>
            </w:pPr>
            <w:r>
              <w:rPr>
                <w:rFonts w:ascii="宋体" w:hAnsi="宋体" w:eastAsia="宋体"/>
                <w:sz w:val="16"/>
              </w:rPr>
              <w:t>&gt;=486人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9E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45328">
            <w:pPr>
              <w:jc w:val="center"/>
            </w:pPr>
            <w:r>
              <w:rPr>
                <w:rFonts w:ascii="宋体" w:hAnsi="宋体" w:eastAsia="宋体"/>
                <w:sz w:val="16"/>
              </w:rPr>
              <w:t>=467人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72B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0DF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3ED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73077">
            <w:pPr>
              <w:jc w:val="center"/>
            </w:pPr>
            <w:r>
              <w:rPr>
                <w:rFonts w:ascii="宋体" w:hAnsi="宋体" w:eastAsia="宋体"/>
                <w:sz w:val="16"/>
              </w:rPr>
              <w:t>=486人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087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113C6">
            <w:pPr>
              <w:jc w:val="center"/>
            </w:pPr>
          </w:p>
        </w:tc>
      </w:tr>
      <w:tr w14:paraId="68878C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5F2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336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7EBE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5C8DA">
            <w:pPr>
              <w:jc w:val="center"/>
            </w:pPr>
            <w:r>
              <w:rPr>
                <w:rFonts w:ascii="宋体" w:hAnsi="宋体" w:eastAsia="宋体"/>
                <w:sz w:val="16"/>
              </w:rPr>
              <w:t>受助覆盖率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F61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C1C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BAF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8CB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8A71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E8C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B85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0F8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F33DD">
            <w:pPr>
              <w:jc w:val="center"/>
            </w:pPr>
          </w:p>
        </w:tc>
      </w:tr>
      <w:tr w14:paraId="435C24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C32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BD7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1402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84C4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875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8F7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64F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764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FF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0D6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055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E30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5C196">
            <w:pPr>
              <w:jc w:val="center"/>
            </w:pPr>
          </w:p>
        </w:tc>
      </w:tr>
      <w:tr w14:paraId="7AC584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067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D2C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545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ED27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6951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B56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3FF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A9F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E3C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BBB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654D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9D2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1A8DE">
            <w:pPr>
              <w:jc w:val="center"/>
            </w:pPr>
          </w:p>
        </w:tc>
      </w:tr>
      <w:tr w14:paraId="1FD9E1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268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2B9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05FB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A6E9D">
            <w:pPr>
              <w:jc w:val="center"/>
            </w:pPr>
            <w:r>
              <w:rPr>
                <w:rFonts w:ascii="宋体" w:hAnsi="宋体" w:eastAsia="宋体"/>
                <w:sz w:val="16"/>
              </w:rPr>
              <w:t>生均受助标准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6C2E9">
            <w:pPr>
              <w:jc w:val="center"/>
            </w:pPr>
            <w:r>
              <w:rPr>
                <w:rFonts w:ascii="宋体" w:hAnsi="宋体" w:eastAsia="宋体"/>
                <w:sz w:val="16"/>
              </w:rPr>
              <w:t>=1000元/生/年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0E9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7314">
            <w:pPr>
              <w:jc w:val="center"/>
            </w:pPr>
            <w:r>
              <w:rPr>
                <w:rFonts w:ascii="宋体" w:hAnsi="宋体" w:eastAsia="宋体"/>
                <w:sz w:val="16"/>
              </w:rPr>
              <w:t>=1000元/生/年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50E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3FD5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8AF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4AD82">
            <w:pPr>
              <w:jc w:val="center"/>
            </w:pPr>
            <w:r>
              <w:rPr>
                <w:rFonts w:ascii="宋体" w:hAnsi="宋体" w:eastAsia="宋体"/>
                <w:sz w:val="16"/>
              </w:rPr>
              <w:t>=1000元/生/年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D42B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C5A02">
            <w:pPr>
              <w:jc w:val="center"/>
            </w:pPr>
          </w:p>
        </w:tc>
      </w:tr>
      <w:tr w14:paraId="249BE2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9A9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0362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AA1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0FAF7">
            <w:pPr>
              <w:jc w:val="center"/>
            </w:pPr>
            <w:r>
              <w:rPr>
                <w:rFonts w:ascii="宋体" w:hAnsi="宋体" w:eastAsia="宋体"/>
                <w:sz w:val="16"/>
              </w:rPr>
              <w:t>保障学校正常运转教学训练秩序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B2D4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A08D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9B0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5F5B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9F1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D17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F9A2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DC75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88868">
            <w:pPr>
              <w:jc w:val="center"/>
            </w:pPr>
          </w:p>
        </w:tc>
      </w:tr>
      <w:tr w14:paraId="7D6CD8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68A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BA3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E1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121A">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A511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35A8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903A5">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499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81D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AF3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06F3F">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E38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5FE1D">
            <w:pPr>
              <w:jc w:val="center"/>
            </w:pPr>
            <w:r>
              <w:rPr>
                <w:rFonts w:ascii="宋体" w:hAnsi="宋体" w:eastAsia="宋体"/>
                <w:sz w:val="16"/>
              </w:rPr>
              <w:t>偏差原因：此项目得到广大师生一致好评，因预期目标值设置较低导致出现偏差。改进措施：减少预期目标值设置误差。</w:t>
            </w:r>
          </w:p>
        </w:tc>
      </w:tr>
      <w:tr w14:paraId="0EDCB47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2E931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421F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D7B23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AADE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BD83E0"/>
        </w:tc>
      </w:tr>
    </w:tbl>
    <w:p w14:paraId="3A954D11">
      <w:r>
        <w:br w:type="page"/>
      </w:r>
    </w:p>
    <w:tbl>
      <w:tblPr>
        <w:tblStyle w:val="9"/>
        <w:tblW w:w="0" w:type="auto"/>
        <w:tblInd w:w="0" w:type="dxa"/>
        <w:tblLayout w:type="autofit"/>
        <w:tblCellMar>
          <w:top w:w="0" w:type="dxa"/>
          <w:left w:w="108" w:type="dxa"/>
          <w:bottom w:w="0" w:type="dxa"/>
          <w:right w:w="108" w:type="dxa"/>
        </w:tblCellMar>
      </w:tblPr>
      <w:tblGrid>
        <w:gridCol w:w="622"/>
        <w:gridCol w:w="607"/>
        <w:gridCol w:w="607"/>
        <w:gridCol w:w="630"/>
        <w:gridCol w:w="856"/>
        <w:gridCol w:w="607"/>
        <w:gridCol w:w="696"/>
        <w:gridCol w:w="615"/>
        <w:gridCol w:w="607"/>
        <w:gridCol w:w="607"/>
        <w:gridCol w:w="776"/>
        <w:gridCol w:w="626"/>
        <w:gridCol w:w="574"/>
        <w:gridCol w:w="630"/>
      </w:tblGrid>
      <w:tr w14:paraId="1212F5D4">
        <w:tc>
          <w:tcPr>
            <w:tcW w:w="8848" w:type="dxa"/>
            <w:gridSpan w:val="14"/>
            <w:vAlign w:val="center"/>
          </w:tcPr>
          <w:p w14:paraId="1987D7C6">
            <w:pPr>
              <w:jc w:val="center"/>
            </w:pPr>
            <w:r>
              <w:rPr>
                <w:rFonts w:ascii="宋体" w:hAnsi="宋体" w:eastAsia="宋体"/>
                <w:sz w:val="24"/>
              </w:rPr>
              <w:t>项目支出绩效自评表</w:t>
            </w:r>
          </w:p>
        </w:tc>
      </w:tr>
      <w:tr w14:paraId="00ADD9D2">
        <w:tblPrEx>
          <w:tblCellMar>
            <w:top w:w="0" w:type="dxa"/>
            <w:left w:w="108" w:type="dxa"/>
            <w:bottom w:w="0" w:type="dxa"/>
            <w:right w:w="108" w:type="dxa"/>
          </w:tblCellMar>
        </w:tblPrEx>
        <w:tc>
          <w:tcPr>
            <w:tcW w:w="8848" w:type="dxa"/>
            <w:gridSpan w:val="14"/>
            <w:vAlign w:val="center"/>
          </w:tcPr>
          <w:p w14:paraId="76217DE1">
            <w:pPr>
              <w:jc w:val="center"/>
            </w:pPr>
            <w:r>
              <w:rPr>
                <w:rFonts w:ascii="宋体" w:hAnsi="宋体" w:eastAsia="宋体"/>
                <w:sz w:val="24"/>
              </w:rPr>
              <w:t>(2024年度)</w:t>
            </w:r>
          </w:p>
        </w:tc>
      </w:tr>
      <w:tr w14:paraId="40BFB6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97DF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F2A93B">
            <w:pPr>
              <w:jc w:val="center"/>
            </w:pPr>
            <w:r>
              <w:rPr>
                <w:rFonts w:ascii="宋体" w:hAnsi="宋体" w:eastAsia="宋体"/>
                <w:sz w:val="16"/>
              </w:rPr>
              <w:t>2024年学生资助补助经费预算（免学费、助学金资金）项目</w:t>
            </w:r>
          </w:p>
        </w:tc>
      </w:tr>
      <w:tr w14:paraId="10B5FE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C01D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D3940C">
            <w:pPr>
              <w:jc w:val="center"/>
            </w:pPr>
            <w:r>
              <w:rPr>
                <w:rFonts w:ascii="宋体" w:hAnsi="宋体" w:eastAsia="宋体"/>
                <w:sz w:val="16"/>
              </w:rPr>
              <w:t>喀什地区体育局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0F7A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2B4878">
            <w:pPr>
              <w:jc w:val="center"/>
            </w:pPr>
            <w:r>
              <w:rPr>
                <w:rFonts w:ascii="宋体" w:hAnsi="宋体" w:eastAsia="宋体"/>
                <w:sz w:val="16"/>
              </w:rPr>
              <w:t>喀什地区体育运动学校</w:t>
            </w:r>
          </w:p>
        </w:tc>
      </w:tr>
      <w:tr w14:paraId="4B269B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33B2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BB66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B91C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7788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739B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DEB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B01B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3ED23">
            <w:pPr>
              <w:jc w:val="center"/>
            </w:pPr>
            <w:r>
              <w:rPr>
                <w:rFonts w:ascii="宋体" w:hAnsi="宋体" w:eastAsia="宋体"/>
                <w:sz w:val="16"/>
              </w:rPr>
              <w:t>得分</w:t>
            </w:r>
          </w:p>
        </w:tc>
      </w:tr>
      <w:tr w14:paraId="6219CE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189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D7C9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66287">
            <w:pPr>
              <w:jc w:val="center"/>
            </w:pPr>
            <w:r>
              <w:rPr>
                <w:rFonts w:ascii="宋体" w:hAnsi="宋体" w:eastAsia="宋体"/>
                <w:sz w:val="16"/>
              </w:rPr>
              <w:t>141.41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79D0D">
            <w:pPr>
              <w:jc w:val="center"/>
            </w:pPr>
            <w:r>
              <w:rPr>
                <w:rFonts w:ascii="宋体" w:hAnsi="宋体" w:eastAsia="宋体"/>
                <w:sz w:val="16"/>
              </w:rPr>
              <w:t>150.48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2DFA4">
            <w:pPr>
              <w:jc w:val="center"/>
            </w:pPr>
            <w:r>
              <w:rPr>
                <w:rFonts w:ascii="宋体" w:hAnsi="宋体" w:eastAsia="宋体"/>
                <w:sz w:val="16"/>
              </w:rPr>
              <w:t>144.47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7FD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759C4">
            <w:pPr>
              <w:jc w:val="center"/>
            </w:pPr>
            <w:r>
              <w:rPr>
                <w:rFonts w:ascii="宋体" w:hAnsi="宋体" w:eastAsia="宋体"/>
                <w:sz w:val="16"/>
              </w:rPr>
              <w:t>96.0%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2B9F2">
            <w:pPr>
              <w:jc w:val="center"/>
            </w:pPr>
            <w:r>
              <w:rPr>
                <w:rFonts w:ascii="宋体" w:hAnsi="宋体" w:eastAsia="宋体"/>
                <w:sz w:val="16"/>
              </w:rPr>
              <w:t>10.00分</w:t>
            </w:r>
          </w:p>
        </w:tc>
      </w:tr>
      <w:tr w14:paraId="6ABAF9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5C0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C214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1478B">
            <w:pPr>
              <w:jc w:val="center"/>
            </w:pPr>
            <w:r>
              <w:rPr>
                <w:rFonts w:ascii="宋体" w:hAnsi="宋体" w:eastAsia="宋体"/>
                <w:sz w:val="16"/>
              </w:rPr>
              <w:t>141.41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07575">
            <w:pPr>
              <w:jc w:val="center"/>
            </w:pPr>
            <w:r>
              <w:rPr>
                <w:rFonts w:ascii="宋体" w:hAnsi="宋体" w:eastAsia="宋体"/>
                <w:sz w:val="16"/>
              </w:rPr>
              <w:t>150.48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30090">
            <w:pPr>
              <w:jc w:val="center"/>
            </w:pPr>
            <w:r>
              <w:rPr>
                <w:rFonts w:ascii="宋体" w:hAnsi="宋体" w:eastAsia="宋体"/>
                <w:sz w:val="16"/>
              </w:rPr>
              <w:t>144.47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940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23F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A628A">
            <w:pPr>
              <w:jc w:val="center"/>
            </w:pPr>
            <w:r>
              <w:rPr>
                <w:rFonts w:ascii="宋体" w:hAnsi="宋体" w:eastAsia="宋体"/>
                <w:sz w:val="16"/>
              </w:rPr>
              <w:t>—</w:t>
            </w:r>
          </w:p>
        </w:tc>
      </w:tr>
      <w:tr w14:paraId="0FF48B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357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9F64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2CC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F71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7A1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A16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A62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188D6">
            <w:pPr>
              <w:jc w:val="center"/>
            </w:pPr>
            <w:r>
              <w:rPr>
                <w:rFonts w:ascii="宋体" w:hAnsi="宋体" w:eastAsia="宋体"/>
                <w:sz w:val="16"/>
              </w:rPr>
              <w:t>—</w:t>
            </w:r>
          </w:p>
        </w:tc>
      </w:tr>
      <w:tr w14:paraId="1E7697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D5AF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55866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7C6C85">
            <w:pPr>
              <w:jc w:val="center"/>
            </w:pPr>
            <w:r>
              <w:rPr>
                <w:rFonts w:ascii="宋体" w:hAnsi="宋体" w:eastAsia="宋体"/>
                <w:sz w:val="16"/>
              </w:rPr>
              <w:t>实际完成情况</w:t>
            </w:r>
          </w:p>
        </w:tc>
      </w:tr>
      <w:tr w14:paraId="2E58AF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E30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D0020C">
            <w:pPr>
              <w:jc w:val="both"/>
            </w:pPr>
            <w:r>
              <w:rPr>
                <w:rFonts w:ascii="宋体" w:hAnsi="宋体" w:eastAsia="宋体"/>
                <w:sz w:val="16"/>
              </w:rPr>
              <w:t>根据喀地财教</w:t>
            </w:r>
            <w:r>
              <w:rPr>
                <w:rFonts w:hint="eastAsia" w:ascii="宋体" w:hAnsi="宋体"/>
                <w:sz w:val="16"/>
                <w:lang w:eastAsia="zh-CN"/>
              </w:rPr>
              <w:t>〔2023〕72号</w:t>
            </w:r>
            <w:r>
              <w:rPr>
                <w:rFonts w:ascii="宋体" w:hAnsi="宋体" w:eastAsia="宋体"/>
                <w:sz w:val="16"/>
              </w:rPr>
              <w:t>文件按生均2000元/生/年拨入340名学生68万元，因免学费而学校需要维持正常运转的基本公用开支。喀地教</w:t>
            </w:r>
            <w:r>
              <w:rPr>
                <w:rFonts w:hint="eastAsia" w:ascii="宋体" w:hAnsi="宋体"/>
                <w:sz w:val="16"/>
                <w:lang w:eastAsia="zh-CN"/>
              </w:rPr>
              <w:t>〔2023〕82号</w:t>
            </w:r>
            <w:r>
              <w:rPr>
                <w:rFonts w:ascii="宋体" w:hAnsi="宋体" w:eastAsia="宋体"/>
                <w:sz w:val="16"/>
              </w:rPr>
              <w:t>文件按生均2000元/生/年拨入95名学生19万元，用于学生因免学费而学校需要维持正常教学训练秩序的正常基本公用经费支出。喀地财教</w:t>
            </w:r>
            <w:r>
              <w:rPr>
                <w:rFonts w:hint="eastAsia" w:ascii="宋体" w:hAnsi="宋体"/>
                <w:sz w:val="16"/>
                <w:lang w:eastAsia="zh-CN"/>
              </w:rPr>
              <w:t>〔2023〕72号</w:t>
            </w:r>
            <w:r>
              <w:rPr>
                <w:rFonts w:ascii="宋体" w:hAnsi="宋体" w:eastAsia="宋体"/>
                <w:sz w:val="16"/>
              </w:rPr>
              <w:t>文件按生均2000元/生/年拨入215名学生43万元中职助学金，用于发放我校</w:t>
            </w:r>
            <w:r>
              <w:rPr>
                <w:rFonts w:hint="eastAsia" w:ascii="宋体" w:hAnsi="宋体"/>
                <w:sz w:val="16"/>
                <w:lang w:eastAsia="zh-CN"/>
              </w:rPr>
              <w:t>一、二年级</w:t>
            </w:r>
            <w:r>
              <w:rPr>
                <w:rFonts w:ascii="宋体" w:hAnsi="宋体" w:eastAsia="宋体"/>
                <w:sz w:val="16"/>
              </w:rPr>
              <w:t>学生助学金，根据喀地财</w:t>
            </w:r>
            <w:r>
              <w:rPr>
                <w:rFonts w:hint="eastAsia" w:ascii="宋体" w:hAnsi="宋体"/>
                <w:sz w:val="16"/>
                <w:lang w:eastAsia="zh-CN"/>
              </w:rPr>
              <w:t>〔2023〕82号</w:t>
            </w:r>
            <w:r>
              <w:rPr>
                <w:rFonts w:ascii="宋体" w:hAnsi="宋体" w:eastAsia="宋体"/>
                <w:sz w:val="16"/>
              </w:rPr>
              <w:t>按生均2000元/生/年拨入44人8.99万元学生助学金用于发放我校</w:t>
            </w:r>
            <w:r>
              <w:rPr>
                <w:rFonts w:hint="eastAsia" w:ascii="宋体" w:hAnsi="宋体"/>
                <w:sz w:val="16"/>
                <w:lang w:eastAsia="zh-CN"/>
              </w:rPr>
              <w:t>一、二年级</w:t>
            </w:r>
            <w:r>
              <w:rPr>
                <w:rFonts w:ascii="宋体" w:hAnsi="宋体" w:eastAsia="宋体"/>
                <w:sz w:val="16"/>
              </w:rPr>
              <w:t>学生中职助学金。本级财政按生均80元/生/年安排我校303名学生助学金支出2.424万元。根据喀地财教〔2024〕23号文件按生均2000元/生/年拨入25名学生5万元，因免学费而学校需要维持正常运转的基本公用开支；按生均2000元/生/年拨入11名学生2.23万元中职助学金，用于发放我校</w:t>
            </w:r>
            <w:r>
              <w:rPr>
                <w:rFonts w:hint="eastAsia" w:ascii="宋体" w:hAnsi="宋体"/>
                <w:sz w:val="16"/>
                <w:lang w:eastAsia="zh-CN"/>
              </w:rPr>
              <w:t>一、二年级</w:t>
            </w:r>
            <w:r>
              <w:rPr>
                <w:rFonts w:ascii="宋体" w:hAnsi="宋体" w:eastAsia="宋体"/>
                <w:sz w:val="16"/>
              </w:rPr>
              <w:t>学生助学金；按生均6000元/生/年拨入1人0.6万元学生奖学金支出；根据新财教〔2024〕274 号文件按生均2000元/生/拨入6名学生1.24万元中职助学金，用于发放我校</w:t>
            </w:r>
            <w:r>
              <w:rPr>
                <w:rFonts w:hint="eastAsia" w:ascii="宋体" w:hAnsi="宋体"/>
                <w:sz w:val="16"/>
                <w:lang w:eastAsia="zh-CN"/>
              </w:rPr>
              <w:t>一、二年级</w:t>
            </w:r>
            <w:r>
              <w:rPr>
                <w:rFonts w:ascii="宋体" w:hAnsi="宋体" w:eastAsia="宋体"/>
                <w:sz w:val="16"/>
              </w:rPr>
              <w:t>学生助学金；保障学校正常教学秩序，缓解家庭经济困难学生就学压力。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FA1345">
            <w:pPr>
              <w:jc w:val="both"/>
            </w:pPr>
            <w:r>
              <w:rPr>
                <w:rFonts w:ascii="宋体" w:hAnsi="宋体" w:eastAsia="宋体"/>
                <w:sz w:val="16"/>
              </w:rPr>
              <w:t>免学费项目：中央免学费73万元，自治区免学费19万元。项目支出85.99万元，用于学校维持正常运转的基本公用开支，其中：支出办公费3.56万元、水费22.8万元、电费13.5万元、邮电费6.28万元、取暖费15万元、差旅费3.3万元、租赁费5.3万元，维修费10.1万元、委托业务费3万元、专用材料费2.7、其他商品服务费0.58，用于维持学校正常教学训练秩序的正常基本公用经费支出。助学金项目：中央助学金45.83万元，自治区助学金12.654万元。其中：支出中央助学金45.83万元，自治区助学金12.654万元，项目目前已支付58.484万元，用于发放我校</w:t>
            </w:r>
            <w:r>
              <w:rPr>
                <w:rFonts w:hint="eastAsia" w:ascii="宋体" w:hAnsi="宋体"/>
                <w:sz w:val="16"/>
                <w:lang w:eastAsia="zh-CN"/>
              </w:rPr>
              <w:t>一、二年级</w:t>
            </w:r>
            <w:r>
              <w:rPr>
                <w:rFonts w:ascii="宋体" w:hAnsi="宋体" w:eastAsia="宋体"/>
                <w:sz w:val="16"/>
              </w:rPr>
              <w:t>298名学生中职学生春季助学金，用于保障学校正常教学秩序，缓解家庭经济困难学生就学压力。</w:t>
            </w:r>
          </w:p>
        </w:tc>
      </w:tr>
      <w:tr w14:paraId="59696C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5625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D7BC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6827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E83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4D88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9F21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F812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0FCF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D130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FCC9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4671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7B12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EBF65">
            <w:pPr>
              <w:jc w:val="center"/>
            </w:pPr>
            <w:r>
              <w:rPr>
                <w:rFonts w:ascii="宋体" w:hAnsi="宋体" w:eastAsia="宋体"/>
                <w:sz w:val="16"/>
              </w:rPr>
              <w:t>偏差原因分析及改进措施</w:t>
            </w:r>
          </w:p>
        </w:tc>
      </w:tr>
      <w:tr w14:paraId="0DA9AA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C99E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2DE0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4A7A0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18E19">
            <w:pPr>
              <w:jc w:val="center"/>
            </w:pPr>
            <w:r>
              <w:rPr>
                <w:rFonts w:ascii="宋体" w:hAnsi="宋体" w:eastAsia="宋体"/>
                <w:sz w:val="16"/>
              </w:rPr>
              <w:t>中等职业学校国家免学费受助人数占应受助学生数的比例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39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CAE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CD9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B957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8805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4EF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C02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AA36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E5425">
            <w:pPr>
              <w:jc w:val="center"/>
            </w:pPr>
          </w:p>
        </w:tc>
      </w:tr>
      <w:tr w14:paraId="2FB651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7E0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0C7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53C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E996C">
            <w:pPr>
              <w:jc w:val="center"/>
            </w:pPr>
            <w:r>
              <w:rPr>
                <w:rFonts w:ascii="宋体" w:hAnsi="宋体" w:eastAsia="宋体"/>
                <w:sz w:val="16"/>
              </w:rPr>
              <w:t>中等职业学校国家助学金受助人数占全校免学费受助学生数的比例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23DC5">
            <w:pPr>
              <w:jc w:val="center"/>
            </w:pPr>
            <w:r>
              <w:rPr>
                <w:rFonts w:ascii="宋体" w:hAnsi="宋体" w:eastAsia="宋体"/>
                <w:sz w:val="16"/>
              </w:rPr>
              <w:t>&gt;=62.34%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6BB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AC43D">
            <w:pPr>
              <w:jc w:val="center"/>
            </w:pPr>
            <w:r>
              <w:rPr>
                <w:rFonts w:ascii="宋体" w:hAnsi="宋体" w:eastAsia="宋体"/>
                <w:sz w:val="16"/>
              </w:rPr>
              <w:t>=64%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4F3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245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35A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0FB05">
            <w:pPr>
              <w:jc w:val="center"/>
            </w:pPr>
            <w:r>
              <w:rPr>
                <w:rFonts w:ascii="宋体" w:hAnsi="宋体" w:eastAsia="宋体"/>
                <w:sz w:val="16"/>
              </w:rPr>
              <w:t>=62.34%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D13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ACF62">
            <w:pPr>
              <w:jc w:val="center"/>
            </w:pPr>
          </w:p>
        </w:tc>
      </w:tr>
      <w:tr w14:paraId="4AFD8A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412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178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3EC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DEEFE">
            <w:pPr>
              <w:jc w:val="center"/>
            </w:pPr>
            <w:r>
              <w:rPr>
                <w:rFonts w:ascii="宋体" w:hAnsi="宋体" w:eastAsia="宋体"/>
                <w:sz w:val="16"/>
              </w:rPr>
              <w:t>中等职业学校国家奖学金受助人数占学校学生总数的比例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177BA">
            <w:pPr>
              <w:jc w:val="center"/>
            </w:pPr>
            <w:r>
              <w:rPr>
                <w:rFonts w:ascii="宋体" w:hAnsi="宋体" w:eastAsia="宋体"/>
                <w:sz w:val="16"/>
              </w:rPr>
              <w:t>&gt;=0.02%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D60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24920">
            <w:pPr>
              <w:jc w:val="center"/>
            </w:pPr>
            <w:r>
              <w:rPr>
                <w:rFonts w:ascii="宋体" w:hAnsi="宋体" w:eastAsia="宋体"/>
                <w:sz w:val="16"/>
              </w:rPr>
              <w:t>=0.02%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7DF8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1B5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8FF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5F677">
            <w:pPr>
              <w:jc w:val="center"/>
            </w:pPr>
            <w:r>
              <w:rPr>
                <w:rFonts w:ascii="宋体" w:hAnsi="宋体" w:eastAsia="宋体"/>
                <w:sz w:val="16"/>
              </w:rPr>
              <w:t>=0.02%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54AC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97E84">
            <w:pPr>
              <w:jc w:val="center"/>
            </w:pPr>
          </w:p>
        </w:tc>
      </w:tr>
      <w:tr w14:paraId="45FA42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120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B83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C32C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F38B7">
            <w:pPr>
              <w:jc w:val="center"/>
            </w:pPr>
            <w:r>
              <w:rPr>
                <w:rFonts w:ascii="宋体" w:hAnsi="宋体" w:eastAsia="宋体"/>
                <w:sz w:val="16"/>
              </w:rPr>
              <w:t>学校三免一补政策达标率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55D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B04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527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08D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110D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702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917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9903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0DC49">
            <w:pPr>
              <w:jc w:val="center"/>
            </w:pPr>
          </w:p>
        </w:tc>
      </w:tr>
      <w:tr w14:paraId="1463BD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10D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159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EC41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DBBF4">
            <w:pPr>
              <w:jc w:val="center"/>
            </w:pPr>
            <w:r>
              <w:rPr>
                <w:rFonts w:ascii="宋体" w:hAnsi="宋体" w:eastAsia="宋体"/>
                <w:sz w:val="16"/>
              </w:rPr>
              <w:t>奖助学金按规定及时发放率（%）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213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9F6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56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DA1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19E3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845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8DF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E0D7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FC02A">
            <w:pPr>
              <w:jc w:val="center"/>
            </w:pPr>
          </w:p>
        </w:tc>
      </w:tr>
      <w:tr w14:paraId="205F81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77A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88F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B32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0CF2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5A1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0C0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A2B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4781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C43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64D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3418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392E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C482E">
            <w:pPr>
              <w:jc w:val="center"/>
            </w:pPr>
          </w:p>
        </w:tc>
      </w:tr>
      <w:tr w14:paraId="2B5E96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F19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B5501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01E3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95A14">
            <w:pPr>
              <w:jc w:val="center"/>
            </w:pPr>
            <w:r>
              <w:rPr>
                <w:rFonts w:ascii="宋体" w:hAnsi="宋体" w:eastAsia="宋体"/>
                <w:sz w:val="16"/>
              </w:rPr>
              <w:t>免学费受助生均标准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A3E89">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283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ECDA">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18A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1052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C43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BA01">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8442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0E410">
            <w:pPr>
              <w:jc w:val="center"/>
            </w:pPr>
          </w:p>
        </w:tc>
      </w:tr>
      <w:tr w14:paraId="0F050F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3EE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41D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49B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D3786">
            <w:pPr>
              <w:jc w:val="center"/>
            </w:pPr>
            <w:r>
              <w:rPr>
                <w:rFonts w:ascii="宋体" w:hAnsi="宋体" w:eastAsia="宋体"/>
                <w:sz w:val="16"/>
              </w:rPr>
              <w:t>助学金生均受助标准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1EE8A">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D1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0DDA">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962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6D26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41A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0EB4C">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0368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06196">
            <w:pPr>
              <w:jc w:val="center"/>
            </w:pPr>
          </w:p>
        </w:tc>
      </w:tr>
      <w:tr w14:paraId="12F047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EFD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7E7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A23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F113">
            <w:pPr>
              <w:jc w:val="center"/>
            </w:pPr>
            <w:r>
              <w:rPr>
                <w:rFonts w:ascii="宋体" w:hAnsi="宋体" w:eastAsia="宋体"/>
                <w:sz w:val="16"/>
              </w:rPr>
              <w:t>奖学金受助标准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82EFC">
            <w:pPr>
              <w:jc w:val="center"/>
            </w:pPr>
            <w:r>
              <w:rPr>
                <w:rFonts w:ascii="宋体" w:hAnsi="宋体" w:eastAsia="宋体"/>
                <w:sz w:val="16"/>
              </w:rPr>
              <w:t>=6000元/生/年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CBA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493DC">
            <w:pPr>
              <w:jc w:val="center"/>
            </w:pPr>
            <w:r>
              <w:rPr>
                <w:rFonts w:ascii="宋体" w:hAnsi="宋体" w:eastAsia="宋体"/>
                <w:sz w:val="16"/>
              </w:rPr>
              <w:t>=6000元/生/年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7A3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0114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E13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6E85A">
            <w:pPr>
              <w:jc w:val="center"/>
            </w:pPr>
            <w:r>
              <w:rPr>
                <w:rFonts w:ascii="宋体" w:hAnsi="宋体" w:eastAsia="宋体"/>
                <w:sz w:val="16"/>
              </w:rPr>
              <w:t>=6000元/生/年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F1B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32D22">
            <w:pPr>
              <w:jc w:val="center"/>
            </w:pPr>
          </w:p>
        </w:tc>
      </w:tr>
      <w:tr w14:paraId="3BB514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3BC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1D2B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C817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F72FE">
            <w:pPr>
              <w:jc w:val="center"/>
            </w:pPr>
            <w:r>
              <w:rPr>
                <w:rFonts w:ascii="宋体" w:hAnsi="宋体" w:eastAsia="宋体"/>
                <w:sz w:val="16"/>
              </w:rPr>
              <w:t>中等职业学生因贫辍学率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F949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3FCB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2259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1A2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D875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933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2A04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2AEA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9F0F4">
            <w:pPr>
              <w:jc w:val="center"/>
            </w:pPr>
          </w:p>
        </w:tc>
      </w:tr>
      <w:tr w14:paraId="03FCC8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660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4E0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932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E4373">
            <w:pPr>
              <w:jc w:val="center"/>
            </w:pPr>
            <w:r>
              <w:rPr>
                <w:rFonts w:ascii="宋体" w:hAnsi="宋体" w:eastAsia="宋体"/>
                <w:sz w:val="16"/>
              </w:rPr>
              <w:t>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BA3A3">
            <w:pPr>
              <w:jc w:val="center"/>
            </w:pPr>
            <w:r>
              <w:rPr>
                <w:rFonts w:ascii="宋体" w:hAnsi="宋体" w:eastAsia="宋体"/>
                <w:sz w:val="16"/>
              </w:rPr>
              <w:t>&gt;=99.6%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1000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72A1">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4DB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A526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983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2A8DA">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BD5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2BDDD">
            <w:pPr>
              <w:jc w:val="center"/>
            </w:pPr>
          </w:p>
        </w:tc>
      </w:tr>
      <w:tr w14:paraId="40DC65B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819DD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0A5E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98A22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D48C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F7702A9"/>
        </w:tc>
      </w:tr>
    </w:tbl>
    <w:p w14:paraId="1152DA89">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6"/>
        <w:gridCol w:w="696"/>
        <w:gridCol w:w="628"/>
        <w:gridCol w:w="626"/>
        <w:gridCol w:w="626"/>
        <w:gridCol w:w="696"/>
        <w:gridCol w:w="632"/>
        <w:gridCol w:w="618"/>
        <w:gridCol w:w="632"/>
      </w:tblGrid>
      <w:tr w14:paraId="07689402">
        <w:tblPrEx>
          <w:tblCellMar>
            <w:top w:w="0" w:type="dxa"/>
            <w:left w:w="108" w:type="dxa"/>
            <w:bottom w:w="0" w:type="dxa"/>
            <w:right w:w="108" w:type="dxa"/>
          </w:tblCellMar>
        </w:tblPrEx>
        <w:tc>
          <w:tcPr>
            <w:tcW w:w="8848" w:type="dxa"/>
            <w:gridSpan w:val="14"/>
            <w:vAlign w:val="center"/>
          </w:tcPr>
          <w:p w14:paraId="4F2C3846">
            <w:pPr>
              <w:jc w:val="center"/>
            </w:pPr>
            <w:r>
              <w:rPr>
                <w:rFonts w:ascii="宋体" w:hAnsi="宋体" w:eastAsia="宋体"/>
                <w:sz w:val="24"/>
              </w:rPr>
              <w:t>项目支出绩效自评表</w:t>
            </w:r>
          </w:p>
        </w:tc>
      </w:tr>
      <w:tr w14:paraId="40D5DA32">
        <w:tblPrEx>
          <w:tblCellMar>
            <w:top w:w="0" w:type="dxa"/>
            <w:left w:w="108" w:type="dxa"/>
            <w:bottom w:w="0" w:type="dxa"/>
            <w:right w:w="108" w:type="dxa"/>
          </w:tblCellMar>
        </w:tblPrEx>
        <w:tc>
          <w:tcPr>
            <w:tcW w:w="8848" w:type="dxa"/>
            <w:gridSpan w:val="14"/>
            <w:vAlign w:val="center"/>
          </w:tcPr>
          <w:p w14:paraId="28003EFA">
            <w:pPr>
              <w:jc w:val="center"/>
            </w:pPr>
            <w:r>
              <w:rPr>
                <w:rFonts w:ascii="宋体" w:hAnsi="宋体" w:eastAsia="宋体"/>
                <w:sz w:val="24"/>
              </w:rPr>
              <w:t>(2024年度)</w:t>
            </w:r>
          </w:p>
        </w:tc>
      </w:tr>
      <w:tr w14:paraId="71280A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BD8F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2E38E6">
            <w:pPr>
              <w:jc w:val="center"/>
            </w:pPr>
            <w:r>
              <w:rPr>
                <w:rFonts w:ascii="宋体" w:hAnsi="宋体" w:eastAsia="宋体"/>
                <w:sz w:val="16"/>
              </w:rPr>
              <w:t>2024年新疆西藏等地区教育特殊教育补助（中职免教材）项目</w:t>
            </w:r>
          </w:p>
        </w:tc>
      </w:tr>
      <w:tr w14:paraId="15C4D6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048B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90771C">
            <w:pPr>
              <w:jc w:val="center"/>
            </w:pPr>
            <w:r>
              <w:rPr>
                <w:rFonts w:ascii="宋体" w:hAnsi="宋体" w:eastAsia="宋体"/>
                <w:sz w:val="16"/>
              </w:rPr>
              <w:t>喀什地区体育局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16E1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B1FF0D">
            <w:pPr>
              <w:jc w:val="center"/>
            </w:pPr>
            <w:r>
              <w:rPr>
                <w:rFonts w:ascii="宋体" w:hAnsi="宋体" w:eastAsia="宋体"/>
                <w:sz w:val="16"/>
              </w:rPr>
              <w:t>喀什地区体育运动学校</w:t>
            </w:r>
          </w:p>
        </w:tc>
      </w:tr>
      <w:tr w14:paraId="5F1CBE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D30BD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AE55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AE82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E11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80AB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6AB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8E8E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8C56D">
            <w:pPr>
              <w:jc w:val="center"/>
            </w:pPr>
            <w:r>
              <w:rPr>
                <w:rFonts w:ascii="宋体" w:hAnsi="宋体" w:eastAsia="宋体"/>
                <w:sz w:val="16"/>
              </w:rPr>
              <w:t>得分</w:t>
            </w:r>
          </w:p>
        </w:tc>
      </w:tr>
      <w:tr w14:paraId="0F1DAB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8C4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0E96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64AAA">
            <w:pPr>
              <w:jc w:val="center"/>
            </w:pPr>
            <w:r>
              <w:rPr>
                <w:rFonts w:ascii="宋体" w:hAnsi="宋体" w:eastAsia="宋体"/>
                <w:sz w:val="16"/>
              </w:rPr>
              <w:t>14.58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52133">
            <w:pPr>
              <w:jc w:val="center"/>
            </w:pPr>
            <w:r>
              <w:rPr>
                <w:rFonts w:ascii="宋体" w:hAnsi="宋体" w:eastAsia="宋体"/>
                <w:sz w:val="16"/>
              </w:rPr>
              <w:t>14.58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BEB8E">
            <w:pPr>
              <w:jc w:val="center"/>
            </w:pPr>
            <w:r>
              <w:rPr>
                <w:rFonts w:ascii="宋体" w:hAnsi="宋体" w:eastAsia="宋体"/>
                <w:sz w:val="16"/>
              </w:rPr>
              <w:t>14.58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AC6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3A9C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C80D">
            <w:pPr>
              <w:jc w:val="center"/>
            </w:pPr>
            <w:r>
              <w:rPr>
                <w:rFonts w:ascii="宋体" w:hAnsi="宋体" w:eastAsia="宋体"/>
                <w:sz w:val="16"/>
              </w:rPr>
              <w:t>10.00分</w:t>
            </w:r>
          </w:p>
        </w:tc>
      </w:tr>
      <w:tr w14:paraId="270146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361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75E5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96FAD">
            <w:pPr>
              <w:jc w:val="center"/>
            </w:pPr>
            <w:r>
              <w:rPr>
                <w:rFonts w:ascii="宋体" w:hAnsi="宋体" w:eastAsia="宋体"/>
                <w:sz w:val="16"/>
              </w:rPr>
              <w:t>14.58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8F0D8">
            <w:pPr>
              <w:jc w:val="center"/>
            </w:pPr>
            <w:r>
              <w:rPr>
                <w:rFonts w:ascii="宋体" w:hAnsi="宋体" w:eastAsia="宋体"/>
                <w:sz w:val="16"/>
              </w:rPr>
              <w:t>14.58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F5FD3">
            <w:pPr>
              <w:jc w:val="center"/>
            </w:pPr>
            <w:r>
              <w:rPr>
                <w:rFonts w:ascii="宋体" w:hAnsi="宋体" w:eastAsia="宋体"/>
                <w:sz w:val="16"/>
              </w:rPr>
              <w:t>14.58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813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CED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FA9EF">
            <w:pPr>
              <w:jc w:val="center"/>
            </w:pPr>
            <w:r>
              <w:rPr>
                <w:rFonts w:ascii="宋体" w:hAnsi="宋体" w:eastAsia="宋体"/>
                <w:sz w:val="16"/>
              </w:rPr>
              <w:t>—</w:t>
            </w:r>
          </w:p>
        </w:tc>
      </w:tr>
      <w:tr w14:paraId="77B741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B3A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CA49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B87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E02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BB2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A33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465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9C771">
            <w:pPr>
              <w:jc w:val="center"/>
            </w:pPr>
            <w:r>
              <w:rPr>
                <w:rFonts w:ascii="宋体" w:hAnsi="宋体" w:eastAsia="宋体"/>
                <w:sz w:val="16"/>
              </w:rPr>
              <w:t>—</w:t>
            </w:r>
          </w:p>
        </w:tc>
      </w:tr>
      <w:tr w14:paraId="2EC308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FAD86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9D496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A818E0">
            <w:pPr>
              <w:jc w:val="center"/>
            </w:pPr>
            <w:r>
              <w:rPr>
                <w:rFonts w:ascii="宋体" w:hAnsi="宋体" w:eastAsia="宋体"/>
                <w:sz w:val="16"/>
              </w:rPr>
              <w:t>实际完成情况</w:t>
            </w:r>
          </w:p>
        </w:tc>
      </w:tr>
      <w:tr w14:paraId="1D4782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1F28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B2B9B5">
            <w:pPr>
              <w:jc w:val="both"/>
            </w:pPr>
            <w:r>
              <w:rPr>
                <w:rFonts w:ascii="宋体" w:hAnsi="宋体" w:eastAsia="宋体"/>
                <w:sz w:val="16"/>
              </w:rPr>
              <w:t>根据喀地财教</w:t>
            </w:r>
            <w:r>
              <w:rPr>
                <w:rFonts w:hint="eastAsia" w:ascii="宋体" w:hAnsi="宋体"/>
                <w:sz w:val="16"/>
                <w:lang w:eastAsia="zh-CN"/>
              </w:rPr>
              <w:t>〔2023〕83号</w:t>
            </w:r>
            <w:r>
              <w:rPr>
                <w:rFonts w:ascii="宋体" w:hAnsi="宋体" w:eastAsia="宋体"/>
                <w:sz w:val="16"/>
              </w:rPr>
              <w:t>文按生均300元/生/年拨入486名学生14.58万元免教材费资金用于中职学生采购教材费支出，项目实施有效缓解家庭经济困难学生就学压力。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41C734">
            <w:pPr>
              <w:jc w:val="both"/>
            </w:pPr>
            <w:r>
              <w:rPr>
                <w:rFonts w:ascii="宋体" w:hAnsi="宋体" w:eastAsia="宋体"/>
                <w:sz w:val="16"/>
              </w:rPr>
              <w:t>此项目主要用于支付我校486名中等职业学校1-3年级中职学生春秋季教材费支出，教材费全年支出金额14.58万元，项目实施有效缓解家庭经济困难学生就学压力，得到了受助学生的一致好评，同时扩大了国家惠民政策的知晓率。</w:t>
            </w:r>
          </w:p>
        </w:tc>
      </w:tr>
      <w:tr w14:paraId="176ED7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BF3E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4BCC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D4D3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22DD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480F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B21D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8534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1121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58D6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B9E3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958B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C8C3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5E068">
            <w:pPr>
              <w:jc w:val="center"/>
            </w:pPr>
            <w:r>
              <w:rPr>
                <w:rFonts w:ascii="宋体" w:hAnsi="宋体" w:eastAsia="宋体"/>
                <w:sz w:val="16"/>
              </w:rPr>
              <w:t>偏差原因分析及改进措施</w:t>
            </w:r>
          </w:p>
        </w:tc>
      </w:tr>
      <w:tr w14:paraId="311B56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92076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EAEB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1519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3A436">
            <w:pPr>
              <w:jc w:val="center"/>
            </w:pPr>
            <w:r>
              <w:rPr>
                <w:rFonts w:ascii="宋体" w:hAnsi="宋体" w:eastAsia="宋体"/>
                <w:sz w:val="16"/>
              </w:rPr>
              <w:t>享受免教材学生人数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87501">
            <w:pPr>
              <w:jc w:val="center"/>
            </w:pPr>
            <w:r>
              <w:rPr>
                <w:rFonts w:ascii="宋体" w:hAnsi="宋体" w:eastAsia="宋体"/>
                <w:sz w:val="16"/>
              </w:rPr>
              <w:t>&gt;=486人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7A5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A7182">
            <w:pPr>
              <w:jc w:val="center"/>
            </w:pPr>
            <w:r>
              <w:rPr>
                <w:rFonts w:ascii="宋体" w:hAnsi="宋体" w:eastAsia="宋体"/>
                <w:sz w:val="16"/>
              </w:rPr>
              <w:t>=467人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B27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987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B1A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375DD">
            <w:pPr>
              <w:jc w:val="center"/>
            </w:pPr>
            <w:r>
              <w:rPr>
                <w:rFonts w:ascii="宋体" w:hAnsi="宋体" w:eastAsia="宋体"/>
                <w:sz w:val="16"/>
              </w:rPr>
              <w:t>=486人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F63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E0E07">
            <w:pPr>
              <w:jc w:val="center"/>
            </w:pPr>
          </w:p>
        </w:tc>
      </w:tr>
      <w:tr w14:paraId="41A633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A8B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1B7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55345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98297">
            <w:pPr>
              <w:jc w:val="center"/>
            </w:pPr>
            <w:r>
              <w:rPr>
                <w:rFonts w:ascii="宋体" w:hAnsi="宋体" w:eastAsia="宋体"/>
                <w:sz w:val="16"/>
              </w:rPr>
              <w:t>教材合格率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14F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B10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241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60E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B2A7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882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64A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EE0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7AAB7">
            <w:pPr>
              <w:jc w:val="center"/>
            </w:pPr>
          </w:p>
        </w:tc>
      </w:tr>
      <w:tr w14:paraId="4BE2CA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497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7B1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3C8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3C1F1">
            <w:pPr>
              <w:jc w:val="center"/>
            </w:pPr>
            <w:r>
              <w:rPr>
                <w:rFonts w:ascii="宋体" w:hAnsi="宋体" w:eastAsia="宋体"/>
                <w:sz w:val="16"/>
              </w:rPr>
              <w:t>教材课前到书率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C0E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B89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FE6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4E5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6A5F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0B8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7BF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B7F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59800">
            <w:pPr>
              <w:jc w:val="center"/>
            </w:pPr>
          </w:p>
        </w:tc>
      </w:tr>
      <w:tr w14:paraId="6BAB2D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1CE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DE3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C887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9C89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8C0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33F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93B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59B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96DF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CFE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FA4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61E1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5AD25">
            <w:pPr>
              <w:jc w:val="center"/>
            </w:pPr>
          </w:p>
        </w:tc>
      </w:tr>
      <w:tr w14:paraId="5C3A97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5E2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DA4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8AD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E7F2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5151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EBC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5A5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E3A6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9B2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376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7948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98BC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C05C8">
            <w:pPr>
              <w:jc w:val="center"/>
            </w:pPr>
          </w:p>
        </w:tc>
      </w:tr>
      <w:tr w14:paraId="19ED31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46B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07D4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9FB3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62DAF">
            <w:pPr>
              <w:jc w:val="center"/>
            </w:pPr>
            <w:r>
              <w:rPr>
                <w:rFonts w:ascii="宋体" w:hAnsi="宋体" w:eastAsia="宋体"/>
                <w:sz w:val="16"/>
              </w:rPr>
              <w:t>生均教材受助标准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15C6B">
            <w:pPr>
              <w:jc w:val="center"/>
            </w:pPr>
            <w:r>
              <w:rPr>
                <w:rFonts w:ascii="宋体" w:hAnsi="宋体" w:eastAsia="宋体"/>
                <w:sz w:val="16"/>
              </w:rPr>
              <w:t>=300元/生/年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38E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25D94">
            <w:pPr>
              <w:jc w:val="center"/>
            </w:pPr>
            <w:r>
              <w:rPr>
                <w:rFonts w:ascii="宋体" w:hAnsi="宋体" w:eastAsia="宋体"/>
                <w:sz w:val="16"/>
              </w:rPr>
              <w:t>=300元/生/年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C11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F6B2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5A2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77CA4">
            <w:pPr>
              <w:jc w:val="center"/>
            </w:pPr>
            <w:r>
              <w:rPr>
                <w:rFonts w:ascii="宋体" w:hAnsi="宋体" w:eastAsia="宋体"/>
                <w:sz w:val="16"/>
              </w:rPr>
              <w:t>=300元/生/年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6FA9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22F08">
            <w:pPr>
              <w:jc w:val="center"/>
            </w:pPr>
          </w:p>
        </w:tc>
      </w:tr>
      <w:tr w14:paraId="35BC06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D6D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FDE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A016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C0090">
            <w:pPr>
              <w:jc w:val="center"/>
            </w:pPr>
            <w:r>
              <w:rPr>
                <w:rFonts w:ascii="宋体" w:hAnsi="宋体" w:eastAsia="宋体"/>
                <w:sz w:val="16"/>
              </w:rPr>
              <w:t>缓解家庭贫困学生的就学压力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CFD88">
            <w:pPr>
              <w:jc w:val="center"/>
            </w:pPr>
            <w:r>
              <w:rPr>
                <w:rFonts w:ascii="宋体" w:hAnsi="宋体" w:eastAsia="宋体"/>
                <w:sz w:val="16"/>
              </w:rPr>
              <w:t>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2D4D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115E5">
            <w:pPr>
              <w:jc w:val="center"/>
            </w:pPr>
            <w:r>
              <w:rPr>
                <w:rFonts w:ascii="宋体" w:hAnsi="宋体" w:eastAsia="宋体"/>
                <w:sz w:val="16"/>
              </w:rPr>
              <w:t>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FAB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7EE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FCBB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A52E2">
            <w:pPr>
              <w:jc w:val="center"/>
            </w:pPr>
            <w:r>
              <w:rPr>
                <w:rFonts w:ascii="宋体" w:hAnsi="宋体" w:eastAsia="宋体"/>
                <w:sz w:val="16"/>
              </w:rPr>
              <w:t>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F13A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5EC53">
            <w:pPr>
              <w:jc w:val="center"/>
            </w:pPr>
          </w:p>
        </w:tc>
      </w:tr>
      <w:tr w14:paraId="664A74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291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F29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9F1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781D1">
            <w:pPr>
              <w:jc w:val="center"/>
            </w:pPr>
            <w:r>
              <w:rPr>
                <w:rFonts w:ascii="宋体" w:hAnsi="宋体" w:eastAsia="宋体"/>
                <w:sz w:val="16"/>
              </w:rPr>
              <w:t>受助学生满意度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BBE1">
            <w:pPr>
              <w:jc w:val="center"/>
            </w:pPr>
            <w:r>
              <w:rPr>
                <w:rFonts w:ascii="宋体" w:hAnsi="宋体" w:eastAsia="宋体"/>
                <w:sz w:val="16"/>
              </w:rPr>
              <w:t>&gt;=99.6%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D58C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D6EFF">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CB7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780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206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56AD5">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008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9D388">
            <w:pPr>
              <w:jc w:val="center"/>
            </w:pPr>
          </w:p>
        </w:tc>
      </w:tr>
      <w:tr w14:paraId="6F688C9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01363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47BF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75288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40EF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90F1F11"/>
        </w:tc>
      </w:tr>
    </w:tbl>
    <w:p w14:paraId="106B9EC9">
      <w:r>
        <w:br w:type="page"/>
      </w:r>
    </w:p>
    <w:tbl>
      <w:tblPr>
        <w:tblStyle w:val="9"/>
        <w:tblW w:w="0" w:type="auto"/>
        <w:tblInd w:w="0" w:type="dxa"/>
        <w:tblLayout w:type="autofit"/>
        <w:tblCellMar>
          <w:top w:w="0" w:type="dxa"/>
          <w:left w:w="108" w:type="dxa"/>
          <w:bottom w:w="0" w:type="dxa"/>
          <w:right w:w="108" w:type="dxa"/>
        </w:tblCellMar>
      </w:tblPr>
      <w:tblGrid>
        <w:gridCol w:w="623"/>
        <w:gridCol w:w="608"/>
        <w:gridCol w:w="608"/>
        <w:gridCol w:w="696"/>
        <w:gridCol w:w="856"/>
        <w:gridCol w:w="608"/>
        <w:gridCol w:w="608"/>
        <w:gridCol w:w="616"/>
        <w:gridCol w:w="608"/>
        <w:gridCol w:w="608"/>
        <w:gridCol w:w="776"/>
        <w:gridCol w:w="632"/>
        <w:gridCol w:w="581"/>
        <w:gridCol w:w="632"/>
      </w:tblGrid>
      <w:tr w14:paraId="7D868890">
        <w:tblPrEx>
          <w:tblCellMar>
            <w:top w:w="0" w:type="dxa"/>
            <w:left w:w="108" w:type="dxa"/>
            <w:bottom w:w="0" w:type="dxa"/>
            <w:right w:w="108" w:type="dxa"/>
          </w:tblCellMar>
        </w:tblPrEx>
        <w:tc>
          <w:tcPr>
            <w:tcW w:w="8848" w:type="dxa"/>
            <w:gridSpan w:val="14"/>
            <w:vAlign w:val="center"/>
          </w:tcPr>
          <w:p w14:paraId="6E00DF96">
            <w:pPr>
              <w:jc w:val="center"/>
            </w:pPr>
            <w:r>
              <w:rPr>
                <w:rFonts w:ascii="宋体" w:hAnsi="宋体" w:eastAsia="宋体"/>
                <w:sz w:val="24"/>
              </w:rPr>
              <w:t>项目支出绩效自评表</w:t>
            </w:r>
          </w:p>
        </w:tc>
      </w:tr>
      <w:tr w14:paraId="1AD24C92">
        <w:tblPrEx>
          <w:tblCellMar>
            <w:top w:w="0" w:type="dxa"/>
            <w:left w:w="108" w:type="dxa"/>
            <w:bottom w:w="0" w:type="dxa"/>
            <w:right w:w="108" w:type="dxa"/>
          </w:tblCellMar>
        </w:tblPrEx>
        <w:tc>
          <w:tcPr>
            <w:tcW w:w="8848" w:type="dxa"/>
            <w:gridSpan w:val="14"/>
            <w:vAlign w:val="center"/>
          </w:tcPr>
          <w:p w14:paraId="12A14740">
            <w:pPr>
              <w:jc w:val="center"/>
            </w:pPr>
            <w:r>
              <w:rPr>
                <w:rFonts w:ascii="宋体" w:hAnsi="宋体" w:eastAsia="宋体"/>
                <w:sz w:val="24"/>
              </w:rPr>
              <w:t>(2024年度)</w:t>
            </w:r>
          </w:p>
        </w:tc>
      </w:tr>
      <w:tr w14:paraId="300910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33B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BC3910">
            <w:pPr>
              <w:jc w:val="center"/>
            </w:pPr>
            <w:r>
              <w:rPr>
                <w:rFonts w:ascii="宋体" w:hAnsi="宋体" w:eastAsia="宋体"/>
                <w:sz w:val="16"/>
              </w:rPr>
              <w:t>2024年现代职业教育提升计划（配置图书）项目</w:t>
            </w:r>
          </w:p>
        </w:tc>
      </w:tr>
      <w:tr w14:paraId="76D00F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BACF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EAAC06">
            <w:pPr>
              <w:jc w:val="center"/>
            </w:pPr>
            <w:r>
              <w:rPr>
                <w:rFonts w:ascii="宋体" w:hAnsi="宋体" w:eastAsia="宋体"/>
                <w:sz w:val="16"/>
              </w:rPr>
              <w:t>喀什地区体育局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AF5E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5AC7AA">
            <w:pPr>
              <w:jc w:val="center"/>
            </w:pPr>
            <w:r>
              <w:rPr>
                <w:rFonts w:ascii="宋体" w:hAnsi="宋体" w:eastAsia="宋体"/>
                <w:sz w:val="16"/>
              </w:rPr>
              <w:t>喀什地区体育运动学校</w:t>
            </w:r>
          </w:p>
        </w:tc>
      </w:tr>
      <w:tr w14:paraId="41A8E4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F7DA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CAD3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C12D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9B3D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7DA8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443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96A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9AB88">
            <w:pPr>
              <w:jc w:val="center"/>
            </w:pPr>
            <w:r>
              <w:rPr>
                <w:rFonts w:ascii="宋体" w:hAnsi="宋体" w:eastAsia="宋体"/>
                <w:sz w:val="16"/>
              </w:rPr>
              <w:t>得分</w:t>
            </w:r>
          </w:p>
        </w:tc>
      </w:tr>
      <w:tr w14:paraId="56C6B1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B90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11B5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CEB45">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6C920">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A3280">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03E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0620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FDAF0">
            <w:pPr>
              <w:jc w:val="center"/>
            </w:pPr>
            <w:r>
              <w:rPr>
                <w:rFonts w:ascii="宋体" w:hAnsi="宋体" w:eastAsia="宋体"/>
                <w:sz w:val="16"/>
              </w:rPr>
              <w:t>10.00分</w:t>
            </w:r>
          </w:p>
        </w:tc>
      </w:tr>
      <w:tr w14:paraId="21A567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866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25AD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90B32">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A8E51">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B823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EDF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D52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1F617">
            <w:pPr>
              <w:jc w:val="center"/>
            </w:pPr>
            <w:r>
              <w:rPr>
                <w:rFonts w:ascii="宋体" w:hAnsi="宋体" w:eastAsia="宋体"/>
                <w:sz w:val="16"/>
              </w:rPr>
              <w:t>—</w:t>
            </w:r>
          </w:p>
        </w:tc>
      </w:tr>
      <w:tr w14:paraId="0EED1E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24F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B309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638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4B6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233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C5D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A81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A8975">
            <w:pPr>
              <w:jc w:val="center"/>
            </w:pPr>
            <w:r>
              <w:rPr>
                <w:rFonts w:ascii="宋体" w:hAnsi="宋体" w:eastAsia="宋体"/>
                <w:sz w:val="16"/>
              </w:rPr>
              <w:t>—</w:t>
            </w:r>
          </w:p>
        </w:tc>
      </w:tr>
      <w:tr w14:paraId="2339CB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2B52F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77537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50887F">
            <w:pPr>
              <w:jc w:val="center"/>
            </w:pPr>
            <w:r>
              <w:rPr>
                <w:rFonts w:ascii="宋体" w:hAnsi="宋体" w:eastAsia="宋体"/>
                <w:sz w:val="16"/>
              </w:rPr>
              <w:t>实际完成情况</w:t>
            </w:r>
          </w:p>
        </w:tc>
      </w:tr>
      <w:tr w14:paraId="695FA1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EE7A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52BC8F">
            <w:pPr>
              <w:jc w:val="both"/>
            </w:pPr>
            <w:r>
              <w:rPr>
                <w:rFonts w:ascii="宋体" w:hAnsi="宋体" w:eastAsia="宋体"/>
                <w:sz w:val="16"/>
              </w:rPr>
              <w:t>根据新财教</w:t>
            </w:r>
            <w:r>
              <w:rPr>
                <w:rFonts w:hint="eastAsia" w:ascii="宋体" w:hAnsi="宋体"/>
                <w:sz w:val="16"/>
                <w:lang w:eastAsia="zh-CN"/>
              </w:rPr>
              <w:t>〔2023〕241号</w:t>
            </w:r>
            <w:r>
              <w:rPr>
                <w:rFonts w:ascii="宋体" w:hAnsi="宋体" w:eastAsia="宋体"/>
                <w:sz w:val="16"/>
              </w:rPr>
              <w:t>、喀地财教</w:t>
            </w:r>
            <w:r>
              <w:rPr>
                <w:rFonts w:hint="eastAsia" w:ascii="宋体" w:hAnsi="宋体"/>
                <w:sz w:val="16"/>
                <w:lang w:eastAsia="zh-CN"/>
              </w:rPr>
              <w:t>〔2023〕86号</w:t>
            </w:r>
            <w:r>
              <w:rPr>
                <w:rFonts w:ascii="宋体" w:hAnsi="宋体" w:eastAsia="宋体"/>
                <w:sz w:val="16"/>
              </w:rPr>
              <w:t>文拨入100万元，我校预计购置图书不少于102370册，用于补充我校图书室图书缺口短板，项目的实施逐步改善我校现代教育质量提升办学条件，满足师生日常获取大量知识的需求，丰富师生的阅读能力。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A069CE">
            <w:pPr>
              <w:jc w:val="both"/>
            </w:pPr>
            <w:r>
              <w:rPr>
                <w:rFonts w:ascii="宋体" w:hAnsi="宋体" w:eastAsia="宋体"/>
                <w:sz w:val="16"/>
              </w:rPr>
              <w:t>购置图书项目与中标供应商签订政府采购合同，根据合同已完成采购图书102370册，用于补充我校图书室图书缺口短板，有效改善了我校现代教育质量提升办学条件，丰富了师生的精神文化生活和知识体系。目前图书已全部到位，已完成贴标签及全款验收工作，已按合同支付100万元货款。</w:t>
            </w:r>
          </w:p>
        </w:tc>
      </w:tr>
      <w:tr w14:paraId="011B6D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6B08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ED3F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A624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9EA9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F1B3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E315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2D48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DDED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55B4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0E2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D88D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C6AD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2D233">
            <w:pPr>
              <w:jc w:val="center"/>
            </w:pPr>
            <w:r>
              <w:rPr>
                <w:rFonts w:ascii="宋体" w:hAnsi="宋体" w:eastAsia="宋体"/>
                <w:sz w:val="16"/>
              </w:rPr>
              <w:t>偏差原因分析及改进措施</w:t>
            </w:r>
          </w:p>
        </w:tc>
      </w:tr>
      <w:tr w14:paraId="7A842E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2407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268D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5DD6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9693E">
            <w:pPr>
              <w:jc w:val="center"/>
            </w:pPr>
            <w:r>
              <w:rPr>
                <w:rFonts w:ascii="宋体" w:hAnsi="宋体" w:eastAsia="宋体"/>
                <w:sz w:val="16"/>
              </w:rPr>
              <w:t>购置图书数量（册）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C5326">
            <w:pPr>
              <w:jc w:val="center"/>
            </w:pPr>
            <w:r>
              <w:rPr>
                <w:rFonts w:ascii="宋体" w:hAnsi="宋体" w:eastAsia="宋体"/>
                <w:sz w:val="16"/>
              </w:rPr>
              <w:t>&gt;=102370册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266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0EA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C7E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0EC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3A3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E37F0">
            <w:pPr>
              <w:jc w:val="center"/>
            </w:pPr>
            <w:r>
              <w:rPr>
                <w:rFonts w:ascii="宋体" w:hAnsi="宋体" w:eastAsia="宋体"/>
                <w:sz w:val="16"/>
              </w:rPr>
              <w:t>=102370册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A79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CEE38">
            <w:pPr>
              <w:jc w:val="center"/>
            </w:pPr>
          </w:p>
        </w:tc>
      </w:tr>
      <w:tr w14:paraId="2AAD25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990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388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F6B4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E9484">
            <w:pPr>
              <w:jc w:val="center"/>
            </w:pPr>
            <w:r>
              <w:rPr>
                <w:rFonts w:ascii="宋体" w:hAnsi="宋体" w:eastAsia="宋体"/>
                <w:sz w:val="16"/>
              </w:rPr>
              <w:t>图书购置的政府采购率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666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5E9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513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8C0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5711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5D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9C0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4DB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FCD39">
            <w:pPr>
              <w:jc w:val="center"/>
            </w:pPr>
          </w:p>
        </w:tc>
      </w:tr>
      <w:tr w14:paraId="7C20F1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921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BA8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37F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77D94">
            <w:pPr>
              <w:jc w:val="center"/>
            </w:pPr>
            <w:r>
              <w:rPr>
                <w:rFonts w:ascii="宋体" w:hAnsi="宋体" w:eastAsia="宋体"/>
                <w:sz w:val="16"/>
              </w:rPr>
              <w:t>图书购置的验收合格率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64D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27E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740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354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7288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130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2F9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64E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F0D75">
            <w:pPr>
              <w:jc w:val="center"/>
            </w:pPr>
          </w:p>
        </w:tc>
      </w:tr>
      <w:tr w14:paraId="2837BE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9E7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540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14F47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62A1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467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A38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575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4F5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6039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0CD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749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6757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0A652">
            <w:pPr>
              <w:jc w:val="center"/>
            </w:pPr>
          </w:p>
        </w:tc>
      </w:tr>
      <w:tr w14:paraId="3D9010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AB5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0FD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222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A785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A24F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2E6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5DE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190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5F7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8A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98EF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A068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C83FC">
            <w:pPr>
              <w:jc w:val="center"/>
            </w:pPr>
          </w:p>
        </w:tc>
      </w:tr>
      <w:tr w14:paraId="33F483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808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0AF5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E852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22D4C">
            <w:pPr>
              <w:jc w:val="center"/>
            </w:pPr>
            <w:r>
              <w:rPr>
                <w:rFonts w:ascii="宋体" w:hAnsi="宋体" w:eastAsia="宋体"/>
                <w:sz w:val="16"/>
              </w:rPr>
              <w:t>图书册成本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C6BFB">
            <w:pPr>
              <w:jc w:val="center"/>
            </w:pPr>
            <w:r>
              <w:rPr>
                <w:rFonts w:ascii="宋体" w:hAnsi="宋体" w:eastAsia="宋体"/>
                <w:sz w:val="16"/>
              </w:rPr>
              <w:t>&lt;=9.77元/册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3F9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0B8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9687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CAD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22B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4B874">
            <w:pPr>
              <w:jc w:val="center"/>
            </w:pPr>
            <w:r>
              <w:rPr>
                <w:rFonts w:ascii="宋体" w:hAnsi="宋体" w:eastAsia="宋体"/>
                <w:sz w:val="16"/>
              </w:rPr>
              <w:t>=9.77元/册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98C7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2F0CF">
            <w:pPr>
              <w:jc w:val="center"/>
            </w:pPr>
          </w:p>
        </w:tc>
      </w:tr>
      <w:tr w14:paraId="5474F0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E38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8BBD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A2F2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110E0">
            <w:pPr>
              <w:jc w:val="center"/>
            </w:pPr>
            <w:r>
              <w:rPr>
                <w:rFonts w:ascii="宋体" w:hAnsi="宋体" w:eastAsia="宋体"/>
                <w:sz w:val="16"/>
              </w:rPr>
              <w:t>逐步改善现代教育质量提升办学条件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4D4BA">
            <w:pPr>
              <w:jc w:val="center"/>
            </w:pPr>
            <w:r>
              <w:rPr>
                <w:rFonts w:ascii="宋体" w:hAnsi="宋体" w:eastAsia="宋体"/>
                <w:sz w:val="16"/>
              </w:rPr>
              <w:t>逐步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3D4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53F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6D4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725A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30F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4CFFC">
            <w:pPr>
              <w:jc w:val="center"/>
            </w:pPr>
            <w:r>
              <w:rPr>
                <w:rFonts w:ascii="宋体" w:hAnsi="宋体" w:eastAsia="宋体"/>
                <w:sz w:val="16"/>
              </w:rPr>
              <w:t>逐步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CC1F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6308F">
            <w:pPr>
              <w:jc w:val="center"/>
            </w:pPr>
          </w:p>
        </w:tc>
      </w:tr>
      <w:tr w14:paraId="488B95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D14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96D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74E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4D10E">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2C86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58F9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7F0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403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33E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1F9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7AA36">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33A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7B14E">
            <w:pPr>
              <w:jc w:val="center"/>
            </w:pPr>
            <w:r>
              <w:rPr>
                <w:rFonts w:ascii="宋体" w:hAnsi="宋体" w:eastAsia="宋体"/>
                <w:sz w:val="16"/>
              </w:rPr>
              <w:t>偏差原因：项目的实施得到广大师生的一致好评。改进措施：减少指标设置与满意度的误差。</w:t>
            </w:r>
          </w:p>
        </w:tc>
      </w:tr>
      <w:tr w14:paraId="1623424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C489E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910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6FE6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4F5E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B3B13F"/>
        </w:tc>
      </w:tr>
    </w:tbl>
    <w:p w14:paraId="596EB1E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A602171">
        <w:tblPrEx>
          <w:tblCellMar>
            <w:top w:w="0" w:type="dxa"/>
            <w:left w:w="108" w:type="dxa"/>
            <w:bottom w:w="0" w:type="dxa"/>
            <w:right w:w="108" w:type="dxa"/>
          </w:tblCellMar>
        </w:tblPrEx>
        <w:tc>
          <w:tcPr>
            <w:tcW w:w="8848" w:type="dxa"/>
            <w:gridSpan w:val="14"/>
            <w:vAlign w:val="center"/>
          </w:tcPr>
          <w:p w14:paraId="7ECBEF7A">
            <w:pPr>
              <w:jc w:val="center"/>
            </w:pPr>
            <w:r>
              <w:rPr>
                <w:rFonts w:ascii="宋体" w:hAnsi="宋体" w:eastAsia="宋体"/>
                <w:sz w:val="24"/>
              </w:rPr>
              <w:t>项目支出绩效自评表</w:t>
            </w:r>
          </w:p>
        </w:tc>
      </w:tr>
      <w:tr w14:paraId="690FD44F">
        <w:tblPrEx>
          <w:tblCellMar>
            <w:top w:w="0" w:type="dxa"/>
            <w:left w:w="108" w:type="dxa"/>
            <w:bottom w:w="0" w:type="dxa"/>
            <w:right w:w="108" w:type="dxa"/>
          </w:tblCellMar>
        </w:tblPrEx>
        <w:tc>
          <w:tcPr>
            <w:tcW w:w="8848" w:type="dxa"/>
            <w:gridSpan w:val="14"/>
            <w:vAlign w:val="center"/>
          </w:tcPr>
          <w:p w14:paraId="2C61D990">
            <w:pPr>
              <w:jc w:val="center"/>
            </w:pPr>
            <w:r>
              <w:rPr>
                <w:rFonts w:ascii="宋体" w:hAnsi="宋体" w:eastAsia="宋体"/>
                <w:sz w:val="24"/>
              </w:rPr>
              <w:t>(2024年度)</w:t>
            </w:r>
          </w:p>
        </w:tc>
      </w:tr>
      <w:tr w14:paraId="767350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44BC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F823EB">
            <w:pPr>
              <w:jc w:val="center"/>
            </w:pPr>
            <w:r>
              <w:rPr>
                <w:rFonts w:ascii="宋体" w:hAnsi="宋体" w:eastAsia="宋体"/>
                <w:sz w:val="16"/>
              </w:rPr>
              <w:t>2024年自治区教育项目经费（中职免住宿免教材、生均公用经费）项目</w:t>
            </w:r>
          </w:p>
        </w:tc>
      </w:tr>
      <w:tr w14:paraId="281C9D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9F8E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7A6813">
            <w:pPr>
              <w:jc w:val="center"/>
            </w:pPr>
            <w:r>
              <w:rPr>
                <w:rFonts w:ascii="宋体" w:hAnsi="宋体" w:eastAsia="宋体"/>
                <w:sz w:val="16"/>
              </w:rPr>
              <w:t>喀什地区体育局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432A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A8370D">
            <w:pPr>
              <w:jc w:val="center"/>
            </w:pPr>
            <w:r>
              <w:rPr>
                <w:rFonts w:ascii="宋体" w:hAnsi="宋体" w:eastAsia="宋体"/>
                <w:sz w:val="16"/>
              </w:rPr>
              <w:t>喀什地区体育运动学校</w:t>
            </w:r>
          </w:p>
        </w:tc>
      </w:tr>
      <w:tr w14:paraId="4AC098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D087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7BE3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9164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259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E3B3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F9BB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0C2C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36D6D">
            <w:pPr>
              <w:jc w:val="center"/>
            </w:pPr>
            <w:r>
              <w:rPr>
                <w:rFonts w:ascii="宋体" w:hAnsi="宋体" w:eastAsia="宋体"/>
                <w:sz w:val="16"/>
              </w:rPr>
              <w:t>得分</w:t>
            </w:r>
          </w:p>
        </w:tc>
      </w:tr>
      <w:tr w14:paraId="173D83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7D3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95A4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49105">
            <w:pPr>
              <w:jc w:val="center"/>
            </w:pPr>
            <w:r>
              <w:rPr>
                <w:rFonts w:ascii="宋体" w:hAnsi="宋体" w:eastAsia="宋体"/>
                <w:sz w:val="16"/>
              </w:rPr>
              <w:t>74.72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55BE5">
            <w:pPr>
              <w:jc w:val="center"/>
            </w:pPr>
            <w:r>
              <w:rPr>
                <w:rFonts w:ascii="宋体" w:hAnsi="宋体" w:eastAsia="宋体"/>
                <w:sz w:val="16"/>
              </w:rPr>
              <w:t>74.72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08920">
            <w:pPr>
              <w:jc w:val="center"/>
            </w:pPr>
            <w:r>
              <w:rPr>
                <w:rFonts w:ascii="宋体" w:hAnsi="宋体" w:eastAsia="宋体"/>
                <w:sz w:val="16"/>
              </w:rPr>
              <w:t>49.68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07B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91F24">
            <w:pPr>
              <w:jc w:val="center"/>
            </w:pPr>
            <w:r>
              <w:rPr>
                <w:rFonts w:ascii="宋体" w:hAnsi="宋体" w:eastAsia="宋体"/>
                <w:sz w:val="16"/>
              </w:rPr>
              <w:t>66.5%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47252">
            <w:pPr>
              <w:jc w:val="center"/>
            </w:pPr>
            <w:r>
              <w:rPr>
                <w:rFonts w:ascii="宋体" w:hAnsi="宋体" w:eastAsia="宋体"/>
                <w:sz w:val="16"/>
              </w:rPr>
              <w:t>1.62分</w:t>
            </w:r>
          </w:p>
        </w:tc>
      </w:tr>
      <w:tr w14:paraId="2C2317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02E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3879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8A7CA">
            <w:pPr>
              <w:jc w:val="center"/>
            </w:pPr>
            <w:r>
              <w:rPr>
                <w:rFonts w:ascii="宋体" w:hAnsi="宋体" w:eastAsia="宋体"/>
                <w:sz w:val="16"/>
              </w:rPr>
              <w:t>74.72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7A571">
            <w:pPr>
              <w:jc w:val="center"/>
            </w:pPr>
            <w:r>
              <w:rPr>
                <w:rFonts w:ascii="宋体" w:hAnsi="宋体" w:eastAsia="宋体"/>
                <w:sz w:val="16"/>
              </w:rPr>
              <w:t>74.72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05914">
            <w:pPr>
              <w:jc w:val="center"/>
            </w:pPr>
            <w:r>
              <w:rPr>
                <w:rFonts w:ascii="宋体" w:hAnsi="宋体" w:eastAsia="宋体"/>
                <w:sz w:val="16"/>
              </w:rPr>
              <w:t>49.68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BAC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35B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FE67A">
            <w:pPr>
              <w:jc w:val="center"/>
            </w:pPr>
            <w:r>
              <w:rPr>
                <w:rFonts w:ascii="宋体" w:hAnsi="宋体" w:eastAsia="宋体"/>
                <w:sz w:val="16"/>
              </w:rPr>
              <w:t>—</w:t>
            </w:r>
          </w:p>
        </w:tc>
      </w:tr>
      <w:tr w14:paraId="507BCE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922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E2DA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492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648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2E7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8C7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CF5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4934">
            <w:pPr>
              <w:jc w:val="center"/>
            </w:pPr>
            <w:r>
              <w:rPr>
                <w:rFonts w:ascii="宋体" w:hAnsi="宋体" w:eastAsia="宋体"/>
                <w:sz w:val="16"/>
              </w:rPr>
              <w:t>—</w:t>
            </w:r>
          </w:p>
        </w:tc>
      </w:tr>
      <w:tr w14:paraId="387CD8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4CC1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1543D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453E2C">
            <w:pPr>
              <w:jc w:val="center"/>
            </w:pPr>
            <w:r>
              <w:rPr>
                <w:rFonts w:ascii="宋体" w:hAnsi="宋体" w:eastAsia="宋体"/>
                <w:sz w:val="16"/>
              </w:rPr>
              <w:t>实际完成情况</w:t>
            </w:r>
          </w:p>
        </w:tc>
      </w:tr>
      <w:tr w14:paraId="3F6265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2C03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4DC61A">
            <w:pPr>
              <w:jc w:val="both"/>
            </w:pPr>
            <w:r>
              <w:rPr>
                <w:rFonts w:ascii="宋体" w:hAnsi="宋体" w:eastAsia="宋体"/>
                <w:sz w:val="16"/>
              </w:rPr>
              <w:t>根据喀地财教</w:t>
            </w:r>
            <w:r>
              <w:rPr>
                <w:rFonts w:hint="eastAsia" w:ascii="宋体" w:hAnsi="宋体"/>
                <w:sz w:val="16"/>
                <w:lang w:eastAsia="zh-CN"/>
              </w:rPr>
              <w:t>〔2023〕84号</w:t>
            </w:r>
            <w:r>
              <w:rPr>
                <w:rFonts w:ascii="宋体" w:hAnsi="宋体" w:eastAsia="宋体"/>
                <w:sz w:val="16"/>
              </w:rPr>
              <w:t>文按生均600元/生/年拨入467人28.02万元，用于因学生免住宿而学校需要维持公寓楼正常运转的基本公用开支等。按生均1000元/生/年拨入467人46.7万元生均公用经费，</w:t>
            </w:r>
            <w:r>
              <w:rPr>
                <w:rFonts w:hint="eastAsia" w:ascii="宋体" w:hAnsi="宋体"/>
                <w:sz w:val="16"/>
                <w:lang w:eastAsia="zh-CN"/>
              </w:rPr>
              <w:t>用于</w:t>
            </w:r>
            <w:r>
              <w:rPr>
                <w:rFonts w:ascii="宋体" w:hAnsi="宋体" w:eastAsia="宋体"/>
                <w:sz w:val="16"/>
              </w:rPr>
              <w:t>学校基本正常运转的基本公用开支。项目的实施有效保障学校正常的教学训练秩序。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A914CF">
            <w:pPr>
              <w:jc w:val="both"/>
            </w:pPr>
            <w:r>
              <w:rPr>
                <w:rFonts w:ascii="宋体" w:hAnsi="宋体" w:eastAsia="宋体"/>
                <w:sz w:val="16"/>
              </w:rPr>
              <w:t>中职免住宿免教材费拨入28.02万元，本年度中职免住宿免教材项目总支出21.19万元，其中：支付取暖费19.51万元、维修（护）费0.77万元、专用材料费0.96万元，用于因学生免住宿而学校需要维持公寓楼正常运转的基本公用开支。生均公用经费拨入46.7万元，本年度生均公用经费项目总支出28.49万元，其中：支付物业管理费6.7万元、差旅费3万元、专用材料费3万元、劳务费0.1万元、委托业务费10万元、其他商品服务支出5.7万元，用于学校基本正常运转的基本公用开支，保障学校正常的教学训练秩序，缓解学生的就学压力。</w:t>
            </w:r>
          </w:p>
        </w:tc>
      </w:tr>
      <w:tr w14:paraId="083C50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170D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BECC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0306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2C6F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FF8D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129B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614B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D3C0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4D0B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578B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8C38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D3CA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2488F">
            <w:pPr>
              <w:jc w:val="center"/>
            </w:pPr>
            <w:r>
              <w:rPr>
                <w:rFonts w:ascii="宋体" w:hAnsi="宋体" w:eastAsia="宋体"/>
                <w:sz w:val="16"/>
              </w:rPr>
              <w:t>偏差原因分析及改进措施</w:t>
            </w:r>
          </w:p>
        </w:tc>
      </w:tr>
      <w:tr w14:paraId="7C3B3F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5AF1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BD11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116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921C3">
            <w:pPr>
              <w:jc w:val="center"/>
            </w:pPr>
            <w:r>
              <w:rPr>
                <w:rFonts w:ascii="宋体" w:hAnsi="宋体" w:eastAsia="宋体"/>
                <w:sz w:val="16"/>
              </w:rPr>
              <w:t>中职免住宿费、生均公用经费受助人数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AA272">
            <w:pPr>
              <w:jc w:val="center"/>
            </w:pPr>
            <w:r>
              <w:rPr>
                <w:rFonts w:ascii="宋体" w:hAnsi="宋体" w:eastAsia="宋体"/>
                <w:sz w:val="16"/>
              </w:rPr>
              <w:t>&gt;=467人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D45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1223">
            <w:pPr>
              <w:jc w:val="center"/>
            </w:pPr>
            <w:r>
              <w:rPr>
                <w:rFonts w:ascii="宋体" w:hAnsi="宋体" w:eastAsia="宋体"/>
                <w:sz w:val="16"/>
              </w:rPr>
              <w:t>=486人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7F93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F1E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D8D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38D5">
            <w:pPr>
              <w:jc w:val="center"/>
            </w:pPr>
            <w:r>
              <w:rPr>
                <w:rFonts w:ascii="宋体" w:hAnsi="宋体" w:eastAsia="宋体"/>
                <w:sz w:val="16"/>
              </w:rPr>
              <w:t>=481人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FF25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4B9CA">
            <w:pPr>
              <w:jc w:val="center"/>
            </w:pPr>
          </w:p>
        </w:tc>
      </w:tr>
      <w:tr w14:paraId="2E4A1F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15F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DF9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619C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9A93">
            <w:pPr>
              <w:jc w:val="center"/>
            </w:pPr>
            <w:r>
              <w:rPr>
                <w:rFonts w:ascii="宋体" w:hAnsi="宋体" w:eastAsia="宋体"/>
                <w:sz w:val="16"/>
              </w:rPr>
              <w:t>中职学生免住宿费、生均公用经费覆盖率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B1C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2B2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609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4156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2A65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0A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2C7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F8C4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B40CD">
            <w:pPr>
              <w:jc w:val="center"/>
            </w:pPr>
          </w:p>
        </w:tc>
      </w:tr>
      <w:tr w14:paraId="4E03C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AEB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221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F32E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D0F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03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E99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A2B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5E33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40AA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79B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52A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27D5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A9B80">
            <w:pPr>
              <w:jc w:val="center"/>
            </w:pPr>
          </w:p>
        </w:tc>
      </w:tr>
      <w:tr w14:paraId="016AB4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BBF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225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910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A9AD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6BA3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914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E9F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637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CF8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4C3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C46D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9B02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2179E">
            <w:pPr>
              <w:jc w:val="center"/>
            </w:pPr>
          </w:p>
        </w:tc>
      </w:tr>
      <w:tr w14:paraId="434B30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2051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4C0CB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BB2D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5DD38">
            <w:pPr>
              <w:jc w:val="center"/>
            </w:pPr>
            <w:r>
              <w:rPr>
                <w:rFonts w:ascii="宋体" w:hAnsi="宋体" w:eastAsia="宋体"/>
                <w:sz w:val="16"/>
              </w:rPr>
              <w:t>中职免住宿费生均受助标准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B58DA">
            <w:pPr>
              <w:jc w:val="center"/>
            </w:pPr>
            <w:r>
              <w:rPr>
                <w:rFonts w:ascii="宋体" w:hAnsi="宋体" w:eastAsia="宋体"/>
                <w:sz w:val="16"/>
              </w:rPr>
              <w:t>=600元/生/年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D74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42960">
            <w:pPr>
              <w:jc w:val="center"/>
            </w:pPr>
            <w:r>
              <w:rPr>
                <w:rFonts w:ascii="宋体" w:hAnsi="宋体" w:eastAsia="宋体"/>
                <w:sz w:val="16"/>
              </w:rPr>
              <w:t>=600元/生/年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EE0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07F4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2AE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83A7A">
            <w:pPr>
              <w:jc w:val="center"/>
            </w:pPr>
            <w:r>
              <w:rPr>
                <w:rFonts w:ascii="宋体" w:hAnsi="宋体" w:eastAsia="宋体"/>
                <w:sz w:val="16"/>
              </w:rPr>
              <w:t>=600元/生/年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F5BD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37B3F">
            <w:pPr>
              <w:jc w:val="center"/>
            </w:pPr>
            <w:r>
              <w:rPr>
                <w:rFonts w:ascii="宋体" w:hAnsi="宋体" w:eastAsia="宋体"/>
                <w:sz w:val="16"/>
              </w:rPr>
              <w:t>偏差原因：本年3年级部分学生参与实习，故在校生人数和预期有误差；改进措施：督促总务科按实施方案计划执行，减少误差。</w:t>
            </w:r>
          </w:p>
        </w:tc>
      </w:tr>
      <w:tr w14:paraId="1AA634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2FA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D86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AE7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ADFF6">
            <w:pPr>
              <w:jc w:val="center"/>
            </w:pPr>
            <w:r>
              <w:rPr>
                <w:rFonts w:ascii="宋体" w:hAnsi="宋体" w:eastAsia="宋体"/>
                <w:sz w:val="16"/>
              </w:rPr>
              <w:t>中职生均公用经费受助标准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3A455">
            <w:pPr>
              <w:jc w:val="center"/>
            </w:pPr>
            <w:r>
              <w:rPr>
                <w:rFonts w:ascii="宋体" w:hAnsi="宋体" w:eastAsia="宋体"/>
                <w:sz w:val="16"/>
              </w:rPr>
              <w:t>=1000元/生/年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47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F68D2">
            <w:pPr>
              <w:jc w:val="center"/>
            </w:pPr>
            <w:r>
              <w:rPr>
                <w:rFonts w:ascii="宋体" w:hAnsi="宋体" w:eastAsia="宋体"/>
                <w:sz w:val="16"/>
              </w:rPr>
              <w:t>=1000元/生/年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461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2705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A3E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F1B30">
            <w:pPr>
              <w:jc w:val="center"/>
            </w:pPr>
            <w:r>
              <w:rPr>
                <w:rFonts w:ascii="宋体" w:hAnsi="宋体" w:eastAsia="宋体"/>
                <w:sz w:val="16"/>
              </w:rPr>
              <w:t>=1000元/生/年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A2A6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D7BEC">
            <w:pPr>
              <w:jc w:val="center"/>
            </w:pPr>
            <w:r>
              <w:rPr>
                <w:rFonts w:ascii="宋体" w:hAnsi="宋体" w:eastAsia="宋体"/>
                <w:sz w:val="16"/>
              </w:rPr>
              <w:t>偏差原因：总务科未能按实施进度执行资金，造成资金支付滞缓；改进措施：尽量减少预算误差。</w:t>
            </w:r>
          </w:p>
        </w:tc>
      </w:tr>
      <w:tr w14:paraId="68B388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828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821F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9216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F1C3B">
            <w:pPr>
              <w:jc w:val="center"/>
            </w:pPr>
            <w:r>
              <w:rPr>
                <w:rFonts w:ascii="宋体" w:hAnsi="宋体" w:eastAsia="宋体"/>
                <w:sz w:val="16"/>
              </w:rPr>
              <w:t>缓解家庭困难学生就学压力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17FB3">
            <w:pPr>
              <w:jc w:val="center"/>
            </w:pPr>
            <w:r>
              <w:rPr>
                <w:rFonts w:ascii="宋体" w:hAnsi="宋体" w:eastAsia="宋体"/>
                <w:sz w:val="16"/>
              </w:rPr>
              <w:t>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CBF6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15BD4">
            <w:pPr>
              <w:jc w:val="center"/>
            </w:pPr>
            <w:r>
              <w:rPr>
                <w:rFonts w:ascii="宋体" w:hAnsi="宋体" w:eastAsia="宋体"/>
                <w:sz w:val="16"/>
              </w:rPr>
              <w:t>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9CAD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EFD3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254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8BB1">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15F51">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90CCB">
            <w:pPr>
              <w:jc w:val="center"/>
            </w:pPr>
            <w:r>
              <w:rPr>
                <w:rFonts w:ascii="宋体" w:hAnsi="宋体" w:eastAsia="宋体"/>
                <w:sz w:val="16"/>
              </w:rPr>
              <w:t>偏差原因：由于学校服务未能达到学生满意度，造成满意度低于预期指标。改进措施：今后单位将努力提高服务能力，达到学生满意度。</w:t>
            </w:r>
          </w:p>
        </w:tc>
      </w:tr>
      <w:tr w14:paraId="1AC296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A82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526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72C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59292">
            <w:pPr>
              <w:jc w:val="center"/>
            </w:pPr>
            <w:r>
              <w:rPr>
                <w:rFonts w:ascii="宋体" w:hAnsi="宋体" w:eastAsia="宋体"/>
                <w:sz w:val="16"/>
              </w:rPr>
              <w:t>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D0B42">
            <w:pPr>
              <w:jc w:val="center"/>
            </w:pPr>
            <w:r>
              <w:rPr>
                <w:rFonts w:ascii="宋体" w:hAnsi="宋体" w:eastAsia="宋体"/>
                <w:sz w:val="16"/>
              </w:rPr>
              <w:t>&gt;=99.6%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1997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3FCC3">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049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85B6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10A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C0289">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234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9A6A2">
            <w:pPr>
              <w:jc w:val="center"/>
            </w:pPr>
          </w:p>
        </w:tc>
      </w:tr>
      <w:tr w14:paraId="2ACFEEE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79F70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0165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587E7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FC851">
            <w:pPr>
              <w:jc w:val="center"/>
            </w:pPr>
            <w:r>
              <w:rPr>
                <w:rFonts w:ascii="宋体" w:hAnsi="宋体" w:eastAsia="宋体"/>
                <w:sz w:val="16"/>
              </w:rPr>
              <w:t>63.62分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EA0A429"/>
        </w:tc>
      </w:tr>
    </w:tbl>
    <w:p w14:paraId="565307A1">
      <w:r>
        <w:br w:type="page"/>
      </w:r>
    </w:p>
    <w:tbl>
      <w:tblPr>
        <w:tblStyle w:val="9"/>
        <w:tblW w:w="0" w:type="auto"/>
        <w:tblInd w:w="0" w:type="dxa"/>
        <w:tblLayout w:type="autofit"/>
        <w:tblCellMar>
          <w:top w:w="0" w:type="dxa"/>
          <w:left w:w="108" w:type="dxa"/>
          <w:bottom w:w="0" w:type="dxa"/>
          <w:right w:w="108" w:type="dxa"/>
        </w:tblCellMar>
      </w:tblPr>
      <w:tblGrid>
        <w:gridCol w:w="623"/>
        <w:gridCol w:w="607"/>
        <w:gridCol w:w="607"/>
        <w:gridCol w:w="630"/>
        <w:gridCol w:w="856"/>
        <w:gridCol w:w="614"/>
        <w:gridCol w:w="611"/>
        <w:gridCol w:w="615"/>
        <w:gridCol w:w="607"/>
        <w:gridCol w:w="607"/>
        <w:gridCol w:w="856"/>
        <w:gridCol w:w="627"/>
        <w:gridCol w:w="576"/>
        <w:gridCol w:w="624"/>
      </w:tblGrid>
      <w:tr w14:paraId="23EF34BA">
        <w:tc>
          <w:tcPr>
            <w:tcW w:w="8848" w:type="dxa"/>
            <w:gridSpan w:val="14"/>
            <w:vAlign w:val="center"/>
          </w:tcPr>
          <w:p w14:paraId="508647DB">
            <w:pPr>
              <w:jc w:val="center"/>
            </w:pPr>
            <w:r>
              <w:rPr>
                <w:rFonts w:ascii="宋体" w:hAnsi="宋体" w:eastAsia="宋体"/>
                <w:sz w:val="24"/>
              </w:rPr>
              <w:t>项目支出绩效自评表</w:t>
            </w:r>
          </w:p>
        </w:tc>
      </w:tr>
      <w:tr w14:paraId="1DBE0BC3">
        <w:tblPrEx>
          <w:tblCellMar>
            <w:top w:w="0" w:type="dxa"/>
            <w:left w:w="108" w:type="dxa"/>
            <w:bottom w:w="0" w:type="dxa"/>
            <w:right w:w="108" w:type="dxa"/>
          </w:tblCellMar>
        </w:tblPrEx>
        <w:tc>
          <w:tcPr>
            <w:tcW w:w="8848" w:type="dxa"/>
            <w:gridSpan w:val="14"/>
            <w:vAlign w:val="center"/>
          </w:tcPr>
          <w:p w14:paraId="2B83EC23">
            <w:pPr>
              <w:jc w:val="center"/>
            </w:pPr>
            <w:r>
              <w:rPr>
                <w:rFonts w:ascii="宋体" w:hAnsi="宋体" w:eastAsia="宋体"/>
                <w:sz w:val="24"/>
              </w:rPr>
              <w:t>(2024年度)</w:t>
            </w:r>
          </w:p>
        </w:tc>
      </w:tr>
      <w:tr w14:paraId="065761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1B91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8124A9">
            <w:pPr>
              <w:jc w:val="center"/>
            </w:pPr>
            <w:r>
              <w:rPr>
                <w:rFonts w:ascii="宋体" w:hAnsi="宋体" w:eastAsia="宋体"/>
                <w:sz w:val="16"/>
              </w:rPr>
              <w:t>喀什地区体育运动学校迁建前期启动资金项目</w:t>
            </w:r>
          </w:p>
        </w:tc>
      </w:tr>
      <w:tr w14:paraId="0B464D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0801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026C09">
            <w:pPr>
              <w:jc w:val="center"/>
            </w:pPr>
            <w:r>
              <w:rPr>
                <w:rFonts w:ascii="宋体" w:hAnsi="宋体" w:eastAsia="宋体"/>
                <w:sz w:val="16"/>
              </w:rPr>
              <w:t>喀什地区体育局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09E5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3E36F1">
            <w:pPr>
              <w:jc w:val="center"/>
            </w:pPr>
            <w:r>
              <w:rPr>
                <w:rFonts w:ascii="宋体" w:hAnsi="宋体" w:eastAsia="宋体"/>
                <w:sz w:val="16"/>
              </w:rPr>
              <w:t>喀什地区体育运动学校</w:t>
            </w:r>
          </w:p>
        </w:tc>
      </w:tr>
      <w:tr w14:paraId="30C38B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F6B1B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D1D5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2B18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67C1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4BF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A742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1B3B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09CEA">
            <w:pPr>
              <w:jc w:val="center"/>
            </w:pPr>
            <w:r>
              <w:rPr>
                <w:rFonts w:ascii="宋体" w:hAnsi="宋体" w:eastAsia="宋体"/>
                <w:sz w:val="16"/>
              </w:rPr>
              <w:t>得分</w:t>
            </w:r>
          </w:p>
        </w:tc>
      </w:tr>
      <w:tr w14:paraId="111AD0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9B4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8E09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E015C">
            <w:pPr>
              <w:jc w:val="center"/>
            </w:pPr>
            <w:r>
              <w:rPr>
                <w:rFonts w:ascii="宋体" w:hAnsi="宋体" w:eastAsia="宋体"/>
                <w:sz w:val="16"/>
              </w:rPr>
              <w:t>1,143.00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54AB3">
            <w:pPr>
              <w:jc w:val="center"/>
            </w:pPr>
            <w:r>
              <w:rPr>
                <w:rFonts w:ascii="宋体" w:hAnsi="宋体" w:eastAsia="宋体"/>
                <w:sz w:val="16"/>
              </w:rPr>
              <w:t>1,143.00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5B173">
            <w:pPr>
              <w:jc w:val="center"/>
            </w:pPr>
            <w:r>
              <w:rPr>
                <w:rFonts w:ascii="宋体" w:hAnsi="宋体" w:eastAsia="宋体"/>
                <w:sz w:val="16"/>
              </w:rPr>
              <w:t>487.67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C19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CD8E8">
            <w:pPr>
              <w:jc w:val="center"/>
            </w:pPr>
            <w:r>
              <w:rPr>
                <w:rFonts w:ascii="宋体" w:hAnsi="宋体" w:eastAsia="宋体"/>
                <w:sz w:val="16"/>
              </w:rPr>
              <w:t>42.7%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3422F">
            <w:pPr>
              <w:jc w:val="center"/>
            </w:pPr>
            <w:r>
              <w:rPr>
                <w:rFonts w:ascii="宋体" w:hAnsi="宋体" w:eastAsia="宋体"/>
                <w:sz w:val="16"/>
              </w:rPr>
              <w:t>0.00分</w:t>
            </w:r>
          </w:p>
        </w:tc>
      </w:tr>
      <w:tr w14:paraId="131B4C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862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C0D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A7D4E">
            <w:pPr>
              <w:jc w:val="center"/>
            </w:pPr>
            <w:r>
              <w:rPr>
                <w:rFonts w:ascii="宋体" w:hAnsi="宋体" w:eastAsia="宋体"/>
                <w:sz w:val="16"/>
              </w:rPr>
              <w:t>1,143.00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8BD5D">
            <w:pPr>
              <w:jc w:val="center"/>
            </w:pPr>
            <w:r>
              <w:rPr>
                <w:rFonts w:ascii="宋体" w:hAnsi="宋体" w:eastAsia="宋体"/>
                <w:sz w:val="16"/>
              </w:rPr>
              <w:t>1,143.00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21C33">
            <w:pPr>
              <w:jc w:val="center"/>
            </w:pPr>
            <w:r>
              <w:rPr>
                <w:rFonts w:ascii="宋体" w:hAnsi="宋体" w:eastAsia="宋体"/>
                <w:sz w:val="16"/>
              </w:rPr>
              <w:t>487.67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FF8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91B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5421D">
            <w:pPr>
              <w:jc w:val="center"/>
            </w:pPr>
            <w:r>
              <w:rPr>
                <w:rFonts w:ascii="宋体" w:hAnsi="宋体" w:eastAsia="宋体"/>
                <w:sz w:val="16"/>
              </w:rPr>
              <w:t>—</w:t>
            </w:r>
          </w:p>
        </w:tc>
      </w:tr>
      <w:tr w14:paraId="3443C0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62A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00FD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6BF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DF8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B02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2F8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993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8B8CC">
            <w:pPr>
              <w:jc w:val="center"/>
            </w:pPr>
            <w:r>
              <w:rPr>
                <w:rFonts w:ascii="宋体" w:hAnsi="宋体" w:eastAsia="宋体"/>
                <w:sz w:val="16"/>
              </w:rPr>
              <w:t>—</w:t>
            </w:r>
          </w:p>
        </w:tc>
      </w:tr>
      <w:tr w14:paraId="090A3F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5759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83DF2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A30A10">
            <w:pPr>
              <w:jc w:val="center"/>
            </w:pPr>
            <w:r>
              <w:rPr>
                <w:rFonts w:ascii="宋体" w:hAnsi="宋体" w:eastAsia="宋体"/>
                <w:sz w:val="16"/>
              </w:rPr>
              <w:t>实际完成情况</w:t>
            </w:r>
          </w:p>
        </w:tc>
      </w:tr>
      <w:tr w14:paraId="7F5C43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E3CE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749EBF">
            <w:pPr>
              <w:jc w:val="both"/>
            </w:pPr>
            <w:r>
              <w:rPr>
                <w:rFonts w:ascii="宋体" w:hAnsi="宋体" w:eastAsia="宋体"/>
                <w:sz w:val="16"/>
              </w:rPr>
              <w:t>根据《关于印发</w:t>
            </w:r>
            <w:r>
              <w:rPr>
                <w:rFonts w:hint="eastAsia" w:ascii="宋体" w:hAnsi="宋体"/>
                <w:sz w:val="16"/>
                <w:lang w:eastAsia="zh-CN"/>
              </w:rPr>
              <w:t>〈</w:t>
            </w:r>
            <w:r>
              <w:rPr>
                <w:rFonts w:ascii="宋体" w:hAnsi="宋体" w:eastAsia="宋体"/>
                <w:sz w:val="16"/>
              </w:rPr>
              <w:t>贯彻落实第九次全国对口援疆工作会议精神暨推进喀什地区高等教育发展第一次协调座谈会精神推动高等教育提质扩容建设方案及责任分解&gt;的通知》相关要求。为深入贯彻落实教育部、自治区、地区关于全面实施推进喀什地区教育提质扩容有关意见，根据喀什地区体育运动学校实际情况，为解决我校迁建项目前期准备所需资金，响应第九次全国对口援疆工作会议精神。我校申请迁建项目预算资金2500万元，项目2023年开始前期筹备，建设年限为2024年-2026年。其中，2023年已申请地区财政资金57万元，用于可研报告45万元、可研报告评审7.5万元、地形图测绘4.5万元。2024年申请喀什地区财政支持资金1143万元，用于项目全过程管理服务费150万元、地质勘察费43万元、水土保持报告书编制费30万元、安全评估报告书编制费23万元、节能影响评价报告书编制费26万元、风险评价报告书编制费23万元、施工图审查费51万元，监理费150万元、工程造价费及其他结算费100万元、招标代理50万元、设计费497万元,项目实施有效推动我校迁建项目的顺利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1FCCC3">
            <w:pPr>
              <w:jc w:val="both"/>
            </w:pPr>
            <w:r>
              <w:rPr>
                <w:rFonts w:ascii="宋体" w:hAnsi="宋体" w:eastAsia="宋体"/>
                <w:sz w:val="16"/>
              </w:rPr>
              <w:t>项目2024年申请喀什地区财政支持资金1143万元，本年度支出房屋建筑物购建款487.67万元（其中：体校迁建项目10%设计费87.8万元、第一笔全过程咨询服务费194.344万元、迁建项目数字化红线和建筑放线费用7.752万元、地籍测量及界限定界测绘费6.268万元、地质勘察费31.07万元、预付体校迁建项目25%土地平整监理费108.24万元、审图费40.19万元、初设评审费12万元）。通过启动资金的合理分配和使用，确保了各项前期工作的顺利开展，通过详细的测绘和规划工作，为新体校的建设提供了科学依据，有助于提升建设效率和质量。</w:t>
            </w:r>
          </w:p>
        </w:tc>
      </w:tr>
      <w:tr w14:paraId="2A1303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EC1C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69C4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E5CC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A2BA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C20D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55C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6459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36E3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076A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4A4A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20A2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3C0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03FA9">
            <w:pPr>
              <w:jc w:val="center"/>
            </w:pPr>
            <w:r>
              <w:rPr>
                <w:rFonts w:ascii="宋体" w:hAnsi="宋体" w:eastAsia="宋体"/>
                <w:sz w:val="16"/>
              </w:rPr>
              <w:t>偏差原因分析及改进措施</w:t>
            </w:r>
          </w:p>
        </w:tc>
      </w:tr>
      <w:tr w14:paraId="41E08A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BF10D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1495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4F53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1FF81">
            <w:pPr>
              <w:jc w:val="center"/>
            </w:pPr>
            <w:r>
              <w:rPr>
                <w:rFonts w:ascii="宋体" w:hAnsi="宋体" w:eastAsia="宋体"/>
                <w:sz w:val="16"/>
              </w:rPr>
              <w:t>迁建项目前期设计个数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C9195">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58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74E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C08E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BA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262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AAB45">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364B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B411F">
            <w:pPr>
              <w:jc w:val="center"/>
            </w:pPr>
            <w:r>
              <w:rPr>
                <w:rFonts w:ascii="宋体" w:hAnsi="宋体" w:eastAsia="宋体"/>
                <w:sz w:val="16"/>
              </w:rPr>
              <w:t>偏差原因：项目已完成可行性研究报告（代项目建议书）发改委批复；改进措施：督促项目负责人尽快按照批复实施项目。</w:t>
            </w:r>
          </w:p>
        </w:tc>
      </w:tr>
      <w:tr w14:paraId="1F80E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130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007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227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C1EC2">
            <w:pPr>
              <w:jc w:val="center"/>
            </w:pPr>
            <w:r>
              <w:rPr>
                <w:rFonts w:ascii="宋体" w:hAnsi="宋体" w:eastAsia="宋体"/>
                <w:sz w:val="16"/>
              </w:rPr>
              <w:t>迁建项目全过程管理内容个数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089E3">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745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CA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1398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C49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CF6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1BDAE">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A3C7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CDAE6">
            <w:pPr>
              <w:jc w:val="center"/>
            </w:pPr>
            <w:r>
              <w:rPr>
                <w:rFonts w:ascii="宋体" w:hAnsi="宋体" w:eastAsia="宋体"/>
                <w:sz w:val="16"/>
              </w:rPr>
              <w:t>偏差原因：校迁建目前正在进行初步设计修改和专家审查；改进措施：督促项目加快进行初步设计修改和专家审查工作。</w:t>
            </w:r>
          </w:p>
        </w:tc>
      </w:tr>
      <w:tr w14:paraId="306F02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E40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9B0F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FB8B3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FE1C7">
            <w:pPr>
              <w:jc w:val="center"/>
            </w:pPr>
            <w:r>
              <w:rPr>
                <w:rFonts w:ascii="宋体" w:hAnsi="宋体" w:eastAsia="宋体"/>
                <w:sz w:val="16"/>
              </w:rPr>
              <w:t>项目招投标率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2F1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0A3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BE9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890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9869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4A8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509DA">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24D0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F55EC">
            <w:pPr>
              <w:jc w:val="center"/>
            </w:pPr>
            <w:r>
              <w:rPr>
                <w:rFonts w:ascii="宋体" w:hAnsi="宋体" w:eastAsia="宋体"/>
                <w:sz w:val="16"/>
              </w:rPr>
              <w:t>偏差原因：已完成可行性研究报告发改委批复，目前正在进行初步设计修改和专家审查；改进措施：督促项目负责人尽快按照批复实施项目。</w:t>
            </w:r>
          </w:p>
        </w:tc>
      </w:tr>
      <w:tr w14:paraId="23B3B1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37E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EA5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6B1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5364E">
            <w:pPr>
              <w:jc w:val="center"/>
            </w:pPr>
            <w:r>
              <w:rPr>
                <w:rFonts w:ascii="宋体" w:hAnsi="宋体" w:eastAsia="宋体"/>
                <w:sz w:val="16"/>
              </w:rPr>
              <w:t>资金规范管理使用率（%）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8C4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8F8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1E1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EFED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E4A6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851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7143F">
            <w:pPr>
              <w:jc w:val="center"/>
            </w:pPr>
            <w:r>
              <w:rPr>
                <w:rFonts w:ascii="宋体" w:hAnsi="宋体" w:eastAsia="宋体"/>
                <w:sz w:val="16"/>
              </w:rPr>
              <w:t>=42.67%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0166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CD61E">
            <w:pPr>
              <w:jc w:val="center"/>
            </w:pPr>
            <w:r>
              <w:rPr>
                <w:rFonts w:ascii="宋体" w:hAnsi="宋体" w:eastAsia="宋体"/>
                <w:sz w:val="16"/>
              </w:rPr>
              <w:t>偏差原因：项目已完成可行性研究报告（代项目建议书）发改委批；改进措施：督促项目负责人尽快按照批复实施项目。</w:t>
            </w:r>
          </w:p>
        </w:tc>
      </w:tr>
      <w:tr w14:paraId="726B9C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1FC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5B8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365C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8750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41F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AF7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18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B2F9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588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628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C547D">
            <w:pPr>
              <w:jc w:val="center"/>
            </w:pPr>
            <w:r>
              <w:rPr>
                <w:rFonts w:ascii="宋体" w:hAnsi="宋体" w:eastAsia="宋体"/>
                <w:sz w:val="16"/>
              </w:rPr>
              <w:t>=42.67%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5452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CECE4">
            <w:pPr>
              <w:jc w:val="center"/>
            </w:pPr>
            <w:r>
              <w:rPr>
                <w:rFonts w:ascii="宋体" w:hAnsi="宋体" w:eastAsia="宋体"/>
                <w:sz w:val="16"/>
              </w:rPr>
              <w:t>偏差原因：目前正在进行初步设计修改和专家审查，未产生资金支付；改进措施：督促项目负责人尽快按照批复实施项目。</w:t>
            </w:r>
          </w:p>
        </w:tc>
      </w:tr>
      <w:tr w14:paraId="13E7D4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40C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3CA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DC0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CA43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535ED">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C1C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F50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DBBA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080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A46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72765">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3BFA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B4970">
            <w:pPr>
              <w:jc w:val="center"/>
            </w:pPr>
            <w:r>
              <w:rPr>
                <w:rFonts w:ascii="宋体" w:hAnsi="宋体" w:eastAsia="宋体"/>
                <w:sz w:val="16"/>
              </w:rPr>
              <w:t>偏差原因：项目未开工，不确定项目完成时间；改进措施：督促项目加快进行初步设计修改和专家审查工作。</w:t>
            </w:r>
          </w:p>
        </w:tc>
      </w:tr>
      <w:tr w14:paraId="16E508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5CA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57AB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138F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C3E3F">
            <w:pPr>
              <w:jc w:val="center"/>
            </w:pPr>
            <w:r>
              <w:rPr>
                <w:rFonts w:ascii="宋体" w:hAnsi="宋体" w:eastAsia="宋体"/>
                <w:sz w:val="16"/>
              </w:rPr>
              <w:t>平均每个设计费用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575DA">
            <w:pPr>
              <w:jc w:val="center"/>
            </w:pPr>
            <w:r>
              <w:rPr>
                <w:rFonts w:ascii="宋体" w:hAnsi="宋体" w:eastAsia="宋体"/>
                <w:sz w:val="16"/>
              </w:rPr>
              <w:t>&lt;=124.25万元/个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91C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68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64A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64A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4D3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52FC4">
            <w:pPr>
              <w:jc w:val="center"/>
            </w:pPr>
            <w:r>
              <w:rPr>
                <w:rFonts w:ascii="宋体" w:hAnsi="宋体" w:eastAsia="宋体"/>
                <w:sz w:val="16"/>
              </w:rPr>
              <w:t>=146.663万元/个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CC316">
            <w:pPr>
              <w:jc w:val="center"/>
            </w:pPr>
            <w:r>
              <w:rPr>
                <w:rFonts w:ascii="宋体" w:hAnsi="宋体" w:eastAsia="宋体"/>
                <w:sz w:val="16"/>
              </w:rPr>
              <w:t>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49805">
            <w:pPr>
              <w:jc w:val="center"/>
            </w:pPr>
            <w:r>
              <w:rPr>
                <w:rFonts w:ascii="宋体" w:hAnsi="宋体" w:eastAsia="宋体"/>
                <w:sz w:val="16"/>
              </w:rPr>
              <w:t>偏差原因：已完成可行性研究报告发改委批复，目前正在进行初步设计修改和专家审查；改进措施：督促项目负责人尽快按照批复实施项目。</w:t>
            </w:r>
          </w:p>
        </w:tc>
      </w:tr>
      <w:tr w14:paraId="31FF98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D4A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C4C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ADD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AC05A">
            <w:pPr>
              <w:jc w:val="center"/>
            </w:pPr>
            <w:r>
              <w:rPr>
                <w:rFonts w:ascii="宋体" w:hAnsi="宋体" w:eastAsia="宋体"/>
                <w:sz w:val="16"/>
              </w:rPr>
              <w:t>平均每个工程建设管理服务费用（万元）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93BAB">
            <w:pPr>
              <w:jc w:val="center"/>
            </w:pPr>
            <w:r>
              <w:rPr>
                <w:rFonts w:ascii="宋体" w:hAnsi="宋体" w:eastAsia="宋体"/>
                <w:sz w:val="16"/>
              </w:rPr>
              <w:t>&lt;=64.60万元/个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34F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2E6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77A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E08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3EF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237E6">
            <w:pPr>
              <w:jc w:val="center"/>
            </w:pPr>
            <w:r>
              <w:rPr>
                <w:rFonts w:ascii="宋体" w:hAnsi="宋体" w:eastAsia="宋体"/>
                <w:sz w:val="16"/>
              </w:rPr>
              <w:t>=48.586万元/个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B2C5B">
            <w:pPr>
              <w:jc w:val="center"/>
            </w:pPr>
            <w:r>
              <w:rPr>
                <w:rFonts w:ascii="宋体" w:hAnsi="宋体" w:eastAsia="宋体"/>
                <w:sz w:val="16"/>
              </w:rPr>
              <w:t>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12AF9">
            <w:pPr>
              <w:jc w:val="center"/>
            </w:pPr>
            <w:r>
              <w:rPr>
                <w:rFonts w:ascii="宋体" w:hAnsi="宋体" w:eastAsia="宋体"/>
                <w:sz w:val="16"/>
              </w:rPr>
              <w:t>偏差原因：项目正在进行初步设计修改和专家审查；改进措施：督促项目加快进行初步设计修改和专家审查工作。</w:t>
            </w:r>
          </w:p>
        </w:tc>
      </w:tr>
      <w:tr w14:paraId="30F1E6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6FD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7D9B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B0CB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EB780">
            <w:pPr>
              <w:jc w:val="center"/>
            </w:pPr>
            <w:r>
              <w:rPr>
                <w:rFonts w:ascii="宋体" w:hAnsi="宋体" w:eastAsia="宋体"/>
                <w:sz w:val="16"/>
              </w:rPr>
              <w:t>推动迁建项目的顺利实施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9F6E6">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D5C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7BE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609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225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0FC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172C7">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4E38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76D2E">
            <w:pPr>
              <w:jc w:val="center"/>
            </w:pPr>
            <w:r>
              <w:rPr>
                <w:rFonts w:ascii="宋体" w:hAnsi="宋体" w:eastAsia="宋体"/>
                <w:sz w:val="16"/>
              </w:rPr>
              <w:t>偏差原因：项目需初步设计修改和经过专家审核，迁建项目暂无法顺利实施；改进措施：督促项目负责人尽快按照批复实施项目。</w:t>
            </w:r>
          </w:p>
        </w:tc>
      </w:tr>
      <w:tr w14:paraId="4AAB45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547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AC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5F8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EB8E2">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3752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D83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AA0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31F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DFA7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6C3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240C3">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7E5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EB013">
            <w:pPr>
              <w:jc w:val="center"/>
            </w:pPr>
            <w:r>
              <w:rPr>
                <w:rFonts w:ascii="宋体" w:hAnsi="宋体" w:eastAsia="宋体"/>
                <w:sz w:val="16"/>
              </w:rPr>
              <w:t>偏差原因：体校迁建项目（一期)已完成可行性研究报告（代项目建议书）发改委批复，目前正在进行初步设计修改和专家审查；改进措施：督促项目加快进行初步设计修改和专家审查工作。</w:t>
            </w:r>
          </w:p>
        </w:tc>
      </w:tr>
      <w:tr w14:paraId="72AA044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19FF1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6B1C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F1D5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33F78">
            <w:pPr>
              <w:jc w:val="center"/>
            </w:pPr>
            <w:r>
              <w:rPr>
                <w:rFonts w:ascii="宋体" w:hAnsi="宋体" w:eastAsia="宋体"/>
                <w:sz w:val="16"/>
              </w:rPr>
              <w:t>22分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E2373A5"/>
        </w:tc>
      </w:tr>
    </w:tbl>
    <w:p w14:paraId="64EC0A35">
      <w:r>
        <w:br w:type="page"/>
      </w:r>
    </w:p>
    <w:tbl>
      <w:tblPr>
        <w:tblStyle w:val="9"/>
        <w:tblW w:w="0" w:type="auto"/>
        <w:tblInd w:w="0" w:type="dxa"/>
        <w:tblLayout w:type="autofit"/>
        <w:tblCellMar>
          <w:top w:w="0" w:type="dxa"/>
          <w:left w:w="108" w:type="dxa"/>
          <w:bottom w:w="0" w:type="dxa"/>
          <w:right w:w="108" w:type="dxa"/>
        </w:tblCellMar>
      </w:tblPr>
      <w:tblGrid>
        <w:gridCol w:w="619"/>
        <w:gridCol w:w="600"/>
        <w:gridCol w:w="600"/>
        <w:gridCol w:w="620"/>
        <w:gridCol w:w="936"/>
        <w:gridCol w:w="608"/>
        <w:gridCol w:w="605"/>
        <w:gridCol w:w="612"/>
        <w:gridCol w:w="601"/>
        <w:gridCol w:w="600"/>
        <w:gridCol w:w="856"/>
        <w:gridCol w:w="630"/>
        <w:gridCol w:w="553"/>
        <w:gridCol w:w="620"/>
      </w:tblGrid>
      <w:tr w14:paraId="555E15B5">
        <w:tblPrEx>
          <w:tblCellMar>
            <w:top w:w="0" w:type="dxa"/>
            <w:left w:w="108" w:type="dxa"/>
            <w:bottom w:w="0" w:type="dxa"/>
            <w:right w:w="108" w:type="dxa"/>
          </w:tblCellMar>
        </w:tblPrEx>
        <w:tc>
          <w:tcPr>
            <w:tcW w:w="8848" w:type="dxa"/>
            <w:gridSpan w:val="14"/>
            <w:vAlign w:val="center"/>
          </w:tcPr>
          <w:p w14:paraId="2B824D62">
            <w:pPr>
              <w:jc w:val="center"/>
            </w:pPr>
            <w:r>
              <w:rPr>
                <w:rFonts w:ascii="宋体" w:hAnsi="宋体" w:eastAsia="宋体"/>
                <w:sz w:val="24"/>
              </w:rPr>
              <w:t>项目支出绩效自评表</w:t>
            </w:r>
          </w:p>
        </w:tc>
      </w:tr>
      <w:tr w14:paraId="7CA0CD89">
        <w:tblPrEx>
          <w:tblCellMar>
            <w:top w:w="0" w:type="dxa"/>
            <w:left w:w="108" w:type="dxa"/>
            <w:bottom w:w="0" w:type="dxa"/>
            <w:right w:w="108" w:type="dxa"/>
          </w:tblCellMar>
        </w:tblPrEx>
        <w:tc>
          <w:tcPr>
            <w:tcW w:w="8848" w:type="dxa"/>
            <w:gridSpan w:val="14"/>
            <w:vAlign w:val="center"/>
          </w:tcPr>
          <w:p w14:paraId="7D4B9B31">
            <w:pPr>
              <w:jc w:val="center"/>
            </w:pPr>
            <w:r>
              <w:rPr>
                <w:rFonts w:ascii="宋体" w:hAnsi="宋体" w:eastAsia="宋体"/>
                <w:sz w:val="24"/>
              </w:rPr>
              <w:t>(2024年度)</w:t>
            </w:r>
          </w:p>
        </w:tc>
      </w:tr>
      <w:tr w14:paraId="6A0FD2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5B1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003C27">
            <w:pPr>
              <w:jc w:val="center"/>
            </w:pPr>
            <w:r>
              <w:rPr>
                <w:rFonts w:ascii="宋体" w:hAnsi="宋体" w:eastAsia="宋体"/>
                <w:sz w:val="16"/>
              </w:rPr>
              <w:t>社会服务设施建设支持工程专项2024年第三批中央基建投资预算项目(体校搬迁-青少年足球训练中心项目）</w:t>
            </w:r>
          </w:p>
        </w:tc>
      </w:tr>
      <w:tr w14:paraId="5DC353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2090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1F9D1B">
            <w:pPr>
              <w:jc w:val="center"/>
            </w:pPr>
            <w:r>
              <w:rPr>
                <w:rFonts w:ascii="宋体" w:hAnsi="宋体" w:eastAsia="宋体"/>
                <w:sz w:val="16"/>
              </w:rPr>
              <w:t>喀什地区体育局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2EE1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FD0065">
            <w:pPr>
              <w:jc w:val="center"/>
            </w:pPr>
            <w:r>
              <w:rPr>
                <w:rFonts w:ascii="宋体" w:hAnsi="宋体" w:eastAsia="宋体"/>
                <w:sz w:val="16"/>
              </w:rPr>
              <w:t>喀什地区体育运动学校</w:t>
            </w:r>
          </w:p>
        </w:tc>
      </w:tr>
      <w:tr w14:paraId="0A0686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AA9F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9C5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D9A2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11D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2E69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3114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5744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6E10">
            <w:pPr>
              <w:jc w:val="center"/>
            </w:pPr>
            <w:r>
              <w:rPr>
                <w:rFonts w:ascii="宋体" w:hAnsi="宋体" w:eastAsia="宋体"/>
                <w:sz w:val="16"/>
              </w:rPr>
              <w:t>得分</w:t>
            </w:r>
          </w:p>
        </w:tc>
      </w:tr>
      <w:tr w14:paraId="30AA51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5A9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45BC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2971D">
            <w:pPr>
              <w:jc w:val="center"/>
            </w:pPr>
            <w:r>
              <w:rPr>
                <w:rFonts w:ascii="宋体" w:hAnsi="宋体" w:eastAsia="宋体"/>
                <w:sz w:val="16"/>
              </w:rPr>
              <w:t>4,000.00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F6DF2">
            <w:pPr>
              <w:jc w:val="center"/>
            </w:pPr>
            <w:r>
              <w:rPr>
                <w:rFonts w:ascii="宋体" w:hAnsi="宋体" w:eastAsia="宋体"/>
                <w:sz w:val="16"/>
              </w:rPr>
              <w:t>4,000.00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E557D">
            <w:pPr>
              <w:jc w:val="center"/>
            </w:pPr>
            <w:r>
              <w:rPr>
                <w:rFonts w:ascii="宋体" w:hAnsi="宋体" w:eastAsia="宋体"/>
                <w:sz w:val="16"/>
              </w:rPr>
              <w:t>1,313.16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338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D7BDD">
            <w:pPr>
              <w:jc w:val="center"/>
            </w:pPr>
            <w:r>
              <w:rPr>
                <w:rFonts w:ascii="宋体" w:hAnsi="宋体" w:eastAsia="宋体"/>
                <w:sz w:val="16"/>
              </w:rPr>
              <w:t>32.8%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D8900">
            <w:pPr>
              <w:jc w:val="center"/>
            </w:pPr>
            <w:r>
              <w:rPr>
                <w:rFonts w:ascii="宋体" w:hAnsi="宋体" w:eastAsia="宋体"/>
                <w:sz w:val="16"/>
              </w:rPr>
              <w:t>0.00分</w:t>
            </w:r>
          </w:p>
        </w:tc>
      </w:tr>
      <w:tr w14:paraId="0C2D13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CE6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DB93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86E37">
            <w:pPr>
              <w:jc w:val="center"/>
            </w:pPr>
            <w:r>
              <w:rPr>
                <w:rFonts w:ascii="宋体" w:hAnsi="宋体" w:eastAsia="宋体"/>
                <w:sz w:val="16"/>
              </w:rPr>
              <w:t>4,000.00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7A9DE">
            <w:pPr>
              <w:jc w:val="center"/>
            </w:pPr>
            <w:r>
              <w:rPr>
                <w:rFonts w:ascii="宋体" w:hAnsi="宋体" w:eastAsia="宋体"/>
                <w:sz w:val="16"/>
              </w:rPr>
              <w:t>4,000.00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7A4A5">
            <w:pPr>
              <w:jc w:val="center"/>
            </w:pPr>
            <w:r>
              <w:rPr>
                <w:rFonts w:ascii="宋体" w:hAnsi="宋体" w:eastAsia="宋体"/>
                <w:sz w:val="16"/>
              </w:rPr>
              <w:t>1,313.16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429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C52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E2B07">
            <w:pPr>
              <w:jc w:val="center"/>
            </w:pPr>
            <w:r>
              <w:rPr>
                <w:rFonts w:ascii="宋体" w:hAnsi="宋体" w:eastAsia="宋体"/>
                <w:sz w:val="16"/>
              </w:rPr>
              <w:t>—</w:t>
            </w:r>
          </w:p>
        </w:tc>
      </w:tr>
      <w:tr w14:paraId="274D6C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0B4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D194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9B4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084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E21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A2C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ACE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23926">
            <w:pPr>
              <w:jc w:val="center"/>
            </w:pPr>
            <w:r>
              <w:rPr>
                <w:rFonts w:ascii="宋体" w:hAnsi="宋体" w:eastAsia="宋体"/>
                <w:sz w:val="16"/>
              </w:rPr>
              <w:t>—</w:t>
            </w:r>
          </w:p>
        </w:tc>
      </w:tr>
      <w:tr w14:paraId="2EEA16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3372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335DB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D2A303">
            <w:pPr>
              <w:jc w:val="center"/>
            </w:pPr>
            <w:r>
              <w:rPr>
                <w:rFonts w:ascii="宋体" w:hAnsi="宋体" w:eastAsia="宋体"/>
                <w:sz w:val="16"/>
              </w:rPr>
              <w:t>实际完成情况</w:t>
            </w:r>
          </w:p>
        </w:tc>
      </w:tr>
      <w:tr w14:paraId="70F270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3AFB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94ADB5">
            <w:pPr>
              <w:jc w:val="both"/>
            </w:pPr>
            <w:r>
              <w:rPr>
                <w:rFonts w:ascii="宋体" w:hAnsi="宋体" w:eastAsia="宋体"/>
                <w:sz w:val="16"/>
              </w:rPr>
              <w:t>根据喀地财建</w:t>
            </w:r>
            <w:r>
              <w:rPr>
                <w:rFonts w:hint="eastAsia" w:ascii="宋体" w:hAnsi="宋体"/>
                <w:sz w:val="16"/>
                <w:lang w:eastAsia="zh-CN"/>
              </w:rPr>
              <w:t>〔2024〕72号</w:t>
            </w:r>
            <w:r>
              <w:rPr>
                <w:rFonts w:ascii="宋体" w:hAnsi="宋体" w:eastAsia="宋体"/>
                <w:sz w:val="16"/>
              </w:rPr>
              <w:t>关于下达社会服务设施建设支持工程专项2024年第三批中央基建投资预算的通知，拨入4000万元用于喀什地区青少年足球训练中心建设项目，建筑面积37700平方米，其中：基础设施建设10700平方米，主要建设学生宿舍楼、配套功能用房及排水、电、暖等附属配套设施；训练场面积27000平方米、主要建设室外足球训练场、400米田径跑道（含11人制足球场）。本项目2024年计划投入资金4000万元，新建学生宿舍楼8000.56平方米，配套功能用房2612平方米，室外足球训练场8000平方米，400米田径场（含11人制足球场）19000平方米，预计使用资金4000万元，包括工程建设费用3471万元，工程建设其他费用285万元，预备费244万元）。项目建设有利于自治区、喀什地区加快构建体教深度融合、普及与提高互促并进，一体化设计、一体化推进的足球后备人才培养新体系，推动青少年足球全面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99DF51">
            <w:pPr>
              <w:jc w:val="both"/>
            </w:pPr>
            <w:r>
              <w:rPr>
                <w:rFonts w:ascii="宋体" w:hAnsi="宋体" w:eastAsia="宋体"/>
                <w:sz w:val="16"/>
              </w:rPr>
              <w:t>根据喀地财建</w:t>
            </w:r>
            <w:r>
              <w:rPr>
                <w:rFonts w:hint="eastAsia" w:ascii="宋体" w:hAnsi="宋体"/>
                <w:sz w:val="16"/>
                <w:lang w:eastAsia="zh-CN"/>
              </w:rPr>
              <w:t>〔2024〕72号</w:t>
            </w:r>
            <w:r>
              <w:rPr>
                <w:rFonts w:ascii="宋体" w:hAnsi="宋体" w:eastAsia="宋体"/>
                <w:sz w:val="16"/>
              </w:rPr>
              <w:t>关于下达社会服务设施建设支持工程专项2024年第三批中央基建投资预算的通知，拨入4000万元用于喀什地区青少年足球训练中心建设项目，目前支付基础设施建设金额1313.16万元。</w:t>
            </w:r>
          </w:p>
        </w:tc>
      </w:tr>
      <w:tr w14:paraId="359C4D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F8E3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35A3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3943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1FCF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522A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AA05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78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E17A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1190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2021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8413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BA5C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15A25">
            <w:pPr>
              <w:jc w:val="center"/>
            </w:pPr>
            <w:r>
              <w:rPr>
                <w:rFonts w:ascii="宋体" w:hAnsi="宋体" w:eastAsia="宋体"/>
                <w:sz w:val="16"/>
              </w:rPr>
              <w:t>偏差原因分析及改进措施</w:t>
            </w:r>
          </w:p>
        </w:tc>
      </w:tr>
      <w:tr w14:paraId="52AE87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6DC6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FEB2D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4B4E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B7A7D">
            <w:pPr>
              <w:jc w:val="center"/>
            </w:pPr>
            <w:r>
              <w:rPr>
                <w:rFonts w:ascii="宋体" w:hAnsi="宋体" w:eastAsia="宋体"/>
                <w:sz w:val="16"/>
              </w:rPr>
              <w:t>建设学生宿舍楼个数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F112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667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986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1EA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52E8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6A0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65323">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FDCF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67055">
            <w:pPr>
              <w:jc w:val="center"/>
            </w:pPr>
            <w:r>
              <w:rPr>
                <w:rFonts w:ascii="宋体" w:hAnsi="宋体" w:eastAsia="宋体"/>
                <w:sz w:val="16"/>
              </w:rPr>
              <w:t>偏差原因：项目未开工，还未建设学生宿舍楼。改进措施：督促项目负责人与施工单位加强沟通协作。</w:t>
            </w:r>
          </w:p>
        </w:tc>
      </w:tr>
      <w:tr w14:paraId="0E0954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01A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2E1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4F9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8C52">
            <w:pPr>
              <w:jc w:val="center"/>
            </w:pPr>
            <w:r>
              <w:rPr>
                <w:rFonts w:ascii="宋体" w:hAnsi="宋体" w:eastAsia="宋体"/>
                <w:sz w:val="16"/>
              </w:rPr>
              <w:t>配套功能用房个数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13EA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891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24C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126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E324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7BF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FD267">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EE75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498A8">
            <w:pPr>
              <w:jc w:val="center"/>
            </w:pPr>
            <w:r>
              <w:rPr>
                <w:rFonts w:ascii="宋体" w:hAnsi="宋体" w:eastAsia="宋体"/>
                <w:sz w:val="16"/>
              </w:rPr>
              <w:t>偏差原因：喀什目前处于冬休期，2025年3月可开工建设。改进措施：督促施工单位按照正常流程开工建设。</w:t>
            </w:r>
          </w:p>
        </w:tc>
      </w:tr>
      <w:tr w14:paraId="407980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678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CDC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05B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C33E8">
            <w:pPr>
              <w:jc w:val="center"/>
            </w:pPr>
            <w:r>
              <w:rPr>
                <w:rFonts w:ascii="宋体" w:hAnsi="宋体" w:eastAsia="宋体"/>
                <w:sz w:val="16"/>
              </w:rPr>
              <w:t>室外足球训练场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C608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5E2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8F0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5466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DB32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342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BBEB6">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FB72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E7F37">
            <w:pPr>
              <w:jc w:val="center"/>
            </w:pPr>
            <w:r>
              <w:rPr>
                <w:rFonts w:ascii="宋体" w:hAnsi="宋体" w:eastAsia="宋体"/>
                <w:sz w:val="16"/>
              </w:rPr>
              <w:t>偏差原因：项目未开工，还未建设室外足球训练场。改进措施：督促项目负责人与施工单位加强沟通协作。</w:t>
            </w:r>
          </w:p>
        </w:tc>
      </w:tr>
      <w:tr w14:paraId="4E9A1D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0BD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C8B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73B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FCE58">
            <w:pPr>
              <w:jc w:val="center"/>
            </w:pPr>
            <w:r>
              <w:rPr>
                <w:rFonts w:ascii="宋体" w:hAnsi="宋体" w:eastAsia="宋体"/>
                <w:sz w:val="16"/>
              </w:rPr>
              <w:t>400米田径场（含11人制足球场）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44A7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493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BF3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9F2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629F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8BC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12031">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1255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40302">
            <w:pPr>
              <w:jc w:val="center"/>
            </w:pPr>
            <w:r>
              <w:rPr>
                <w:rFonts w:ascii="宋体" w:hAnsi="宋体" w:eastAsia="宋体"/>
                <w:sz w:val="16"/>
              </w:rPr>
              <w:t>偏差原因：喀什目前处于冬休期，项目未开工。改进措施：督促项目负责人与施工单位加强沟通协作。</w:t>
            </w:r>
          </w:p>
        </w:tc>
      </w:tr>
      <w:tr w14:paraId="51C0D1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611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8FA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1DF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207E8">
            <w:pPr>
              <w:jc w:val="center"/>
            </w:pPr>
            <w:r>
              <w:rPr>
                <w:rFonts w:ascii="宋体" w:hAnsi="宋体" w:eastAsia="宋体"/>
                <w:sz w:val="16"/>
              </w:rPr>
              <w:t>水电暖附属设施工程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1F413">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7A8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6C3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0B06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2780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E92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FB953">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05D6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DF759">
            <w:pPr>
              <w:jc w:val="center"/>
            </w:pPr>
            <w:r>
              <w:rPr>
                <w:rFonts w:ascii="宋体" w:hAnsi="宋体" w:eastAsia="宋体"/>
                <w:sz w:val="16"/>
              </w:rPr>
              <w:t>偏差原因：项目未开工，水电暖附属设施工程未建设。改进措施：完工后加强水电暖附属设施建设。</w:t>
            </w:r>
          </w:p>
        </w:tc>
      </w:tr>
      <w:tr w14:paraId="59D563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EC8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73B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2CB7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D19F2">
            <w:pPr>
              <w:jc w:val="center"/>
            </w:pPr>
            <w:r>
              <w:rPr>
                <w:rFonts w:ascii="宋体" w:hAnsi="宋体" w:eastAsia="宋体"/>
                <w:sz w:val="16"/>
              </w:rPr>
              <w:t>项目招投标率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FFF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B6E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0C7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B3D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302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7EB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6BA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F1AF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C359F">
            <w:pPr>
              <w:jc w:val="center"/>
            </w:pPr>
          </w:p>
        </w:tc>
      </w:tr>
      <w:tr w14:paraId="3B3091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CB6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2EF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FB05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04347">
            <w:pPr>
              <w:jc w:val="center"/>
            </w:pPr>
            <w:r>
              <w:rPr>
                <w:rFonts w:ascii="宋体" w:hAnsi="宋体" w:eastAsia="宋体"/>
                <w:sz w:val="16"/>
              </w:rPr>
              <w:t>项目资金使用及时率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03D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0F1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905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B6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A111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B18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AF339">
            <w:pPr>
              <w:jc w:val="center"/>
            </w:pPr>
            <w:r>
              <w:rPr>
                <w:rFonts w:ascii="宋体" w:hAnsi="宋体" w:eastAsia="宋体"/>
                <w:sz w:val="16"/>
              </w:rPr>
              <w:t>=32.83%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CA64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DA3B7">
            <w:pPr>
              <w:jc w:val="center"/>
            </w:pPr>
            <w:r>
              <w:rPr>
                <w:rFonts w:ascii="宋体" w:hAnsi="宋体" w:eastAsia="宋体"/>
                <w:sz w:val="16"/>
              </w:rPr>
              <w:t>偏差原因：已与中标单位中铁十六局集团有限公司签订了工程施工合同，根据合同，支付了30%合同价预付款。改进措施：项目开工后加强资金使用及时率。</w:t>
            </w:r>
          </w:p>
        </w:tc>
      </w:tr>
      <w:tr w14:paraId="206230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BC1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AC2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0EA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496C3">
            <w:pPr>
              <w:jc w:val="center"/>
            </w:pPr>
            <w:r>
              <w:rPr>
                <w:rFonts w:ascii="宋体" w:hAnsi="宋体" w:eastAsia="宋体"/>
                <w:sz w:val="16"/>
              </w:rPr>
              <w:t>项目计划开工时间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946ED">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86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63E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60E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E5F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652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2FA68">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7846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19FF3">
            <w:pPr>
              <w:jc w:val="center"/>
            </w:pPr>
          </w:p>
        </w:tc>
      </w:tr>
      <w:tr w14:paraId="06341A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C53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F1C2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849D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36F19">
            <w:pPr>
              <w:jc w:val="center"/>
            </w:pPr>
            <w:r>
              <w:rPr>
                <w:rFonts w:ascii="宋体" w:hAnsi="宋体" w:eastAsia="宋体"/>
                <w:sz w:val="16"/>
              </w:rPr>
              <w:t>学生宿舍楼总成本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4E829">
            <w:pPr>
              <w:jc w:val="center"/>
            </w:pPr>
            <w:r>
              <w:rPr>
                <w:rFonts w:ascii="宋体" w:hAnsi="宋体" w:eastAsia="宋体"/>
                <w:sz w:val="16"/>
              </w:rPr>
              <w:t>&lt;=2156.82万元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227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664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F52E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EC1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E43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8794F">
            <w:pPr>
              <w:jc w:val="center"/>
            </w:pPr>
            <w:r>
              <w:rPr>
                <w:rFonts w:ascii="宋体" w:hAnsi="宋体" w:eastAsia="宋体"/>
                <w:sz w:val="16"/>
              </w:rPr>
              <w:t>=1313.16万元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1C7C7">
            <w:pPr>
              <w:jc w:val="center"/>
            </w:pPr>
            <w:r>
              <w:rPr>
                <w:rFonts w:ascii="宋体" w:hAnsi="宋体" w:eastAsia="宋体"/>
                <w:sz w:val="16"/>
              </w:rPr>
              <w:t>0.09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FF939">
            <w:pPr>
              <w:jc w:val="center"/>
            </w:pPr>
            <w:r>
              <w:rPr>
                <w:rFonts w:ascii="宋体" w:hAnsi="宋体" w:eastAsia="宋体"/>
                <w:sz w:val="16"/>
              </w:rPr>
              <w:t>偏差原因：2025年3月可开工建设，开工建设后产生建设成本。改进措施：项目开工按学生宿舍楼预算总成本建设。</w:t>
            </w:r>
          </w:p>
        </w:tc>
      </w:tr>
      <w:tr w14:paraId="240094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5A3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FF9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FBE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1A38C">
            <w:pPr>
              <w:jc w:val="center"/>
            </w:pPr>
            <w:r>
              <w:rPr>
                <w:rFonts w:ascii="宋体" w:hAnsi="宋体" w:eastAsia="宋体"/>
                <w:sz w:val="16"/>
              </w:rPr>
              <w:t>配套功能用房总成本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2ABF">
            <w:pPr>
              <w:jc w:val="center"/>
            </w:pPr>
            <w:r>
              <w:rPr>
                <w:rFonts w:ascii="宋体" w:hAnsi="宋体" w:eastAsia="宋体"/>
                <w:sz w:val="16"/>
              </w:rPr>
              <w:t>&lt;=706.06万元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42E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1B1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621A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00B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6AF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427C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C742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26593">
            <w:pPr>
              <w:jc w:val="center"/>
            </w:pPr>
            <w:r>
              <w:rPr>
                <w:rFonts w:ascii="宋体" w:hAnsi="宋体" w:eastAsia="宋体"/>
                <w:sz w:val="16"/>
              </w:rPr>
              <w:t>偏差原因：喀什目前处于冬休期，未开工建设未产生成本费用。改进措施：施工单位按配套功能用房预算总成本建设。</w:t>
            </w:r>
          </w:p>
        </w:tc>
      </w:tr>
      <w:tr w14:paraId="417643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AE9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47A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3CA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BA9BA">
            <w:pPr>
              <w:jc w:val="center"/>
            </w:pPr>
            <w:r>
              <w:rPr>
                <w:rFonts w:ascii="宋体" w:hAnsi="宋体" w:eastAsia="宋体"/>
                <w:sz w:val="16"/>
              </w:rPr>
              <w:t>室外足球训练场总成本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41B29">
            <w:pPr>
              <w:jc w:val="center"/>
            </w:pPr>
            <w:r>
              <w:rPr>
                <w:rFonts w:ascii="宋体" w:hAnsi="宋体" w:eastAsia="宋体"/>
                <w:sz w:val="16"/>
              </w:rPr>
              <w:t>&lt;=240万元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6FB6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C32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EFA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8FF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E79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9C60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7C88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2D6B9">
            <w:pPr>
              <w:jc w:val="center"/>
            </w:pPr>
            <w:r>
              <w:rPr>
                <w:rFonts w:ascii="宋体" w:hAnsi="宋体" w:eastAsia="宋体"/>
                <w:sz w:val="16"/>
              </w:rPr>
              <w:t>偏差原因：项目未开工建设未产生成本费用。改进措施：项目开工后按照室外足球训练场预算总成本建设。</w:t>
            </w:r>
          </w:p>
        </w:tc>
      </w:tr>
      <w:tr w14:paraId="24E97E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3A7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812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467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46E5">
            <w:pPr>
              <w:jc w:val="center"/>
            </w:pPr>
            <w:r>
              <w:rPr>
                <w:rFonts w:ascii="宋体" w:hAnsi="宋体" w:eastAsia="宋体"/>
                <w:sz w:val="16"/>
              </w:rPr>
              <w:t>400米田径场（含11人制足球场）总成本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EF88D">
            <w:pPr>
              <w:jc w:val="center"/>
            </w:pPr>
            <w:r>
              <w:rPr>
                <w:rFonts w:ascii="宋体" w:hAnsi="宋体" w:eastAsia="宋体"/>
                <w:sz w:val="16"/>
              </w:rPr>
              <w:t>&lt;=480万元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181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309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58DC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3E3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347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DCF2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E072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71A9A">
            <w:pPr>
              <w:jc w:val="center"/>
            </w:pPr>
            <w:r>
              <w:rPr>
                <w:rFonts w:ascii="宋体" w:hAnsi="宋体" w:eastAsia="宋体"/>
                <w:sz w:val="16"/>
              </w:rPr>
              <w:t>偏差原因：项目未开工建设未产生成本费用。改进措施：项目开工后按400米田径场预算总成本建设。</w:t>
            </w:r>
          </w:p>
        </w:tc>
      </w:tr>
      <w:tr w14:paraId="1E681C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5A4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B6E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8DC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5531B">
            <w:pPr>
              <w:jc w:val="center"/>
            </w:pPr>
            <w:r>
              <w:rPr>
                <w:rFonts w:ascii="宋体" w:hAnsi="宋体" w:eastAsia="宋体"/>
                <w:sz w:val="16"/>
              </w:rPr>
              <w:t>水电暖附属设施工程总成本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97C68">
            <w:pPr>
              <w:jc w:val="center"/>
            </w:pPr>
            <w:r>
              <w:rPr>
                <w:rFonts w:ascii="宋体" w:hAnsi="宋体" w:eastAsia="宋体"/>
                <w:sz w:val="16"/>
              </w:rPr>
              <w:t>&lt;=417.12万元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CF9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183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0C30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9FB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993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DE9F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DE36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38D79">
            <w:pPr>
              <w:jc w:val="center"/>
            </w:pPr>
            <w:r>
              <w:rPr>
                <w:rFonts w:ascii="宋体" w:hAnsi="宋体" w:eastAsia="宋体"/>
                <w:sz w:val="16"/>
              </w:rPr>
              <w:t>偏差原因：项目未开工，水电暖附属设施工程未建设。改进措施：项目施工单位按水电暖附属设施工程预算总成本建设。</w:t>
            </w:r>
          </w:p>
        </w:tc>
      </w:tr>
      <w:tr w14:paraId="1CD670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AE7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5FE4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40DC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F2619">
            <w:pPr>
              <w:jc w:val="center"/>
            </w:pPr>
            <w:r>
              <w:rPr>
                <w:rFonts w:ascii="宋体" w:hAnsi="宋体" w:eastAsia="宋体"/>
                <w:sz w:val="16"/>
              </w:rPr>
              <w:t>推动扩大全民健身场地有效供给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EA85">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78C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75A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708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DB0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61F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2A210">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D38F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DD511">
            <w:pPr>
              <w:jc w:val="center"/>
            </w:pPr>
            <w:r>
              <w:rPr>
                <w:rFonts w:ascii="宋体" w:hAnsi="宋体" w:eastAsia="宋体"/>
                <w:sz w:val="16"/>
              </w:rPr>
              <w:t>偏差原因：项目未开工未产生推动效益。改进措施：提高服务能力，努力推动扩大全民健身场地有效供给。</w:t>
            </w:r>
          </w:p>
        </w:tc>
      </w:tr>
      <w:tr w14:paraId="337DA9F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F2C6A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98A8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FA721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2956C">
            <w:pPr>
              <w:jc w:val="center"/>
            </w:pPr>
            <w:r>
              <w:rPr>
                <w:rFonts w:ascii="宋体" w:hAnsi="宋体" w:eastAsia="宋体"/>
                <w:sz w:val="16"/>
              </w:rPr>
              <w:t>10.09分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6EB382"/>
        </w:tc>
      </w:tr>
    </w:tbl>
    <w:p w14:paraId="47753477">
      <w:r>
        <w:br w:type="page"/>
      </w:r>
    </w:p>
    <w:tbl>
      <w:tblPr>
        <w:tblStyle w:val="9"/>
        <w:tblW w:w="0" w:type="auto"/>
        <w:tblInd w:w="0" w:type="dxa"/>
        <w:tblLayout w:type="autofit"/>
        <w:tblCellMar>
          <w:top w:w="0" w:type="dxa"/>
          <w:left w:w="108" w:type="dxa"/>
          <w:bottom w:w="0" w:type="dxa"/>
          <w:right w:w="108" w:type="dxa"/>
        </w:tblCellMar>
      </w:tblPr>
      <w:tblGrid>
        <w:gridCol w:w="628"/>
        <w:gridCol w:w="623"/>
        <w:gridCol w:w="624"/>
        <w:gridCol w:w="624"/>
        <w:gridCol w:w="936"/>
        <w:gridCol w:w="626"/>
        <w:gridCol w:w="625"/>
        <w:gridCol w:w="626"/>
        <w:gridCol w:w="624"/>
        <w:gridCol w:w="624"/>
        <w:gridCol w:w="631"/>
        <w:gridCol w:w="627"/>
        <w:gridCol w:w="613"/>
        <w:gridCol w:w="629"/>
      </w:tblGrid>
      <w:tr w14:paraId="44C5E5FB">
        <w:tblPrEx>
          <w:tblCellMar>
            <w:top w:w="0" w:type="dxa"/>
            <w:left w:w="108" w:type="dxa"/>
            <w:bottom w:w="0" w:type="dxa"/>
            <w:right w:w="108" w:type="dxa"/>
          </w:tblCellMar>
        </w:tblPrEx>
        <w:tc>
          <w:tcPr>
            <w:tcW w:w="8848" w:type="dxa"/>
            <w:gridSpan w:val="14"/>
            <w:vAlign w:val="center"/>
          </w:tcPr>
          <w:p w14:paraId="46DCA130">
            <w:pPr>
              <w:jc w:val="center"/>
            </w:pPr>
            <w:r>
              <w:rPr>
                <w:rFonts w:ascii="宋体" w:hAnsi="宋体" w:eastAsia="宋体"/>
                <w:sz w:val="24"/>
              </w:rPr>
              <w:t>项目支出绩效自评表</w:t>
            </w:r>
          </w:p>
        </w:tc>
      </w:tr>
      <w:tr w14:paraId="3AD8206F">
        <w:tblPrEx>
          <w:tblCellMar>
            <w:top w:w="0" w:type="dxa"/>
            <w:left w:w="108" w:type="dxa"/>
            <w:bottom w:w="0" w:type="dxa"/>
            <w:right w:w="108" w:type="dxa"/>
          </w:tblCellMar>
        </w:tblPrEx>
        <w:tc>
          <w:tcPr>
            <w:tcW w:w="8848" w:type="dxa"/>
            <w:gridSpan w:val="14"/>
            <w:vAlign w:val="center"/>
          </w:tcPr>
          <w:p w14:paraId="591C84A9">
            <w:pPr>
              <w:jc w:val="center"/>
            </w:pPr>
            <w:r>
              <w:rPr>
                <w:rFonts w:ascii="宋体" w:hAnsi="宋体" w:eastAsia="宋体"/>
                <w:sz w:val="24"/>
              </w:rPr>
              <w:t>(2024年度)</w:t>
            </w:r>
          </w:p>
        </w:tc>
      </w:tr>
      <w:tr w14:paraId="757588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1F24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99CBDE">
            <w:pPr>
              <w:jc w:val="center"/>
            </w:pPr>
            <w:r>
              <w:rPr>
                <w:rFonts w:ascii="宋体" w:hAnsi="宋体" w:eastAsia="宋体"/>
                <w:sz w:val="16"/>
              </w:rPr>
              <w:t>（上海援疆）喀什地区体育运动学校迁建一期图书综合楼项目</w:t>
            </w:r>
          </w:p>
        </w:tc>
      </w:tr>
      <w:tr w14:paraId="367FCE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D59D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6CDA6E">
            <w:pPr>
              <w:jc w:val="center"/>
            </w:pPr>
            <w:r>
              <w:rPr>
                <w:rFonts w:ascii="宋体" w:hAnsi="宋体" w:eastAsia="宋体"/>
                <w:sz w:val="16"/>
              </w:rPr>
              <w:t>喀什地区体育局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C6C6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7A31D5">
            <w:pPr>
              <w:jc w:val="center"/>
            </w:pPr>
            <w:r>
              <w:rPr>
                <w:rFonts w:ascii="宋体" w:hAnsi="宋体" w:eastAsia="宋体"/>
                <w:sz w:val="16"/>
              </w:rPr>
              <w:t>喀什地区体育运动学校</w:t>
            </w:r>
          </w:p>
        </w:tc>
      </w:tr>
      <w:tr w14:paraId="1FFE7C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7893C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7C0D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089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7A11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939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B704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54BC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4F111">
            <w:pPr>
              <w:jc w:val="center"/>
            </w:pPr>
            <w:r>
              <w:rPr>
                <w:rFonts w:ascii="宋体" w:hAnsi="宋体" w:eastAsia="宋体"/>
                <w:sz w:val="16"/>
              </w:rPr>
              <w:t>得分</w:t>
            </w:r>
          </w:p>
        </w:tc>
      </w:tr>
      <w:tr w14:paraId="677680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62B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70FF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F133B">
            <w:pPr>
              <w:jc w:val="center"/>
            </w:pPr>
            <w:r>
              <w:rPr>
                <w:rFonts w:ascii="宋体" w:hAnsi="宋体" w:eastAsia="宋体"/>
                <w:sz w:val="16"/>
              </w:rPr>
              <w:t>1,332.00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44CC2">
            <w:pPr>
              <w:jc w:val="center"/>
            </w:pPr>
            <w:r>
              <w:rPr>
                <w:rFonts w:ascii="宋体" w:hAnsi="宋体" w:eastAsia="宋体"/>
                <w:sz w:val="16"/>
              </w:rPr>
              <w:t>1,332.00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4C0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17E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191A0">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4322">
            <w:pPr>
              <w:jc w:val="center"/>
            </w:pPr>
            <w:r>
              <w:rPr>
                <w:rFonts w:ascii="宋体" w:hAnsi="宋体" w:eastAsia="宋体"/>
                <w:sz w:val="16"/>
              </w:rPr>
              <w:t>0.00分</w:t>
            </w:r>
          </w:p>
        </w:tc>
      </w:tr>
      <w:tr w14:paraId="581072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249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CAA0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C59E5">
            <w:pPr>
              <w:jc w:val="center"/>
            </w:pPr>
            <w:r>
              <w:rPr>
                <w:rFonts w:ascii="宋体" w:hAnsi="宋体" w:eastAsia="宋体"/>
                <w:sz w:val="16"/>
              </w:rPr>
              <w:t>1,332.00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AB3CE">
            <w:pPr>
              <w:jc w:val="center"/>
            </w:pPr>
            <w:r>
              <w:rPr>
                <w:rFonts w:ascii="宋体" w:hAnsi="宋体" w:eastAsia="宋体"/>
                <w:sz w:val="16"/>
              </w:rPr>
              <w:t>1,332.00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388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E19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4EC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B7864">
            <w:pPr>
              <w:jc w:val="center"/>
            </w:pPr>
            <w:r>
              <w:rPr>
                <w:rFonts w:ascii="宋体" w:hAnsi="宋体" w:eastAsia="宋体"/>
                <w:sz w:val="16"/>
              </w:rPr>
              <w:t>—</w:t>
            </w:r>
          </w:p>
        </w:tc>
      </w:tr>
      <w:tr w14:paraId="712A42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716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6FC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EAE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7B8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57E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A3E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968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277E5">
            <w:pPr>
              <w:jc w:val="center"/>
            </w:pPr>
            <w:r>
              <w:rPr>
                <w:rFonts w:ascii="宋体" w:hAnsi="宋体" w:eastAsia="宋体"/>
                <w:sz w:val="16"/>
              </w:rPr>
              <w:t>—</w:t>
            </w:r>
          </w:p>
        </w:tc>
      </w:tr>
      <w:tr w14:paraId="796719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A3B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A55EC">
            <w:pPr>
              <w:jc w:val="center"/>
            </w:pPr>
            <w:r>
              <w:rPr>
                <w:rFonts w:ascii="宋体" w:hAnsi="宋体" w:eastAsia="宋体"/>
                <w:sz w:val="16"/>
              </w:rPr>
              <w:t>预期目标</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CF3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49A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7C3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36CE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12C8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A66E2">
            <w:pPr>
              <w:jc w:val="center"/>
            </w:pPr>
          </w:p>
        </w:tc>
      </w:tr>
      <w:tr w14:paraId="08757B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DAF6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081D2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7AB146">
            <w:pPr>
              <w:jc w:val="center"/>
            </w:pPr>
            <w:r>
              <w:rPr>
                <w:rFonts w:ascii="宋体" w:hAnsi="宋体" w:eastAsia="宋体"/>
                <w:sz w:val="16"/>
              </w:rPr>
              <w:t>实际完成情况</w:t>
            </w:r>
          </w:p>
        </w:tc>
      </w:tr>
      <w:tr w14:paraId="2CD21D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663B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7E849B">
            <w:pPr>
              <w:jc w:val="both"/>
            </w:pPr>
            <w:r>
              <w:rPr>
                <w:rFonts w:ascii="宋体" w:hAnsi="宋体" w:eastAsia="宋体"/>
                <w:sz w:val="16"/>
              </w:rPr>
              <w:t>根据《关于印发</w:t>
            </w:r>
            <w:r>
              <w:rPr>
                <w:rFonts w:hint="eastAsia" w:ascii="宋体" w:hAnsi="宋体"/>
                <w:sz w:val="16"/>
                <w:lang w:eastAsia="zh-CN"/>
              </w:rPr>
              <w:t>〈</w:t>
            </w:r>
            <w:r>
              <w:rPr>
                <w:rFonts w:ascii="宋体" w:hAnsi="宋体" w:eastAsia="宋体"/>
                <w:sz w:val="16"/>
              </w:rPr>
              <w:t>贯彻落实第九次全国对口援疆工作会议精神暨推进喀什地区高等教育发展第一次协调座谈会精神推动高等教育提质扩容建设方案及责任分解&gt;的通知》文件精神，和《关于喀什地区体育运动学校迁建项目项目建议书的批复》（喀发改社会〔2023〕557号）文件要求，加快推进喀什地区体育运动学校迁址新建工作进度。上海援建喀什地区体育运动学校迁建一期图书综合楼项目，2024年项目总投资1332万元，建筑面积8119.07平方米，平均每平方米建设1640.58元。用于学校迁建前期各项准备工作和基础建设施工建设，该项目实施可以确保学校迁建工作整体推进达到预期目标，确保2026年该项目建成并投入使用。项目建设有利于自治区、喀什地区加快构建体教深度融合、普及与提高互促并进，一体化设计、一体化推进的体育后备人才培养新体系，推动青少年体育全面健康发展，项目的实施推动扩大全民健身场地有效供给，提高青少年体育运动员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DEE1FB">
            <w:pPr>
              <w:jc w:val="both"/>
            </w:pPr>
            <w:r>
              <w:rPr>
                <w:rFonts w:ascii="宋体" w:hAnsi="宋体" w:eastAsia="宋体"/>
                <w:sz w:val="16"/>
              </w:rPr>
              <w:t>2024年，上海前指投入1332万元用于支持喀什地区体育运动学校迁建项目图书综合楼建设，因迁建项目（一期）目前正处于初步设计修改和专家审查阶段，按照援疆资金使用相关要求，基础设施建设尚未开始，因此2024年上海援疆资金未能形成支出。</w:t>
            </w:r>
          </w:p>
        </w:tc>
      </w:tr>
      <w:tr w14:paraId="356204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BC00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1CC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9462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19C3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F36F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B0E4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279D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57D1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41B5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0F36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3B0C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9E6B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FA579">
            <w:pPr>
              <w:jc w:val="center"/>
            </w:pPr>
            <w:r>
              <w:rPr>
                <w:rFonts w:ascii="宋体" w:hAnsi="宋体" w:eastAsia="宋体"/>
                <w:sz w:val="16"/>
              </w:rPr>
              <w:t>偏差原因分析及改进措施</w:t>
            </w:r>
          </w:p>
        </w:tc>
      </w:tr>
      <w:tr w14:paraId="0AEFEE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B8C1B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DB12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B645D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B0A6">
            <w:pPr>
              <w:jc w:val="center"/>
            </w:pPr>
            <w:r>
              <w:rPr>
                <w:rFonts w:ascii="宋体" w:hAnsi="宋体" w:eastAsia="宋体"/>
                <w:sz w:val="16"/>
              </w:rPr>
              <w:t>新建图书馆综合楼数量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509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F5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791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CF5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1291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17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22B00">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2D3D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AFC0A">
            <w:pPr>
              <w:jc w:val="center"/>
            </w:pPr>
            <w:r>
              <w:rPr>
                <w:rFonts w:ascii="宋体" w:hAnsi="宋体" w:eastAsia="宋体"/>
                <w:sz w:val="16"/>
              </w:rPr>
              <w:t>偏差原因：项目未开工，基础设施建设尚未开始。改进措施：督促项目负责人加强与施工单位沟通协作。</w:t>
            </w:r>
          </w:p>
        </w:tc>
      </w:tr>
      <w:tr w14:paraId="536C29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240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265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43C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03230">
            <w:pPr>
              <w:jc w:val="center"/>
            </w:pPr>
            <w:r>
              <w:rPr>
                <w:rFonts w:ascii="宋体" w:hAnsi="宋体" w:eastAsia="宋体"/>
                <w:sz w:val="16"/>
              </w:rPr>
              <w:t>图书馆综合楼建设总面积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A29E4">
            <w:pPr>
              <w:jc w:val="center"/>
            </w:pPr>
            <w:r>
              <w:rPr>
                <w:rFonts w:ascii="宋体" w:hAnsi="宋体" w:eastAsia="宋体"/>
                <w:sz w:val="16"/>
              </w:rPr>
              <w:t>&gt;=8119.07平方米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AA0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786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A6A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945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87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3AE6">
            <w:pPr>
              <w:jc w:val="center"/>
            </w:pPr>
            <w:r>
              <w:rPr>
                <w:rFonts w:ascii="宋体" w:hAnsi="宋体" w:eastAsia="宋体"/>
                <w:sz w:val="16"/>
              </w:rPr>
              <w:t>=0平方米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8E80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BD33F">
            <w:pPr>
              <w:jc w:val="center"/>
            </w:pPr>
            <w:r>
              <w:rPr>
                <w:rFonts w:ascii="宋体" w:hAnsi="宋体" w:eastAsia="宋体"/>
                <w:sz w:val="16"/>
              </w:rPr>
              <w:t>偏差原因：目前处于初步设计修改和专家审查阶段，基础设施建设尚未开始。改进措施：按照正常流程项目尽早开工。</w:t>
            </w:r>
          </w:p>
        </w:tc>
      </w:tr>
      <w:tr w14:paraId="080F9F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95D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3A8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7CAB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DD2EA">
            <w:pPr>
              <w:jc w:val="center"/>
            </w:pPr>
            <w:r>
              <w:rPr>
                <w:rFonts w:ascii="宋体" w:hAnsi="宋体" w:eastAsia="宋体"/>
                <w:sz w:val="16"/>
              </w:rPr>
              <w:t>主体验收合格率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5F1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F78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977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6C7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4E2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FAC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1AC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ADA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7402D">
            <w:pPr>
              <w:jc w:val="center"/>
            </w:pPr>
            <w:r>
              <w:rPr>
                <w:rFonts w:ascii="宋体" w:hAnsi="宋体" w:eastAsia="宋体"/>
                <w:sz w:val="16"/>
              </w:rPr>
              <w:t>偏差原因：项目未开工，基础设施建设尚未开始。改进措施：项目开工后加强监工，提高项目验收合格率。</w:t>
            </w:r>
          </w:p>
        </w:tc>
      </w:tr>
      <w:tr w14:paraId="2F60FB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F96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733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98F80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227A9">
            <w:pPr>
              <w:jc w:val="center"/>
            </w:pPr>
            <w:r>
              <w:rPr>
                <w:rFonts w:ascii="宋体" w:hAnsi="宋体" w:eastAsia="宋体"/>
                <w:sz w:val="16"/>
              </w:rPr>
              <w:t>主体计划开工时间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0833D">
            <w:pPr>
              <w:jc w:val="center"/>
            </w:pPr>
            <w:r>
              <w:rPr>
                <w:rFonts w:ascii="宋体" w:hAnsi="宋体" w:eastAsia="宋体"/>
                <w:sz w:val="16"/>
              </w:rPr>
              <w:t>=2024年12月1日之前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91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D2D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7FAC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5C7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D39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93FB7">
            <w:pPr>
              <w:jc w:val="center"/>
            </w:pPr>
            <w:r>
              <w:rPr>
                <w:rFonts w:ascii="宋体" w:hAnsi="宋体" w:eastAsia="宋体"/>
                <w:sz w:val="16"/>
              </w:rPr>
              <w:t>=2024年12月1日之前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1394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8E174">
            <w:pPr>
              <w:jc w:val="center"/>
            </w:pPr>
            <w:r>
              <w:rPr>
                <w:rFonts w:ascii="宋体" w:hAnsi="宋体" w:eastAsia="宋体"/>
                <w:sz w:val="16"/>
              </w:rPr>
              <w:t>偏差原因：项目未开工建设，计划开工时间不确定。改进措施：督促项目负责人加强与施工单位沟通协作。</w:t>
            </w:r>
          </w:p>
        </w:tc>
      </w:tr>
      <w:tr w14:paraId="3602C7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F9D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E98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AC3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F948E">
            <w:pPr>
              <w:jc w:val="center"/>
            </w:pPr>
            <w:r>
              <w:rPr>
                <w:rFonts w:ascii="宋体" w:hAnsi="宋体" w:eastAsia="宋体"/>
                <w:sz w:val="16"/>
              </w:rPr>
              <w:t>主体计划完工时间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5B19A">
            <w:pPr>
              <w:jc w:val="center"/>
            </w:pPr>
            <w:r>
              <w:rPr>
                <w:rFonts w:ascii="宋体" w:hAnsi="宋体" w:eastAsia="宋体"/>
                <w:sz w:val="16"/>
              </w:rPr>
              <w:t>=2025年8月31日之前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E9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1E7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ED9C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310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A1E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A0F56">
            <w:pPr>
              <w:jc w:val="center"/>
            </w:pPr>
            <w:r>
              <w:rPr>
                <w:rFonts w:ascii="宋体" w:hAnsi="宋体" w:eastAsia="宋体"/>
                <w:sz w:val="16"/>
              </w:rPr>
              <w:t>=2025年8月31日之前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7A8B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446CF">
            <w:pPr>
              <w:jc w:val="center"/>
            </w:pPr>
            <w:r>
              <w:rPr>
                <w:rFonts w:ascii="宋体" w:hAnsi="宋体" w:eastAsia="宋体"/>
                <w:sz w:val="16"/>
              </w:rPr>
              <w:t>偏差原因：项目未开工建设，计划完工时间不确定。改进措施：按照正常流程项目尽早开工。</w:t>
            </w:r>
          </w:p>
        </w:tc>
      </w:tr>
      <w:tr w14:paraId="4D5414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DDA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23B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CC0A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EFC48">
            <w:pPr>
              <w:jc w:val="center"/>
            </w:pPr>
            <w:r>
              <w:rPr>
                <w:rFonts w:ascii="宋体" w:hAnsi="宋体" w:eastAsia="宋体"/>
                <w:sz w:val="16"/>
              </w:rPr>
              <w:t>平均每平方米建设成本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75350">
            <w:pPr>
              <w:jc w:val="center"/>
            </w:pPr>
            <w:r>
              <w:rPr>
                <w:rFonts w:ascii="宋体" w:hAnsi="宋体" w:eastAsia="宋体"/>
                <w:sz w:val="16"/>
              </w:rPr>
              <w:t>&lt;=1640.58平方米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50C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A47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4D3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87D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A67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6B373">
            <w:pPr>
              <w:jc w:val="center"/>
            </w:pPr>
            <w:r>
              <w:rPr>
                <w:rFonts w:ascii="宋体" w:hAnsi="宋体" w:eastAsia="宋体"/>
                <w:sz w:val="16"/>
              </w:rPr>
              <w:t>=0平方米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33D0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EDC97">
            <w:pPr>
              <w:jc w:val="center"/>
            </w:pPr>
            <w:r>
              <w:rPr>
                <w:rFonts w:ascii="宋体" w:hAnsi="宋体" w:eastAsia="宋体"/>
                <w:sz w:val="16"/>
              </w:rPr>
              <w:t>偏差原因：项目未开工建设未产生成本费用。改进措施：督促项目负责人加强与施工单位沟通协作。</w:t>
            </w:r>
          </w:p>
        </w:tc>
      </w:tr>
      <w:tr w14:paraId="10C262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859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CB02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90E1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F02DE">
            <w:pPr>
              <w:jc w:val="center"/>
            </w:pPr>
            <w:r>
              <w:rPr>
                <w:rFonts w:ascii="宋体" w:hAnsi="宋体" w:eastAsia="宋体"/>
                <w:sz w:val="16"/>
              </w:rPr>
              <w:t>有效促进体育事业发展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D4F2F">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0882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F9E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F8E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57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B16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01D4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007C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179ED">
            <w:pPr>
              <w:jc w:val="center"/>
            </w:pPr>
            <w:r>
              <w:rPr>
                <w:rFonts w:ascii="宋体" w:hAnsi="宋体" w:eastAsia="宋体"/>
                <w:sz w:val="16"/>
              </w:rPr>
              <w:t>偏差原因：目前处于初步设计修改和专家审查阶段，基础设施建设尚未开始。改进措施：努力提高服务促进体育事业发展。</w:t>
            </w:r>
          </w:p>
        </w:tc>
      </w:tr>
      <w:tr w14:paraId="23CF2C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230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224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555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706B4">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D866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0E21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75E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5C6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1C24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D8C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3AB4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78FD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7B3DC">
            <w:pPr>
              <w:jc w:val="center"/>
            </w:pPr>
            <w:r>
              <w:rPr>
                <w:rFonts w:ascii="宋体" w:hAnsi="宋体" w:eastAsia="宋体"/>
                <w:sz w:val="16"/>
              </w:rPr>
              <w:t>偏差原因：项目未开工，基础设施建设尚未开始。改进措施：提高服务能力，达到师生满意度。</w:t>
            </w:r>
          </w:p>
        </w:tc>
      </w:tr>
      <w:tr w14:paraId="60DEA87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21329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9D72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C467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BBE3D">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D0C5EC5"/>
        </w:tc>
      </w:tr>
    </w:tbl>
    <w:p w14:paraId="46293155">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936"/>
        <w:gridCol w:w="624"/>
        <w:gridCol w:w="624"/>
        <w:gridCol w:w="626"/>
        <w:gridCol w:w="624"/>
        <w:gridCol w:w="624"/>
        <w:gridCol w:w="631"/>
        <w:gridCol w:w="628"/>
        <w:gridCol w:w="613"/>
        <w:gridCol w:w="629"/>
      </w:tblGrid>
      <w:tr w14:paraId="0F8B1734">
        <w:tblPrEx>
          <w:tblCellMar>
            <w:top w:w="0" w:type="dxa"/>
            <w:left w:w="108" w:type="dxa"/>
            <w:bottom w:w="0" w:type="dxa"/>
            <w:right w:w="108" w:type="dxa"/>
          </w:tblCellMar>
        </w:tblPrEx>
        <w:tc>
          <w:tcPr>
            <w:tcW w:w="8848" w:type="dxa"/>
            <w:gridSpan w:val="14"/>
            <w:vAlign w:val="center"/>
          </w:tcPr>
          <w:p w14:paraId="36AB7729">
            <w:pPr>
              <w:jc w:val="center"/>
            </w:pPr>
            <w:r>
              <w:rPr>
                <w:rFonts w:ascii="宋体" w:hAnsi="宋体" w:eastAsia="宋体"/>
                <w:sz w:val="24"/>
              </w:rPr>
              <w:t>项目支出绩效自评表</w:t>
            </w:r>
          </w:p>
        </w:tc>
      </w:tr>
      <w:tr w14:paraId="63C73E62">
        <w:tblPrEx>
          <w:tblCellMar>
            <w:top w:w="0" w:type="dxa"/>
            <w:left w:w="108" w:type="dxa"/>
            <w:bottom w:w="0" w:type="dxa"/>
            <w:right w:w="108" w:type="dxa"/>
          </w:tblCellMar>
        </w:tblPrEx>
        <w:tc>
          <w:tcPr>
            <w:tcW w:w="8848" w:type="dxa"/>
            <w:gridSpan w:val="14"/>
            <w:vAlign w:val="center"/>
          </w:tcPr>
          <w:p w14:paraId="2CFACD52">
            <w:pPr>
              <w:jc w:val="center"/>
            </w:pPr>
            <w:r>
              <w:rPr>
                <w:rFonts w:ascii="宋体" w:hAnsi="宋体" w:eastAsia="宋体"/>
                <w:sz w:val="24"/>
              </w:rPr>
              <w:t>(2024年度)</w:t>
            </w:r>
          </w:p>
        </w:tc>
      </w:tr>
      <w:tr w14:paraId="17F8B9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CD39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02A1F5">
            <w:pPr>
              <w:jc w:val="center"/>
            </w:pPr>
            <w:r>
              <w:rPr>
                <w:rFonts w:ascii="宋体" w:hAnsi="宋体" w:eastAsia="宋体"/>
                <w:sz w:val="16"/>
              </w:rPr>
              <w:t>（山东援疆）喀什地区体育运动学校迁建一期司令台项目</w:t>
            </w:r>
          </w:p>
        </w:tc>
      </w:tr>
      <w:tr w14:paraId="31EB69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47A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7E61D4">
            <w:pPr>
              <w:jc w:val="center"/>
            </w:pPr>
            <w:r>
              <w:rPr>
                <w:rFonts w:ascii="宋体" w:hAnsi="宋体" w:eastAsia="宋体"/>
                <w:sz w:val="16"/>
              </w:rPr>
              <w:t>喀什地区体育局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9EF1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7EC67B">
            <w:pPr>
              <w:jc w:val="center"/>
            </w:pPr>
            <w:r>
              <w:rPr>
                <w:rFonts w:ascii="宋体" w:hAnsi="宋体" w:eastAsia="宋体"/>
                <w:sz w:val="16"/>
              </w:rPr>
              <w:t>喀什地区体育运动学校</w:t>
            </w:r>
          </w:p>
        </w:tc>
      </w:tr>
      <w:tr w14:paraId="43B874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A7525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EBF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7E3F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4749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4BC7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A679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4237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CE932">
            <w:pPr>
              <w:jc w:val="center"/>
            </w:pPr>
            <w:r>
              <w:rPr>
                <w:rFonts w:ascii="宋体" w:hAnsi="宋体" w:eastAsia="宋体"/>
                <w:sz w:val="16"/>
              </w:rPr>
              <w:t>得分</w:t>
            </w:r>
          </w:p>
        </w:tc>
      </w:tr>
      <w:tr w14:paraId="74C351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DC3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B79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BA4F4">
            <w:pPr>
              <w:jc w:val="center"/>
            </w:pPr>
            <w:r>
              <w:rPr>
                <w:rFonts w:ascii="宋体" w:hAnsi="宋体" w:eastAsia="宋体"/>
                <w:sz w:val="16"/>
              </w:rPr>
              <w:t>668.00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C8B76">
            <w:pPr>
              <w:jc w:val="center"/>
            </w:pPr>
            <w:r>
              <w:rPr>
                <w:rFonts w:ascii="宋体" w:hAnsi="宋体" w:eastAsia="宋体"/>
                <w:sz w:val="16"/>
              </w:rPr>
              <w:t>668.00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C04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A06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6FDA8">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5B21C">
            <w:pPr>
              <w:jc w:val="center"/>
            </w:pPr>
            <w:r>
              <w:rPr>
                <w:rFonts w:ascii="宋体" w:hAnsi="宋体" w:eastAsia="宋体"/>
                <w:sz w:val="16"/>
              </w:rPr>
              <w:t>0.00分</w:t>
            </w:r>
          </w:p>
        </w:tc>
      </w:tr>
      <w:tr w14:paraId="55FF30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146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76A0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963FF">
            <w:pPr>
              <w:jc w:val="center"/>
            </w:pPr>
            <w:r>
              <w:rPr>
                <w:rFonts w:ascii="宋体" w:hAnsi="宋体" w:eastAsia="宋体"/>
                <w:sz w:val="16"/>
              </w:rPr>
              <w:t>668.00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CBE21">
            <w:pPr>
              <w:jc w:val="center"/>
            </w:pPr>
            <w:r>
              <w:rPr>
                <w:rFonts w:ascii="宋体" w:hAnsi="宋体" w:eastAsia="宋体"/>
                <w:sz w:val="16"/>
              </w:rPr>
              <w:t>668.00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63C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0A1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CF9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DB3E0">
            <w:pPr>
              <w:jc w:val="center"/>
            </w:pPr>
            <w:r>
              <w:rPr>
                <w:rFonts w:ascii="宋体" w:hAnsi="宋体" w:eastAsia="宋体"/>
                <w:sz w:val="16"/>
              </w:rPr>
              <w:t>—</w:t>
            </w:r>
          </w:p>
        </w:tc>
      </w:tr>
      <w:tr w14:paraId="08AE0D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26A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C836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DCD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DBB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BE2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A43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D6F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9F5B4">
            <w:pPr>
              <w:jc w:val="center"/>
            </w:pPr>
            <w:r>
              <w:rPr>
                <w:rFonts w:ascii="宋体" w:hAnsi="宋体" w:eastAsia="宋体"/>
                <w:sz w:val="16"/>
              </w:rPr>
              <w:t>—</w:t>
            </w:r>
          </w:p>
        </w:tc>
      </w:tr>
      <w:tr w14:paraId="2B52FB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DE3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AD439">
            <w:pPr>
              <w:jc w:val="center"/>
            </w:pPr>
            <w:r>
              <w:rPr>
                <w:rFonts w:ascii="宋体" w:hAnsi="宋体" w:eastAsia="宋体"/>
                <w:sz w:val="16"/>
              </w:rPr>
              <w:t>预期目标</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F3F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909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5CF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B14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BD65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18B61">
            <w:pPr>
              <w:jc w:val="center"/>
            </w:pPr>
          </w:p>
        </w:tc>
      </w:tr>
      <w:tr w14:paraId="1BF671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AFF4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5BB89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DB071E">
            <w:pPr>
              <w:jc w:val="center"/>
            </w:pPr>
            <w:r>
              <w:rPr>
                <w:rFonts w:ascii="宋体" w:hAnsi="宋体" w:eastAsia="宋体"/>
                <w:sz w:val="16"/>
              </w:rPr>
              <w:t>实际完成情况</w:t>
            </w:r>
          </w:p>
        </w:tc>
      </w:tr>
      <w:tr w14:paraId="44807C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C69E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824353">
            <w:pPr>
              <w:jc w:val="both"/>
            </w:pPr>
            <w:r>
              <w:rPr>
                <w:rFonts w:ascii="宋体" w:hAnsi="宋体" w:eastAsia="宋体"/>
                <w:sz w:val="16"/>
              </w:rPr>
              <w:t>根据《关于印发</w:t>
            </w:r>
            <w:r>
              <w:rPr>
                <w:rFonts w:hint="eastAsia" w:ascii="宋体" w:hAnsi="宋体"/>
                <w:sz w:val="16"/>
                <w:lang w:eastAsia="zh-CN"/>
              </w:rPr>
              <w:t>〈</w:t>
            </w:r>
            <w:r>
              <w:rPr>
                <w:rFonts w:ascii="宋体" w:hAnsi="宋体" w:eastAsia="宋体"/>
                <w:sz w:val="16"/>
              </w:rPr>
              <w:t>贯彻落实第九次全国对口援疆工作会议精神暨推进喀什地区高等教育发展第一次协调座谈会精神推动高等教育提质扩容建设方案及责任分解&gt;的通知》文件精神，和《关于喀什地区体育运动学校迁建项目项目建议书的批复》（喀发改社会〔2023〕557号）文件要求，加快推进喀什地区体育运动学校迁址新建工作进度。山东援建喀什地区体育运动学校迁建一期司令台项目总投资771.67万元，用于新建司令台1幢，建筑面积1798.12平方米，2024年申请山东援疆资金668万元，用于学校迁建前期各项准备工作和基础建设施工建设，该项目实施可以确保学校迁建工作整体推进达到预期目标，确保2026年该项目建成并投入使用。项目建设有利于自治区、喀什地区加快构建体教深度融合、普及与提高互促并进，一体化设计、一体化推进的体育后备人才培养新体系，推动青少年体育全面健康发展，项目的实施推动扩大全民健身场地有效供给，提高青少年体育运动员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E966C3">
            <w:pPr>
              <w:jc w:val="both"/>
            </w:pPr>
            <w:r>
              <w:rPr>
                <w:rFonts w:ascii="宋体" w:hAnsi="宋体" w:eastAsia="宋体"/>
                <w:sz w:val="16"/>
              </w:rPr>
              <w:t>2024年，山东前指投入668万元用于支持喀什地区体育运动学校迁建项目司令台建设，因迁建项目（一期）目前正处于初步设计修改和专家审查阶段，按照援疆资金使用相关要求，基础设施建设尚未开始，因此2024年山东援疆资金未能形成支出。</w:t>
            </w:r>
          </w:p>
        </w:tc>
      </w:tr>
      <w:tr w14:paraId="350132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70A9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7EE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5023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A45D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A686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633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CB05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BF98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45EE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A501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229B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3773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99BD2">
            <w:pPr>
              <w:jc w:val="center"/>
            </w:pPr>
            <w:r>
              <w:rPr>
                <w:rFonts w:ascii="宋体" w:hAnsi="宋体" w:eastAsia="宋体"/>
                <w:sz w:val="16"/>
              </w:rPr>
              <w:t>偏差原因分析及改进措施</w:t>
            </w:r>
          </w:p>
        </w:tc>
      </w:tr>
      <w:tr w14:paraId="234FCE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E8E3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DE47F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A267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D9CB9">
            <w:pPr>
              <w:jc w:val="center"/>
            </w:pPr>
            <w:r>
              <w:rPr>
                <w:rFonts w:ascii="宋体" w:hAnsi="宋体" w:eastAsia="宋体"/>
                <w:sz w:val="16"/>
              </w:rPr>
              <w:t>建筑司令台个数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4B4C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E37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778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0E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E77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755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B0D3C">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E19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1866C">
            <w:pPr>
              <w:jc w:val="center"/>
            </w:pPr>
            <w:r>
              <w:rPr>
                <w:rFonts w:ascii="宋体" w:hAnsi="宋体" w:eastAsia="宋体"/>
                <w:sz w:val="16"/>
              </w:rPr>
              <w:t>偏差原因：项目未开工，基础设施建设尚未开始。改进措施：督促项目负责人加强与施工单位沟通协作。</w:t>
            </w:r>
          </w:p>
        </w:tc>
      </w:tr>
      <w:tr w14:paraId="7042F3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79C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10F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2AF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411E4">
            <w:pPr>
              <w:jc w:val="center"/>
            </w:pPr>
            <w:r>
              <w:rPr>
                <w:rFonts w:ascii="宋体" w:hAnsi="宋体" w:eastAsia="宋体"/>
                <w:sz w:val="16"/>
              </w:rPr>
              <w:t>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1DD00">
            <w:pPr>
              <w:jc w:val="center"/>
            </w:pPr>
            <w:r>
              <w:rPr>
                <w:rFonts w:ascii="宋体" w:hAnsi="宋体" w:eastAsia="宋体"/>
                <w:sz w:val="16"/>
              </w:rPr>
              <w:t>&gt;=1798.12平方米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03E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BA3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2C7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0C9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982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52DA">
            <w:pPr>
              <w:jc w:val="center"/>
            </w:pPr>
            <w:r>
              <w:rPr>
                <w:rFonts w:ascii="宋体" w:hAnsi="宋体" w:eastAsia="宋体"/>
                <w:sz w:val="16"/>
              </w:rPr>
              <w:t>=0平方米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D080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131CE">
            <w:pPr>
              <w:jc w:val="center"/>
            </w:pPr>
            <w:r>
              <w:rPr>
                <w:rFonts w:ascii="宋体" w:hAnsi="宋体" w:eastAsia="宋体"/>
                <w:sz w:val="16"/>
              </w:rPr>
              <w:t>偏差原因：项目未开工，基础设施建设尚未开始。改进措施：督促项目负责人加强与施工单位沟通协作。</w:t>
            </w:r>
          </w:p>
        </w:tc>
      </w:tr>
      <w:tr w14:paraId="0AD6BB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C4C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8E0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256F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8D2FD">
            <w:pPr>
              <w:jc w:val="center"/>
            </w:pPr>
            <w:r>
              <w:rPr>
                <w:rFonts w:ascii="宋体" w:hAnsi="宋体" w:eastAsia="宋体"/>
                <w:sz w:val="16"/>
              </w:rPr>
              <w:t>项目招投标率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A89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C53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89E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FF12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B7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AD2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F905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A03A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266AC">
            <w:pPr>
              <w:jc w:val="center"/>
            </w:pPr>
            <w:r>
              <w:rPr>
                <w:rFonts w:ascii="宋体" w:hAnsi="宋体" w:eastAsia="宋体"/>
                <w:sz w:val="16"/>
              </w:rPr>
              <w:t>偏差原因：项目正处于初步设计修改和专家审查阶段，未产生招投标率。改进措施：督促项目负责人加强与施工单位沟通协作。</w:t>
            </w:r>
          </w:p>
        </w:tc>
      </w:tr>
      <w:tr w14:paraId="0EABFA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B92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758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0E2AD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4D0A8">
            <w:pPr>
              <w:jc w:val="center"/>
            </w:pPr>
            <w:r>
              <w:rPr>
                <w:rFonts w:ascii="宋体" w:hAnsi="宋体" w:eastAsia="宋体"/>
                <w:sz w:val="16"/>
              </w:rPr>
              <w:t>项目计划开工时间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855E5">
            <w:pPr>
              <w:jc w:val="center"/>
            </w:pPr>
            <w:r>
              <w:rPr>
                <w:rFonts w:ascii="宋体" w:hAnsi="宋体" w:eastAsia="宋体"/>
                <w:sz w:val="16"/>
              </w:rPr>
              <w:t>=2024年12月1日之前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A3B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8CB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431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CC5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938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E2A15">
            <w:pPr>
              <w:jc w:val="center"/>
            </w:pPr>
            <w:r>
              <w:rPr>
                <w:rFonts w:ascii="宋体" w:hAnsi="宋体" w:eastAsia="宋体"/>
                <w:sz w:val="16"/>
              </w:rPr>
              <w:t>=2024年12月1日之前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4232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9CB25">
            <w:pPr>
              <w:jc w:val="center"/>
            </w:pPr>
            <w:r>
              <w:rPr>
                <w:rFonts w:ascii="宋体" w:hAnsi="宋体" w:eastAsia="宋体"/>
                <w:sz w:val="16"/>
              </w:rPr>
              <w:t>偏差原因：基础设施建设尚未开始，计划开工时间不确定。改进措施：按照正常流程项目尽早开工。</w:t>
            </w:r>
          </w:p>
        </w:tc>
      </w:tr>
      <w:tr w14:paraId="28657E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2CC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783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47D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5515B">
            <w:pPr>
              <w:jc w:val="center"/>
            </w:pPr>
            <w:r>
              <w:rPr>
                <w:rFonts w:ascii="宋体" w:hAnsi="宋体" w:eastAsia="宋体"/>
                <w:sz w:val="16"/>
              </w:rPr>
              <w:t>项目计划完工时间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34F9A">
            <w:pPr>
              <w:jc w:val="center"/>
            </w:pPr>
            <w:r>
              <w:rPr>
                <w:rFonts w:ascii="宋体" w:hAnsi="宋体" w:eastAsia="宋体"/>
                <w:sz w:val="16"/>
              </w:rPr>
              <w:t>=2025年8月31日之前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02B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FD4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562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5A7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902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E068A">
            <w:pPr>
              <w:jc w:val="center"/>
            </w:pPr>
            <w:r>
              <w:rPr>
                <w:rFonts w:ascii="宋体" w:hAnsi="宋体" w:eastAsia="宋体"/>
                <w:sz w:val="16"/>
              </w:rPr>
              <w:t>=2024年12月1日之前</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C4D9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1502E">
            <w:pPr>
              <w:jc w:val="center"/>
            </w:pPr>
            <w:r>
              <w:rPr>
                <w:rFonts w:ascii="宋体" w:hAnsi="宋体" w:eastAsia="宋体"/>
                <w:sz w:val="16"/>
              </w:rPr>
              <w:t>偏差原因：基础设施建设尚未开始，计划完工时间不确定。改进措施：按照正常流程项目尽早开工。</w:t>
            </w:r>
          </w:p>
        </w:tc>
      </w:tr>
      <w:tr w14:paraId="2C111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6E6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84B5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DD76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5D5F1">
            <w:pPr>
              <w:jc w:val="center"/>
            </w:pPr>
            <w:r>
              <w:rPr>
                <w:rFonts w:ascii="宋体" w:hAnsi="宋体" w:eastAsia="宋体"/>
                <w:sz w:val="16"/>
              </w:rPr>
              <w:t>平均每平方米建设成本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020DD">
            <w:pPr>
              <w:jc w:val="center"/>
            </w:pPr>
            <w:r>
              <w:rPr>
                <w:rFonts w:ascii="宋体" w:hAnsi="宋体" w:eastAsia="宋体"/>
                <w:sz w:val="16"/>
              </w:rPr>
              <w:t>&lt;=3714.99元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FFE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EB1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B91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5F10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803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35E0E">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C73C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A2EDA">
            <w:pPr>
              <w:jc w:val="center"/>
            </w:pPr>
            <w:r>
              <w:rPr>
                <w:rFonts w:ascii="宋体" w:hAnsi="宋体" w:eastAsia="宋体"/>
                <w:sz w:val="16"/>
              </w:rPr>
              <w:t>偏差原因：项目未开工，未产生建设成本费用。改进措施：督促项目负责人加强与施工单位沟通协作。</w:t>
            </w:r>
          </w:p>
        </w:tc>
      </w:tr>
      <w:tr w14:paraId="43FE1B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B37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7E89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ED4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B784D">
            <w:pPr>
              <w:jc w:val="center"/>
            </w:pPr>
            <w:r>
              <w:rPr>
                <w:rFonts w:ascii="宋体" w:hAnsi="宋体" w:eastAsia="宋体"/>
                <w:sz w:val="16"/>
              </w:rPr>
              <w:t>有效促进体育事业发展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575F4">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587F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D8D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1493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E23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B87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116C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31AB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B2012">
            <w:pPr>
              <w:jc w:val="center"/>
            </w:pPr>
            <w:r>
              <w:rPr>
                <w:rFonts w:ascii="宋体" w:hAnsi="宋体" w:eastAsia="宋体"/>
                <w:sz w:val="16"/>
              </w:rPr>
              <w:t>偏差原因：基础设施建设尚未开始，未产生效益。改进措施：提高服务能力，促进体育事业发展。</w:t>
            </w:r>
          </w:p>
        </w:tc>
      </w:tr>
      <w:tr w14:paraId="18A6CA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258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C6B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D63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0C3C9">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0BB2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192F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661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5C8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DAC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0CF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7954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8E8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076FD">
            <w:pPr>
              <w:jc w:val="center"/>
            </w:pPr>
            <w:r>
              <w:rPr>
                <w:rFonts w:ascii="宋体" w:hAnsi="宋体" w:eastAsia="宋体"/>
                <w:sz w:val="16"/>
              </w:rPr>
              <w:t>偏差原因：项目未开工，师生满意度未知数。改进措施：提高服务能力，达到师生满意度。</w:t>
            </w:r>
          </w:p>
        </w:tc>
      </w:tr>
      <w:tr w14:paraId="105941E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50599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73D8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2F42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50842">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334DE9E"/>
        </w:tc>
      </w:tr>
    </w:tbl>
    <w:p w14:paraId="299D9264">
      <w:r>
        <w:br w:type="page"/>
      </w:r>
    </w:p>
    <w:p w14:paraId="358617D1">
      <w:pPr>
        <w:spacing w:line="640" w:lineRule="exact"/>
        <w:ind w:firstLine="640"/>
        <w:jc w:val="both"/>
        <w:outlineLvl w:val="2"/>
      </w:pPr>
      <w:r>
        <w:rPr>
          <w:rFonts w:ascii="黑体" w:hAnsi="黑体" w:eastAsia="黑体"/>
          <w:sz w:val="32"/>
        </w:rPr>
        <w:t>十二、其他需说明的事项</w:t>
      </w:r>
    </w:p>
    <w:p w14:paraId="2667F82F">
      <w:pPr>
        <w:spacing w:line="580" w:lineRule="exact"/>
        <w:ind w:firstLine="640"/>
        <w:jc w:val="both"/>
      </w:pPr>
      <w:r>
        <w:rPr>
          <w:rFonts w:ascii="仿宋_GB2312" w:hAnsi="仿宋_GB2312" w:eastAsia="仿宋_GB2312"/>
          <w:b w:val="0"/>
          <w:sz w:val="32"/>
        </w:rPr>
        <w:t>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项目1个，全年预算</w:t>
      </w:r>
      <w:bookmarkStart w:id="0" w:name="_GoBack"/>
      <w:bookmarkEnd w:id="0"/>
      <w:r>
        <w:rPr>
          <w:rFonts w:ascii="仿宋_GB2312" w:hAnsi="仿宋_GB2312" w:eastAsia="仿宋_GB2312"/>
          <w:b w:val="0"/>
          <w:sz w:val="32"/>
        </w:rPr>
        <w:t>数20.00万元，全年执行数219.23万元。</w:t>
      </w:r>
    </w:p>
    <w:p w14:paraId="41679CCF">
      <w:r>
        <w:br w:type="page"/>
      </w:r>
    </w:p>
    <w:p w14:paraId="47DEE725">
      <w:pPr>
        <w:spacing w:line="240" w:lineRule="auto"/>
        <w:jc w:val="center"/>
        <w:outlineLvl w:val="1"/>
      </w:pPr>
      <w:r>
        <w:rPr>
          <w:rFonts w:ascii="黑体" w:hAnsi="黑体" w:eastAsia="黑体"/>
          <w:sz w:val="32"/>
        </w:rPr>
        <w:t>第三部分 专业名词解释</w:t>
      </w:r>
    </w:p>
    <w:p w14:paraId="1C35F2C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EE387F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571291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9AE565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B19FBA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31C49B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FBECC5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AA48A4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726D24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085428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09C4D4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D1530D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3CA5B0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D044D4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5CAA77F">
      <w:r>
        <w:br w:type="page"/>
      </w:r>
    </w:p>
    <w:p w14:paraId="10870D37">
      <w:pPr>
        <w:spacing w:line="240" w:lineRule="auto"/>
        <w:jc w:val="center"/>
        <w:outlineLvl w:val="1"/>
      </w:pPr>
      <w:r>
        <w:rPr>
          <w:rFonts w:ascii="黑体" w:hAnsi="黑体" w:eastAsia="黑体"/>
          <w:sz w:val="32"/>
        </w:rPr>
        <w:t>第四部分 部门决算报表（见附表）</w:t>
      </w:r>
    </w:p>
    <w:p w14:paraId="50B22699">
      <w:pPr>
        <w:spacing w:line="240" w:lineRule="auto"/>
        <w:ind w:firstLine="640"/>
        <w:jc w:val="both"/>
      </w:pPr>
      <w:r>
        <w:rPr>
          <w:rFonts w:ascii="仿宋_GB2312" w:hAnsi="仿宋_GB2312" w:eastAsia="仿宋_GB2312"/>
          <w:b w:val="0"/>
          <w:sz w:val="32"/>
        </w:rPr>
        <w:t>一、《收入支出决算总表》</w:t>
      </w:r>
    </w:p>
    <w:p w14:paraId="1FF1BBAE">
      <w:pPr>
        <w:spacing w:line="240" w:lineRule="auto"/>
        <w:ind w:firstLine="640"/>
        <w:jc w:val="both"/>
      </w:pPr>
      <w:r>
        <w:rPr>
          <w:rFonts w:ascii="仿宋_GB2312" w:hAnsi="仿宋_GB2312" w:eastAsia="仿宋_GB2312"/>
          <w:b w:val="0"/>
          <w:sz w:val="32"/>
        </w:rPr>
        <w:t>二、《收入决算表》</w:t>
      </w:r>
    </w:p>
    <w:p w14:paraId="0DF61725">
      <w:pPr>
        <w:spacing w:line="240" w:lineRule="auto"/>
        <w:ind w:firstLine="640"/>
        <w:jc w:val="both"/>
      </w:pPr>
      <w:r>
        <w:rPr>
          <w:rFonts w:ascii="仿宋_GB2312" w:hAnsi="仿宋_GB2312" w:eastAsia="仿宋_GB2312"/>
          <w:b w:val="0"/>
          <w:sz w:val="32"/>
        </w:rPr>
        <w:t>三、《支出决算表》</w:t>
      </w:r>
    </w:p>
    <w:p w14:paraId="13B43180">
      <w:pPr>
        <w:spacing w:line="240" w:lineRule="auto"/>
        <w:ind w:firstLine="640"/>
        <w:jc w:val="both"/>
      </w:pPr>
      <w:r>
        <w:rPr>
          <w:rFonts w:ascii="仿宋_GB2312" w:hAnsi="仿宋_GB2312" w:eastAsia="仿宋_GB2312"/>
          <w:b w:val="0"/>
          <w:sz w:val="32"/>
        </w:rPr>
        <w:t>四、《财政拨款收入支出决算总表》</w:t>
      </w:r>
    </w:p>
    <w:p w14:paraId="7672E6C1">
      <w:pPr>
        <w:spacing w:line="240" w:lineRule="auto"/>
        <w:ind w:firstLine="640"/>
        <w:jc w:val="both"/>
      </w:pPr>
      <w:r>
        <w:rPr>
          <w:rFonts w:ascii="仿宋_GB2312" w:hAnsi="仿宋_GB2312" w:eastAsia="仿宋_GB2312"/>
          <w:b w:val="0"/>
          <w:sz w:val="32"/>
        </w:rPr>
        <w:t>五、《一般公共预算财政拨款支出决算表》</w:t>
      </w:r>
    </w:p>
    <w:p w14:paraId="69A3F5D0">
      <w:pPr>
        <w:spacing w:line="240" w:lineRule="auto"/>
        <w:ind w:firstLine="640"/>
        <w:jc w:val="both"/>
      </w:pPr>
      <w:r>
        <w:rPr>
          <w:rFonts w:ascii="仿宋_GB2312" w:hAnsi="仿宋_GB2312" w:eastAsia="仿宋_GB2312"/>
          <w:b w:val="0"/>
          <w:sz w:val="32"/>
        </w:rPr>
        <w:t>六、《一般公共预算财政拨款基本支出决算表》</w:t>
      </w:r>
    </w:p>
    <w:p w14:paraId="74F660FE">
      <w:pPr>
        <w:spacing w:line="240" w:lineRule="auto"/>
        <w:ind w:firstLine="640"/>
        <w:jc w:val="both"/>
      </w:pPr>
      <w:r>
        <w:rPr>
          <w:rFonts w:ascii="仿宋_GB2312" w:hAnsi="仿宋_GB2312" w:eastAsia="仿宋_GB2312"/>
          <w:b w:val="0"/>
          <w:sz w:val="32"/>
        </w:rPr>
        <w:t>七、《政府性基金预算财政拨款收入支出决算表》</w:t>
      </w:r>
    </w:p>
    <w:p w14:paraId="2504E25B">
      <w:pPr>
        <w:spacing w:line="240" w:lineRule="auto"/>
        <w:ind w:firstLine="640"/>
        <w:jc w:val="both"/>
      </w:pPr>
      <w:r>
        <w:rPr>
          <w:rFonts w:ascii="仿宋_GB2312" w:hAnsi="仿宋_GB2312" w:eastAsia="仿宋_GB2312"/>
          <w:b w:val="0"/>
          <w:sz w:val="32"/>
        </w:rPr>
        <w:t>八、《国有资本经营预算财政拨款收入支出决算表》</w:t>
      </w:r>
    </w:p>
    <w:p w14:paraId="5655603D">
      <w:pPr>
        <w:spacing w:line="240" w:lineRule="auto"/>
        <w:ind w:firstLine="640"/>
        <w:jc w:val="both"/>
      </w:pPr>
      <w:r>
        <w:rPr>
          <w:rFonts w:ascii="仿宋_GB2312" w:hAnsi="仿宋_GB2312" w:eastAsia="仿宋_GB2312"/>
          <w:b w:val="0"/>
          <w:sz w:val="32"/>
        </w:rPr>
        <w:t>九、《财政拨款“三公”经费支出决算表》</w:t>
      </w:r>
    </w:p>
    <w:p w14:paraId="3AE3E323">
      <w:pPr>
        <w:spacing w:line="240" w:lineRule="auto"/>
        <w:ind w:firstLine="640"/>
        <w:jc w:val="both"/>
      </w:pPr>
    </w:p>
    <w:p w14:paraId="3C9B46DA">
      <w:pPr>
        <w:spacing w:line="240" w:lineRule="auto"/>
        <w:ind w:firstLine="640"/>
        <w:jc w:val="both"/>
      </w:pPr>
    </w:p>
    <w:p w14:paraId="192E977E">
      <w:pPr>
        <w:spacing w:line="240" w:lineRule="auto"/>
        <w:ind w:firstLine="640"/>
        <w:jc w:val="both"/>
      </w:pPr>
    </w:p>
    <w:p w14:paraId="0FBA728C">
      <w:pPr>
        <w:spacing w:line="240" w:lineRule="auto"/>
        <w:ind w:firstLine="640"/>
        <w:jc w:val="both"/>
      </w:pPr>
    </w:p>
    <w:p w14:paraId="39497C3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801825D-76D7-4421-B47B-7CCF89CED26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893CB195-D2B1-4181-8B12-2AD6EC2AEFC4}"/>
  </w:font>
  <w:font w:name="方正小标宋_GBK">
    <w:panose1 w:val="02000000000000000000"/>
    <w:charset w:val="86"/>
    <w:family w:val="script"/>
    <w:pitch w:val="default"/>
    <w:sig w:usb0="A00002BF" w:usb1="38CF7CFA" w:usb2="00082016" w:usb3="00000000" w:csb0="00040001" w:csb1="00000000"/>
    <w:embedRegular r:id="rId3" w:fontKey="{75EC3F12-891A-4D30-84C2-7B45538E85DA}"/>
  </w:font>
  <w:font w:name="楷体_GB2312">
    <w:altName w:val="楷体"/>
    <w:panose1 w:val="00000000000000000000"/>
    <w:charset w:val="00"/>
    <w:family w:val="auto"/>
    <w:pitch w:val="default"/>
    <w:sig w:usb0="00000000" w:usb1="00000000" w:usb2="00000000" w:usb3="00000000" w:csb0="00000000" w:csb1="00000000"/>
    <w:embedRegular r:id="rId4" w:fontKey="{B11BC269-397F-431D-A92E-9D0F9FBC695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A2F671C"/>
    <w:rsid w:val="1B8F2D19"/>
    <w:rsid w:val="1C317E4F"/>
    <w:rsid w:val="1C472464"/>
    <w:rsid w:val="1DAF458D"/>
    <w:rsid w:val="1E086ACE"/>
    <w:rsid w:val="1E296894"/>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ABB1FB6"/>
    <w:rsid w:val="4B4C0111"/>
    <w:rsid w:val="4BB23021"/>
    <w:rsid w:val="4F3F074E"/>
    <w:rsid w:val="50DB5F45"/>
    <w:rsid w:val="52F92565"/>
    <w:rsid w:val="543D17CB"/>
    <w:rsid w:val="55DA564E"/>
    <w:rsid w:val="56E07045"/>
    <w:rsid w:val="583059FA"/>
    <w:rsid w:val="587E6212"/>
    <w:rsid w:val="5AFC6609"/>
    <w:rsid w:val="5E255D89"/>
    <w:rsid w:val="5FA17648"/>
    <w:rsid w:val="5FD320BD"/>
    <w:rsid w:val="60DE4D57"/>
    <w:rsid w:val="613409CB"/>
    <w:rsid w:val="61A46A97"/>
    <w:rsid w:val="62DD7D21"/>
    <w:rsid w:val="65D97752"/>
    <w:rsid w:val="664C500C"/>
    <w:rsid w:val="6795063A"/>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DA7A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6616</Words>
  <Characters>7673</Characters>
  <Lines>0</Lines>
  <Paragraphs>0</Paragraphs>
  <TotalTime>5</TotalTime>
  <ScaleCrop>false</ScaleCrop>
  <LinksUpToDate>false</LinksUpToDate>
  <CharactersWithSpaces>7681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2025-09-28T11:49:34Z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