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8A6CD8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喀什地区体育馆</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049B2D0">
      <w:r>
        <w:br w:type="page"/>
      </w:r>
    </w:p>
    <w:p w14:paraId="6397ED73">
      <w:pPr>
        <w:spacing w:line="640" w:lineRule="exact"/>
        <w:jc w:val="center"/>
        <w:outlineLvl w:val="1"/>
      </w:pPr>
      <w:r>
        <w:rPr>
          <w:rFonts w:ascii="黑体" w:hAnsi="黑体" w:eastAsia="黑体"/>
          <w:sz w:val="32"/>
        </w:rPr>
        <w:t>第一部分 部门概况</w:t>
      </w:r>
    </w:p>
    <w:p w14:paraId="741F6134">
      <w:pPr>
        <w:spacing w:line="640" w:lineRule="exact"/>
        <w:ind w:firstLine="640"/>
        <w:jc w:val="both"/>
        <w:outlineLvl w:val="2"/>
      </w:pPr>
      <w:r>
        <w:rPr>
          <w:rFonts w:ascii="黑体" w:hAnsi="黑体" w:eastAsia="黑体"/>
          <w:sz w:val="32"/>
        </w:rPr>
        <w:t>一、主要职能</w:t>
      </w:r>
    </w:p>
    <w:p w14:paraId="710253BC">
      <w:pPr>
        <w:spacing w:line="580" w:lineRule="exact"/>
        <w:ind w:firstLine="640"/>
        <w:jc w:val="both"/>
      </w:pPr>
      <w:r>
        <w:rPr>
          <w:rFonts w:ascii="仿宋_GB2312" w:hAnsi="仿宋_GB2312" w:eastAsia="仿宋_GB2312"/>
          <w:sz w:val="32"/>
        </w:rPr>
        <w:t>（1）贯彻执行党和国家有关体育的法律、法规、规章和相关政策,负责喀什地区公共体育设施的管理和</w:t>
      </w:r>
      <w:r>
        <w:rPr>
          <w:rFonts w:hint="eastAsia" w:ascii="仿宋_GB2312" w:hAnsi="仿宋_GB2312" w:eastAsia="仿宋_GB2312"/>
          <w:sz w:val="32"/>
          <w:lang w:eastAsia="zh-CN"/>
        </w:rPr>
        <w:t>运营</w:t>
      </w:r>
      <w:r>
        <w:rPr>
          <w:rFonts w:ascii="仿宋_GB2312" w:hAnsi="仿宋_GB2312" w:eastAsia="仿宋_GB2312"/>
          <w:sz w:val="32"/>
        </w:rPr>
        <w:t>。</w:t>
      </w:r>
    </w:p>
    <w:p w14:paraId="24DAF720">
      <w:pPr>
        <w:spacing w:line="580" w:lineRule="exact"/>
        <w:ind w:firstLine="640"/>
        <w:jc w:val="both"/>
      </w:pPr>
      <w:r>
        <w:rPr>
          <w:rFonts w:ascii="仿宋_GB2312" w:hAnsi="仿宋_GB2312" w:eastAsia="仿宋_GB2312"/>
          <w:sz w:val="32"/>
        </w:rPr>
        <w:t>（2）依托场馆广泛开展群众性文体活动,组织各类公益文化、体育培训活动。</w:t>
      </w:r>
    </w:p>
    <w:p w14:paraId="0B991C23">
      <w:pPr>
        <w:spacing w:line="580" w:lineRule="exact"/>
        <w:ind w:firstLine="640"/>
        <w:jc w:val="both"/>
      </w:pPr>
      <w:r>
        <w:rPr>
          <w:rFonts w:ascii="仿宋_GB2312" w:hAnsi="仿宋_GB2312" w:eastAsia="仿宋_GB2312"/>
          <w:sz w:val="32"/>
        </w:rPr>
        <w:t>（3）依托场馆主办或承办各类竞技体育赛事。</w:t>
      </w:r>
    </w:p>
    <w:p w14:paraId="3A37D6CE">
      <w:pPr>
        <w:spacing w:line="580" w:lineRule="exact"/>
        <w:ind w:firstLine="640"/>
        <w:jc w:val="both"/>
      </w:pPr>
      <w:r>
        <w:rPr>
          <w:rFonts w:ascii="仿宋_GB2312" w:hAnsi="仿宋_GB2312" w:eastAsia="仿宋_GB2312"/>
          <w:sz w:val="32"/>
        </w:rPr>
        <w:t>（4）负责体育场馆的维护、使用、出租、安全等日常管理。</w:t>
      </w:r>
    </w:p>
    <w:p w14:paraId="61E4A7FB">
      <w:pPr>
        <w:spacing w:line="580" w:lineRule="exact"/>
        <w:ind w:firstLine="640"/>
        <w:jc w:val="both"/>
      </w:pPr>
      <w:r>
        <w:rPr>
          <w:rFonts w:ascii="仿宋_GB2312" w:hAnsi="仿宋_GB2312" w:eastAsia="仿宋_GB2312"/>
          <w:sz w:val="32"/>
        </w:rPr>
        <w:t>（5）负责体育场馆的专业设备采购、使用、管理和调配,组织开发公共文化、体育发展等信息平台。</w:t>
      </w:r>
    </w:p>
    <w:p w14:paraId="69D027B0">
      <w:pPr>
        <w:spacing w:line="580" w:lineRule="exact"/>
        <w:ind w:firstLine="640"/>
        <w:jc w:val="both"/>
      </w:pPr>
      <w:r>
        <w:rPr>
          <w:rFonts w:ascii="仿宋_GB2312" w:hAnsi="仿宋_GB2312" w:eastAsia="仿宋_GB2312"/>
          <w:sz w:val="32"/>
        </w:rPr>
        <w:t>（6）承办上级交办的其他事项。</w:t>
      </w:r>
    </w:p>
    <w:p w14:paraId="3C51028C">
      <w:pPr>
        <w:spacing w:line="640" w:lineRule="exact"/>
        <w:ind w:firstLine="640"/>
        <w:jc w:val="both"/>
        <w:outlineLvl w:val="2"/>
      </w:pPr>
      <w:r>
        <w:rPr>
          <w:rFonts w:ascii="黑体" w:hAnsi="黑体" w:eastAsia="黑体"/>
          <w:sz w:val="32"/>
        </w:rPr>
        <w:t>二、机构设置及人员情况</w:t>
      </w:r>
    </w:p>
    <w:p w14:paraId="7243E591">
      <w:pPr>
        <w:spacing w:line="580" w:lineRule="exact"/>
        <w:ind w:firstLine="640"/>
        <w:jc w:val="both"/>
      </w:pPr>
      <w:r>
        <w:rPr>
          <w:rFonts w:ascii="仿宋_GB2312" w:hAnsi="仿宋_GB2312" w:eastAsia="仿宋_GB2312"/>
          <w:sz w:val="32"/>
        </w:rPr>
        <w:t>喀什地区体育馆2024年度，实有人数23人，其中：在职人员11人，增加0人；离休人员0人，增加0人；退休人员12人,增加0人。</w:t>
      </w:r>
    </w:p>
    <w:p w14:paraId="314BF372">
      <w:pPr>
        <w:spacing w:line="580" w:lineRule="exact"/>
        <w:ind w:firstLine="640"/>
        <w:jc w:val="both"/>
      </w:pPr>
      <w:r>
        <w:rPr>
          <w:rFonts w:ascii="仿宋_GB2312" w:hAnsi="仿宋_GB2312" w:eastAsia="仿宋_GB2312"/>
          <w:sz w:val="32"/>
        </w:rPr>
        <w:t>喀什地区体育馆无下属预算单位，下设3个科室，分别是：办公室、活动策划部、场馆运行部。</w:t>
      </w:r>
    </w:p>
    <w:p w14:paraId="7E4810C4">
      <w:r>
        <w:br w:type="page"/>
      </w:r>
    </w:p>
    <w:p w14:paraId="32BEE5F4">
      <w:pPr>
        <w:spacing w:line="240" w:lineRule="auto"/>
        <w:jc w:val="center"/>
        <w:outlineLvl w:val="1"/>
      </w:pPr>
      <w:r>
        <w:rPr>
          <w:rFonts w:ascii="黑体" w:hAnsi="黑体" w:eastAsia="黑体"/>
          <w:sz w:val="32"/>
        </w:rPr>
        <w:t>第二部分 部门决算情况说明</w:t>
      </w:r>
    </w:p>
    <w:p w14:paraId="5FE73E04">
      <w:pPr>
        <w:spacing w:line="640" w:lineRule="exact"/>
        <w:ind w:firstLine="640"/>
        <w:jc w:val="both"/>
        <w:outlineLvl w:val="2"/>
      </w:pPr>
      <w:r>
        <w:rPr>
          <w:rFonts w:ascii="黑体" w:hAnsi="黑体" w:eastAsia="黑体"/>
          <w:sz w:val="32"/>
        </w:rPr>
        <w:t>一、收入支出决算总体情况说明</w:t>
      </w:r>
    </w:p>
    <w:p w14:paraId="17FEF0E8">
      <w:pPr>
        <w:spacing w:line="580" w:lineRule="exact"/>
        <w:ind w:firstLine="640"/>
        <w:jc w:val="both"/>
      </w:pPr>
      <w:r>
        <w:rPr>
          <w:rFonts w:ascii="仿宋_GB2312" w:hAnsi="仿宋_GB2312" w:eastAsia="仿宋_GB2312"/>
          <w:b/>
          <w:sz w:val="32"/>
        </w:rPr>
        <w:t>2024年度收入总计271.70万元，</w:t>
      </w:r>
      <w:r>
        <w:rPr>
          <w:rFonts w:ascii="仿宋_GB2312" w:hAnsi="仿宋_GB2312" w:eastAsia="仿宋_GB2312"/>
          <w:b w:val="0"/>
          <w:sz w:val="32"/>
        </w:rPr>
        <w:t>其中：本年收入合计271.70万元，使用非财政拨款结余（含专用结余）0.00万元，年初结转和结余0.00万元。</w:t>
      </w:r>
    </w:p>
    <w:p w14:paraId="1F23A2AE">
      <w:pPr>
        <w:spacing w:line="580" w:lineRule="exact"/>
        <w:ind w:firstLine="640"/>
        <w:jc w:val="both"/>
      </w:pPr>
      <w:r>
        <w:rPr>
          <w:rFonts w:ascii="仿宋_GB2312" w:hAnsi="仿宋_GB2312" w:eastAsia="仿宋_GB2312"/>
          <w:b/>
          <w:sz w:val="32"/>
        </w:rPr>
        <w:t>2024年度支出总计271.70万元，</w:t>
      </w:r>
      <w:r>
        <w:rPr>
          <w:rFonts w:ascii="仿宋_GB2312" w:hAnsi="仿宋_GB2312" w:eastAsia="仿宋_GB2312"/>
          <w:b w:val="0"/>
          <w:sz w:val="32"/>
        </w:rPr>
        <w:t>其中：本年支出合计271.70万元，结余分配0.00万元，年末结转和结余0.00万元。</w:t>
      </w:r>
    </w:p>
    <w:p w14:paraId="3AC2C169">
      <w:pPr>
        <w:spacing w:line="580" w:lineRule="exact"/>
        <w:ind w:firstLine="640"/>
        <w:jc w:val="both"/>
      </w:pPr>
      <w:r>
        <w:rPr>
          <w:rFonts w:ascii="仿宋_GB2312" w:hAnsi="仿宋_GB2312" w:eastAsia="仿宋_GB2312"/>
          <w:b w:val="0"/>
          <w:sz w:val="32"/>
        </w:rPr>
        <w:t>收入支出总体与上年相比，增加4.65万元，增长1.74%，主要原因是：本年公共体育场馆向社会免费或低收费开放补助资金较上年增加。</w:t>
      </w:r>
    </w:p>
    <w:p w14:paraId="7043D214">
      <w:pPr>
        <w:spacing w:line="640" w:lineRule="exact"/>
        <w:ind w:firstLine="640"/>
        <w:jc w:val="both"/>
        <w:outlineLvl w:val="2"/>
      </w:pPr>
      <w:r>
        <w:rPr>
          <w:rFonts w:ascii="黑体" w:hAnsi="黑体" w:eastAsia="黑体"/>
          <w:sz w:val="32"/>
        </w:rPr>
        <w:t>二、收入决算情况说明</w:t>
      </w:r>
    </w:p>
    <w:p w14:paraId="75002C65">
      <w:pPr>
        <w:spacing w:line="580" w:lineRule="exact"/>
        <w:ind w:firstLine="640"/>
        <w:jc w:val="both"/>
      </w:pPr>
      <w:r>
        <w:rPr>
          <w:rFonts w:ascii="仿宋_GB2312" w:hAnsi="仿宋_GB2312" w:eastAsia="仿宋_GB2312"/>
          <w:b/>
          <w:sz w:val="32"/>
        </w:rPr>
        <w:t>本年收入271.70万元，</w:t>
      </w:r>
      <w:r>
        <w:rPr>
          <w:rFonts w:ascii="仿宋_GB2312" w:hAnsi="仿宋_GB2312" w:eastAsia="仿宋_GB2312"/>
          <w:b w:val="0"/>
          <w:sz w:val="32"/>
        </w:rPr>
        <w:t>其中：财政拨款收入271.70万元，占100.00%；上级补助收入0.00万元，占0.00%；事业收入0.00万元，占0.00%；经营收入0.00万元，占0.00%；附属单位上缴收入0.00万元，占0.00%；其他收入0.00万元，占0.00%。</w:t>
      </w:r>
    </w:p>
    <w:p w14:paraId="40D20723">
      <w:pPr>
        <w:spacing w:line="640" w:lineRule="exact"/>
        <w:ind w:firstLine="640"/>
        <w:jc w:val="both"/>
        <w:outlineLvl w:val="2"/>
      </w:pPr>
      <w:r>
        <w:rPr>
          <w:rFonts w:ascii="黑体" w:hAnsi="黑体" w:eastAsia="黑体"/>
          <w:sz w:val="32"/>
        </w:rPr>
        <w:t>三、支出决算情况说明</w:t>
      </w:r>
    </w:p>
    <w:p w14:paraId="1EAD72B9">
      <w:pPr>
        <w:spacing w:line="580" w:lineRule="exact"/>
        <w:ind w:firstLine="640"/>
        <w:jc w:val="both"/>
      </w:pPr>
      <w:r>
        <w:rPr>
          <w:rFonts w:ascii="仿宋_GB2312" w:hAnsi="仿宋_GB2312" w:eastAsia="仿宋_GB2312"/>
          <w:b/>
          <w:sz w:val="32"/>
        </w:rPr>
        <w:t>本年支出271.70万元，</w:t>
      </w:r>
      <w:r>
        <w:rPr>
          <w:rFonts w:ascii="仿宋_GB2312" w:hAnsi="仿宋_GB2312" w:eastAsia="仿宋_GB2312"/>
          <w:b w:val="0"/>
          <w:sz w:val="32"/>
        </w:rPr>
        <w:t>其中：基本支出214.99万元，占79.13%；项目支出56.71万元，占20.87%；上缴上级支出0.00万元，占0.00%；经营支出0.00万元，占0.00%；对附属单位补助支出0.00万元，占0.00%。</w:t>
      </w:r>
    </w:p>
    <w:p w14:paraId="489B0260">
      <w:pPr>
        <w:spacing w:line="640" w:lineRule="exact"/>
        <w:ind w:firstLine="640"/>
        <w:jc w:val="both"/>
        <w:outlineLvl w:val="2"/>
      </w:pPr>
      <w:r>
        <w:rPr>
          <w:rFonts w:ascii="黑体" w:hAnsi="黑体" w:eastAsia="黑体"/>
          <w:sz w:val="32"/>
        </w:rPr>
        <w:t>四、财政拨款收入支出决算总体情况说明</w:t>
      </w:r>
    </w:p>
    <w:p w14:paraId="343D968A">
      <w:pPr>
        <w:spacing w:line="580" w:lineRule="exact"/>
        <w:ind w:firstLine="640"/>
        <w:jc w:val="both"/>
      </w:pPr>
      <w:r>
        <w:rPr>
          <w:rFonts w:ascii="仿宋_GB2312" w:hAnsi="仿宋_GB2312" w:eastAsia="仿宋_GB2312"/>
          <w:b/>
          <w:sz w:val="32"/>
        </w:rPr>
        <w:t>2024年度财政拨款收入总计271.70万元，</w:t>
      </w:r>
      <w:r>
        <w:rPr>
          <w:rFonts w:ascii="仿宋_GB2312" w:hAnsi="仿宋_GB2312" w:eastAsia="仿宋_GB2312"/>
          <w:b w:val="0"/>
          <w:sz w:val="32"/>
        </w:rPr>
        <w:t>其中：年初财政拨款结转和结余0.00万元，本年财政拨款收入271.70万元。</w:t>
      </w:r>
      <w:r>
        <w:rPr>
          <w:rFonts w:ascii="仿宋_GB2312" w:hAnsi="仿宋_GB2312" w:eastAsia="仿宋_GB2312"/>
          <w:b/>
          <w:sz w:val="32"/>
        </w:rPr>
        <w:t>财政拨款支出总计271.70万元，</w:t>
      </w:r>
      <w:r>
        <w:rPr>
          <w:rFonts w:ascii="仿宋_GB2312" w:hAnsi="仿宋_GB2312" w:eastAsia="仿宋_GB2312"/>
          <w:b w:val="0"/>
          <w:sz w:val="32"/>
        </w:rPr>
        <w:t>其中：年末财政拨款结转和结余0.00万元，本年财政拨款支出271.70万元。</w:t>
      </w:r>
    </w:p>
    <w:p w14:paraId="31BCD5D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增加10.20万元，增长3.90%，主要原因是：本年公共体育场馆向社会免费或低收费开放</w:t>
      </w:r>
      <w:r>
        <w:rPr>
          <w:rFonts w:hint="eastAsia" w:ascii="仿宋_GB2312" w:hAnsi="仿宋_GB2312" w:eastAsia="仿宋_GB2312"/>
          <w:b w:val="0"/>
          <w:sz w:val="32"/>
          <w:lang w:eastAsia="zh-CN"/>
        </w:rPr>
        <w:t>补助</w:t>
      </w:r>
      <w:r>
        <w:rPr>
          <w:rFonts w:ascii="仿宋_GB2312" w:hAnsi="仿宋_GB2312" w:eastAsia="仿宋_GB2312"/>
          <w:b w:val="0"/>
          <w:sz w:val="32"/>
        </w:rPr>
        <w:t>资金较上年增加。</w:t>
      </w:r>
      <w:r>
        <w:rPr>
          <w:rFonts w:ascii="仿宋_GB2312" w:hAnsi="仿宋_GB2312" w:eastAsia="仿宋_GB2312"/>
          <w:b/>
          <w:sz w:val="32"/>
        </w:rPr>
        <w:t>与年初预算相比，</w:t>
      </w:r>
      <w:r>
        <w:rPr>
          <w:rFonts w:ascii="仿宋_GB2312" w:hAnsi="仿宋_GB2312" w:eastAsia="仿宋_GB2312"/>
          <w:b w:val="0"/>
          <w:sz w:val="32"/>
        </w:rPr>
        <w:t>年初预算数268.41万元，决算数271.70万元，预决算差异率1.23%，主要原因是：年中追加人员工资、社保、公积金基数调增部分资金，导致预决算存在差异。</w:t>
      </w:r>
    </w:p>
    <w:p w14:paraId="53C62E02">
      <w:pPr>
        <w:spacing w:line="640" w:lineRule="exact"/>
        <w:ind w:firstLine="640"/>
        <w:jc w:val="both"/>
        <w:outlineLvl w:val="2"/>
      </w:pPr>
      <w:r>
        <w:rPr>
          <w:rFonts w:ascii="黑体" w:hAnsi="黑体" w:eastAsia="黑体"/>
          <w:sz w:val="32"/>
        </w:rPr>
        <w:t>五、一般公共预算财政拨款支出决算情况说明</w:t>
      </w:r>
    </w:p>
    <w:p w14:paraId="73D6B895">
      <w:pPr>
        <w:spacing w:line="640" w:lineRule="exact"/>
        <w:ind w:firstLine="640"/>
        <w:jc w:val="both"/>
        <w:outlineLvl w:val="3"/>
      </w:pPr>
      <w:r>
        <w:rPr>
          <w:rFonts w:ascii="楷体_GB2312" w:hAnsi="楷体_GB2312" w:eastAsia="楷体_GB2312"/>
          <w:b/>
          <w:sz w:val="32"/>
        </w:rPr>
        <w:t>（一）一般公共预算财政拨款支出决算总体情况</w:t>
      </w:r>
    </w:p>
    <w:p w14:paraId="766A949D">
      <w:pPr>
        <w:spacing w:line="580" w:lineRule="exact"/>
        <w:ind w:firstLine="640"/>
        <w:jc w:val="both"/>
      </w:pPr>
      <w:r>
        <w:rPr>
          <w:rFonts w:ascii="仿宋_GB2312" w:hAnsi="仿宋_GB2312" w:eastAsia="仿宋_GB2312"/>
          <w:b/>
          <w:sz w:val="32"/>
        </w:rPr>
        <w:t>2024年度一般公共预算财政拨款支出263.15万元，</w:t>
      </w:r>
      <w:r>
        <w:rPr>
          <w:rFonts w:ascii="仿宋_GB2312" w:hAnsi="仿宋_GB2312" w:eastAsia="仿宋_GB2312"/>
          <w:b w:val="0"/>
          <w:sz w:val="32"/>
        </w:rPr>
        <w:t>占本年支出合计的96.85%。</w:t>
      </w:r>
      <w:r>
        <w:rPr>
          <w:rFonts w:ascii="仿宋_GB2312" w:hAnsi="仿宋_GB2312" w:eastAsia="仿宋_GB2312"/>
          <w:b/>
          <w:sz w:val="32"/>
        </w:rPr>
        <w:t>与上年相比，</w:t>
      </w:r>
      <w:r>
        <w:rPr>
          <w:rFonts w:ascii="仿宋_GB2312" w:hAnsi="仿宋_GB2312" w:eastAsia="仿宋_GB2312"/>
          <w:b w:val="0"/>
          <w:sz w:val="32"/>
        </w:rPr>
        <w:t>增加6.35万元，增长2.47%，主要原因是：本年公共体育场馆向社会免费或低收费开放</w:t>
      </w:r>
      <w:r>
        <w:rPr>
          <w:rFonts w:hint="eastAsia" w:ascii="仿宋_GB2312" w:hAnsi="仿宋_GB2312" w:eastAsia="仿宋_GB2312"/>
          <w:b w:val="0"/>
          <w:sz w:val="32"/>
          <w:lang w:eastAsia="zh-CN"/>
        </w:rPr>
        <w:t>补助</w:t>
      </w:r>
      <w:r>
        <w:rPr>
          <w:rFonts w:ascii="仿宋_GB2312" w:hAnsi="仿宋_GB2312" w:eastAsia="仿宋_GB2312"/>
          <w:b w:val="0"/>
          <w:sz w:val="32"/>
        </w:rPr>
        <w:t>资金较上年增加。</w:t>
      </w:r>
      <w:r>
        <w:rPr>
          <w:rFonts w:ascii="仿宋_GB2312" w:hAnsi="仿宋_GB2312" w:eastAsia="仿宋_GB2312"/>
          <w:b/>
          <w:sz w:val="32"/>
        </w:rPr>
        <w:t>与年初预算相比,</w:t>
      </w:r>
      <w:r>
        <w:rPr>
          <w:rFonts w:ascii="仿宋_GB2312" w:hAnsi="仿宋_GB2312" w:eastAsia="仿宋_GB2312"/>
          <w:b w:val="0"/>
          <w:sz w:val="32"/>
        </w:rPr>
        <w:t>年初预算数256.41万元，决算数263.15万元，预决算差异率2.63%，主要原因是：年中追加人员工资、社保、公积金基数调增部分资金，导致预决算存在差异。</w:t>
      </w:r>
    </w:p>
    <w:p w14:paraId="1285362D">
      <w:pPr>
        <w:spacing w:line="640" w:lineRule="exact"/>
        <w:ind w:firstLine="640"/>
        <w:jc w:val="both"/>
        <w:outlineLvl w:val="3"/>
      </w:pPr>
      <w:r>
        <w:rPr>
          <w:rFonts w:ascii="楷体_GB2312" w:hAnsi="楷体_GB2312" w:eastAsia="楷体_GB2312"/>
          <w:b/>
          <w:sz w:val="32"/>
        </w:rPr>
        <w:t>（二）一般公共预算财政拨款支出决算结构情况</w:t>
      </w:r>
    </w:p>
    <w:p w14:paraId="2311E0C4">
      <w:pPr>
        <w:spacing w:line="580" w:lineRule="exact"/>
        <w:ind w:firstLine="640"/>
        <w:jc w:val="both"/>
      </w:pPr>
      <w:r>
        <w:rPr>
          <w:rFonts w:ascii="仿宋_GB2312" w:hAnsi="仿宋_GB2312" w:eastAsia="仿宋_GB2312"/>
          <w:b w:val="0"/>
          <w:sz w:val="32"/>
        </w:rPr>
        <w:t>1.文化旅游体育与传媒支出(类)210.13万元,占79.85%。</w:t>
      </w:r>
    </w:p>
    <w:p w14:paraId="32D8A8B1">
      <w:pPr>
        <w:spacing w:line="580" w:lineRule="exact"/>
        <w:ind w:firstLine="640"/>
        <w:jc w:val="both"/>
      </w:pPr>
      <w:r>
        <w:rPr>
          <w:rFonts w:ascii="仿宋_GB2312" w:hAnsi="仿宋_GB2312" w:eastAsia="仿宋_GB2312"/>
          <w:b w:val="0"/>
          <w:sz w:val="32"/>
        </w:rPr>
        <w:t>2.社会保障和就业支出(类)29.91万元,占11.37%。</w:t>
      </w:r>
    </w:p>
    <w:p w14:paraId="59DE0619">
      <w:pPr>
        <w:spacing w:line="580" w:lineRule="exact"/>
        <w:ind w:firstLine="640"/>
        <w:jc w:val="both"/>
      </w:pPr>
      <w:r>
        <w:rPr>
          <w:rFonts w:ascii="仿宋_GB2312" w:hAnsi="仿宋_GB2312" w:eastAsia="仿宋_GB2312"/>
          <w:b w:val="0"/>
          <w:sz w:val="32"/>
        </w:rPr>
        <w:t>3.卫生健康支出(类)7.69万元,占2.92%。</w:t>
      </w:r>
    </w:p>
    <w:p w14:paraId="2419EF0A">
      <w:pPr>
        <w:spacing w:line="580" w:lineRule="exact"/>
        <w:ind w:firstLine="640"/>
        <w:jc w:val="both"/>
      </w:pPr>
      <w:r>
        <w:rPr>
          <w:rFonts w:ascii="仿宋_GB2312" w:hAnsi="仿宋_GB2312" w:eastAsia="仿宋_GB2312"/>
          <w:b w:val="0"/>
          <w:sz w:val="32"/>
        </w:rPr>
        <w:t>4.住房保障支出(类)15.41万元,占5.86%。</w:t>
      </w:r>
    </w:p>
    <w:p w14:paraId="5DB28B32">
      <w:pPr>
        <w:spacing w:line="640" w:lineRule="exact"/>
        <w:ind w:firstLine="640"/>
        <w:jc w:val="both"/>
        <w:outlineLvl w:val="3"/>
      </w:pPr>
      <w:r>
        <w:rPr>
          <w:rFonts w:ascii="楷体_GB2312" w:hAnsi="楷体_GB2312" w:eastAsia="楷体_GB2312"/>
          <w:b/>
          <w:sz w:val="32"/>
        </w:rPr>
        <w:t>（三）一般公共预算财政拨款支出决算具体情况</w:t>
      </w:r>
    </w:p>
    <w:p w14:paraId="16806E12">
      <w:pPr>
        <w:spacing w:line="580" w:lineRule="exact"/>
        <w:ind w:firstLine="640"/>
        <w:jc w:val="both"/>
      </w:pPr>
      <w:r>
        <w:rPr>
          <w:rFonts w:ascii="仿宋_GB2312" w:hAnsi="仿宋_GB2312" w:eastAsia="仿宋_GB2312"/>
          <w:b w:val="0"/>
          <w:sz w:val="32"/>
        </w:rPr>
        <w:t>1.文化旅游体育与传媒支出(类)体育(款)体育场馆(项):支出决算数为210.13万元，比上年决算增加11.41万元，增长5.74%,主要原因是：本年公共体育场馆向社会免费或低收费开放</w:t>
      </w:r>
      <w:r>
        <w:rPr>
          <w:rFonts w:hint="eastAsia" w:ascii="仿宋_GB2312" w:hAnsi="仿宋_GB2312" w:eastAsia="仿宋_GB2312"/>
          <w:b w:val="0"/>
          <w:sz w:val="32"/>
          <w:lang w:eastAsia="zh-CN"/>
        </w:rPr>
        <w:t>补助</w:t>
      </w:r>
      <w:r>
        <w:rPr>
          <w:rFonts w:ascii="仿宋_GB2312" w:hAnsi="仿宋_GB2312" w:eastAsia="仿宋_GB2312"/>
          <w:b w:val="0"/>
          <w:sz w:val="32"/>
        </w:rPr>
        <w:t>资金较上年增加。</w:t>
      </w:r>
    </w:p>
    <w:p w14:paraId="1D83B2CE">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2.社会保障和就业支出(类)行政事业单位养老支出(款)事业单位离退休(项):支出决算数为11.81万元，比上年决算增加2.85万元，增长31.81%,主要原因是：本年增加退休人员基础绩效奖，退休费支出增加。</w:t>
      </w:r>
    </w:p>
    <w:p w14:paraId="12298563">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18.10万元，比上年决算增加2.46万元，增长15.73%,主要原因是：本年在职人员工资基数调增，养老缴费基数上涨，相应支出增加。</w:t>
      </w:r>
    </w:p>
    <w:p w14:paraId="06CAB9AC">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4.社会保障和就业支出(类)行政事业单位养老支出(款)机关事业单位职业年金缴费支出(项):支出决算数为0.00万元，比上年决算减少6.98万元，下降100.00%,主要原因是：本年</w:t>
      </w:r>
      <w:r>
        <w:rPr>
          <w:rFonts w:hint="eastAsia" w:ascii="仿宋_GB2312" w:hAnsi="仿宋_GB2312" w:eastAsia="仿宋_GB2312"/>
          <w:b w:val="0"/>
          <w:sz w:val="32"/>
          <w:lang w:val="en-US" w:eastAsia="zh-CN"/>
        </w:rPr>
        <w:t>无</w:t>
      </w:r>
      <w:r>
        <w:rPr>
          <w:rFonts w:ascii="仿宋_GB2312" w:hAnsi="仿宋_GB2312" w:eastAsia="仿宋_GB2312"/>
          <w:b w:val="0"/>
          <w:sz w:val="32"/>
        </w:rPr>
        <w:t>新增退休人员，职业年金缴费较上年减少。</w:t>
      </w:r>
    </w:p>
    <w:p w14:paraId="4A266D3E">
      <w:pPr>
        <w:spacing w:line="580" w:lineRule="exact"/>
        <w:ind w:firstLine="640"/>
        <w:jc w:val="both"/>
      </w:pPr>
      <w:r>
        <w:rPr>
          <w:rFonts w:ascii="仿宋_GB2312" w:hAnsi="仿宋_GB2312" w:eastAsia="仿宋_GB2312"/>
          <w:b w:val="0"/>
          <w:sz w:val="32"/>
        </w:rPr>
        <w:t>5.社会保障和就业支出(类)抚恤(款)死亡抚恤(项):支出决算数为0.00万元，比上年决算减少7.07万元，下降100.00%,主要原因是：本年新增死亡人员较上年减少，死亡抚恤支出较上年减少。</w:t>
      </w:r>
    </w:p>
    <w:p w14:paraId="5E8FB369">
      <w:pPr>
        <w:spacing w:line="580" w:lineRule="exact"/>
        <w:ind w:firstLine="640"/>
        <w:jc w:val="both"/>
      </w:pPr>
      <w:r>
        <w:rPr>
          <w:rFonts w:ascii="仿宋_GB2312" w:hAnsi="仿宋_GB2312" w:eastAsia="仿宋_GB2312"/>
          <w:b w:val="0"/>
          <w:sz w:val="32"/>
        </w:rPr>
        <w:t>6.卫生健康支出(类)行政事业单位医疗(款)事业单位医疗(项):支出决算数为7.69万元，比上年决算增加1.07万元，增长16.16%,主要原因是：本年在职人员工资基数调增，医疗缴费基数上涨，相应支出增加。</w:t>
      </w:r>
    </w:p>
    <w:p w14:paraId="4CB1A3D5">
      <w:pPr>
        <w:spacing w:line="580" w:lineRule="exact"/>
        <w:ind w:firstLine="640"/>
        <w:jc w:val="both"/>
      </w:pPr>
      <w:r>
        <w:rPr>
          <w:rFonts w:ascii="仿宋_GB2312" w:hAnsi="仿宋_GB2312" w:eastAsia="仿宋_GB2312"/>
          <w:b w:val="0"/>
          <w:sz w:val="32"/>
        </w:rPr>
        <w:t>7.住房保障支出(类)住房改革支出(款)住房公积金(项):支出决算数为15.41万元，比上年决算增加2.61万元，增长20.39%,主要原因是：本年在职人员工资基数调增，公积金缴费基数上涨，相应支出增加。</w:t>
      </w:r>
    </w:p>
    <w:p w14:paraId="13486788">
      <w:pPr>
        <w:spacing w:line="640" w:lineRule="exact"/>
        <w:ind w:firstLine="640"/>
        <w:jc w:val="both"/>
        <w:outlineLvl w:val="2"/>
      </w:pPr>
      <w:r>
        <w:rPr>
          <w:rFonts w:ascii="黑体" w:hAnsi="黑体" w:eastAsia="黑体"/>
          <w:sz w:val="32"/>
        </w:rPr>
        <w:t>六、一般公共预算财政拨款基本支出决算情况说明</w:t>
      </w:r>
    </w:p>
    <w:p w14:paraId="00D9B03B">
      <w:pPr>
        <w:spacing w:line="580" w:lineRule="exact"/>
        <w:ind w:firstLine="640"/>
        <w:jc w:val="both"/>
      </w:pPr>
      <w:r>
        <w:rPr>
          <w:rFonts w:ascii="仿宋_GB2312" w:hAnsi="仿宋_GB2312" w:eastAsia="仿宋_GB2312"/>
          <w:b w:val="0"/>
          <w:sz w:val="32"/>
        </w:rPr>
        <w:t>2024年度一般公共预算财政拨款基本支出214.99万元，其中：</w:t>
      </w:r>
      <w:r>
        <w:rPr>
          <w:rFonts w:ascii="仿宋_GB2312" w:hAnsi="仿宋_GB2312" w:eastAsia="仿宋_GB2312"/>
          <w:b/>
          <w:sz w:val="32"/>
        </w:rPr>
        <w:t>人员经费207.86万元，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包括：基本工资、津贴补贴、奖金、绩效工资、机关事业单位基本养老保险缴费、职工基本医疗保险缴费、其他社会保障缴费、住房公积金、其他工资福利支出、退休费、奖励金、其他对个人和家庭的补助。</w:t>
      </w:r>
    </w:p>
    <w:p w14:paraId="6E41C600">
      <w:pPr>
        <w:spacing w:line="580" w:lineRule="exact"/>
        <w:ind w:firstLine="640"/>
        <w:jc w:val="both"/>
      </w:pPr>
      <w:r>
        <w:rPr>
          <w:rFonts w:ascii="仿宋_GB2312" w:hAnsi="仿宋_GB2312" w:eastAsia="仿宋_GB2312"/>
          <w:b/>
          <w:sz w:val="32"/>
        </w:rPr>
        <w:t>公用经费7.13万元，</w:t>
      </w:r>
      <w:r>
        <w:rPr>
          <w:rFonts w:ascii="仿宋_GB2312" w:hAnsi="仿宋_GB2312" w:eastAsia="仿宋_GB2312"/>
          <w:b w:val="0"/>
          <w:sz w:val="32"/>
        </w:rPr>
        <w:t>包括：办公费、邮电费、取暖费、差旅费、专用材料费、工会经费、其他交通费用、其他商品和服务支出。</w:t>
      </w:r>
    </w:p>
    <w:p w14:paraId="007DE020">
      <w:pPr>
        <w:spacing w:line="640" w:lineRule="exact"/>
        <w:ind w:firstLine="640"/>
        <w:jc w:val="both"/>
        <w:outlineLvl w:val="2"/>
      </w:pPr>
      <w:r>
        <w:rPr>
          <w:rFonts w:ascii="黑体" w:hAnsi="黑体" w:eastAsia="黑体"/>
          <w:sz w:val="32"/>
        </w:rPr>
        <w:t>七、政府性基金预算财政拨款收入支出决算情况说明</w:t>
      </w:r>
    </w:p>
    <w:p w14:paraId="39411440">
      <w:pPr>
        <w:spacing w:line="580" w:lineRule="exact"/>
        <w:ind w:firstLine="640"/>
        <w:jc w:val="both"/>
      </w:pPr>
      <w:r>
        <w:rPr>
          <w:rFonts w:ascii="仿宋_GB2312" w:hAnsi="仿宋_GB2312" w:eastAsia="仿宋_GB2312"/>
          <w:b/>
          <w:sz w:val="32"/>
        </w:rPr>
        <w:t>2024年度政府性基金预算财政拨款收入总计8.55万元，</w:t>
      </w:r>
      <w:r>
        <w:rPr>
          <w:rFonts w:ascii="仿宋_GB2312" w:hAnsi="仿宋_GB2312" w:eastAsia="仿宋_GB2312"/>
          <w:b w:val="0"/>
          <w:sz w:val="32"/>
        </w:rPr>
        <w:t>其中：年初结转和结余0.00万元，本年收入8.55万元。</w:t>
      </w:r>
      <w:r>
        <w:rPr>
          <w:rFonts w:ascii="仿宋_GB2312" w:hAnsi="仿宋_GB2312" w:eastAsia="仿宋_GB2312"/>
          <w:b/>
          <w:sz w:val="32"/>
        </w:rPr>
        <w:t>政府性基金预算财政拨款支出总计8.55万元，</w:t>
      </w:r>
      <w:r>
        <w:rPr>
          <w:rFonts w:ascii="仿宋_GB2312" w:hAnsi="仿宋_GB2312" w:eastAsia="仿宋_GB2312"/>
          <w:b w:val="0"/>
          <w:sz w:val="32"/>
        </w:rPr>
        <w:t>其中：年末结转和结余0.00万元，本年支出8.55万元。</w:t>
      </w:r>
    </w:p>
    <w:p w14:paraId="445F388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增加3.85万元，增长81.91%，主要原因是：本年公共体育场馆向社会免费或低收费开放补助资金较上年增加。</w:t>
      </w:r>
      <w:r>
        <w:rPr>
          <w:rFonts w:ascii="仿宋_GB2312" w:hAnsi="仿宋_GB2312" w:eastAsia="仿宋_GB2312"/>
          <w:b/>
          <w:sz w:val="32"/>
        </w:rPr>
        <w:t>与年初预算相比，</w:t>
      </w:r>
      <w:r>
        <w:rPr>
          <w:rFonts w:ascii="仿宋_GB2312" w:hAnsi="仿宋_GB2312" w:eastAsia="仿宋_GB2312"/>
          <w:b w:val="0"/>
          <w:sz w:val="32"/>
        </w:rPr>
        <w:t>年初预算数12.00万元，决算数8.55万元，预决算差异率-28.75%，主要原因是：</w:t>
      </w:r>
      <w:r>
        <w:rPr>
          <w:rFonts w:hint="eastAsia" w:ascii="仿宋_GB2312" w:hAnsi="仿宋_GB2312" w:eastAsia="仿宋_GB2312"/>
          <w:b w:val="0"/>
          <w:sz w:val="32"/>
        </w:rPr>
        <w:t>本年公共体育场馆向社会免费或低收费开放补助资金当年未支出完毕，结转到2025年</w:t>
      </w:r>
      <w:r>
        <w:rPr>
          <w:rFonts w:ascii="仿宋_GB2312" w:hAnsi="仿宋_GB2312" w:eastAsia="仿宋_GB2312"/>
          <w:b w:val="0"/>
          <w:sz w:val="32"/>
        </w:rPr>
        <w:t>。</w:t>
      </w:r>
    </w:p>
    <w:p w14:paraId="7392188E">
      <w:pPr>
        <w:spacing w:line="580" w:lineRule="exact"/>
        <w:ind w:firstLine="640"/>
        <w:jc w:val="both"/>
      </w:pPr>
      <w:r>
        <w:rPr>
          <w:rFonts w:ascii="仿宋_GB2312" w:hAnsi="仿宋_GB2312" w:eastAsia="仿宋_GB2312"/>
          <w:b w:val="0"/>
          <w:sz w:val="32"/>
        </w:rPr>
        <w:t>政府性基金预算财政拨款支出8.55万元。</w:t>
      </w:r>
    </w:p>
    <w:p w14:paraId="6CAB7C29">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8.55万元，比上年决算增加3.85万元，增长81.91%,主要原因是：本年公共体育场馆向社会免费或低收费开放补助资金较上年增加。</w:t>
      </w:r>
    </w:p>
    <w:p w14:paraId="1B9D5346">
      <w:pPr>
        <w:spacing w:line="640" w:lineRule="exact"/>
        <w:ind w:firstLine="640"/>
        <w:jc w:val="both"/>
        <w:outlineLvl w:val="2"/>
      </w:pPr>
      <w:r>
        <w:rPr>
          <w:rFonts w:ascii="黑体" w:hAnsi="黑体" w:eastAsia="黑体"/>
          <w:sz w:val="32"/>
        </w:rPr>
        <w:t>八、国有资本经营预算财政拨款收入支出决算情况说明</w:t>
      </w:r>
    </w:p>
    <w:p w14:paraId="3B9202EC">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3EB17B1">
      <w:pPr>
        <w:spacing w:line="640" w:lineRule="exact"/>
        <w:ind w:firstLine="640"/>
        <w:jc w:val="both"/>
        <w:outlineLvl w:val="2"/>
      </w:pPr>
      <w:r>
        <w:rPr>
          <w:rFonts w:ascii="黑体" w:hAnsi="黑体" w:eastAsia="黑体"/>
          <w:sz w:val="32"/>
        </w:rPr>
        <w:t>九、财政拨款“三公”经费支出决算情况说明</w:t>
      </w:r>
    </w:p>
    <w:p w14:paraId="51F4FD0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A99B812">
      <w:pPr>
        <w:spacing w:line="580" w:lineRule="exact"/>
        <w:ind w:firstLine="640"/>
        <w:jc w:val="both"/>
      </w:pPr>
      <w:r>
        <w:rPr>
          <w:rFonts w:ascii="仿宋_GB2312" w:hAnsi="仿宋_GB2312" w:eastAsia="仿宋_GB2312"/>
          <w:b/>
          <w:sz w:val="32"/>
        </w:rPr>
        <w:t>具体情况如下：</w:t>
      </w:r>
    </w:p>
    <w:p w14:paraId="12681804">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0AF0229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5BCD7E3C">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44FB24E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72E7E885">
      <w:pPr>
        <w:spacing w:line="640" w:lineRule="exact"/>
        <w:ind w:firstLine="640"/>
        <w:jc w:val="both"/>
        <w:outlineLvl w:val="2"/>
      </w:pPr>
      <w:r>
        <w:rPr>
          <w:rFonts w:ascii="黑体" w:hAnsi="黑体" w:eastAsia="黑体"/>
          <w:sz w:val="32"/>
        </w:rPr>
        <w:t>十、其他重要事项的情况说明</w:t>
      </w:r>
    </w:p>
    <w:p w14:paraId="6CD20C8C">
      <w:pPr>
        <w:spacing w:line="640" w:lineRule="exact"/>
        <w:ind w:firstLine="640"/>
        <w:jc w:val="both"/>
        <w:outlineLvl w:val="3"/>
      </w:pPr>
      <w:r>
        <w:rPr>
          <w:rFonts w:ascii="楷体_GB2312" w:hAnsi="楷体_GB2312" w:eastAsia="楷体_GB2312"/>
          <w:b/>
          <w:sz w:val="32"/>
        </w:rPr>
        <w:t>（一）机关运行经费及公用经费支出情况</w:t>
      </w:r>
    </w:p>
    <w:p w14:paraId="7A6C6137">
      <w:pPr>
        <w:spacing w:line="580" w:lineRule="exact"/>
        <w:ind w:firstLine="640"/>
        <w:jc w:val="both"/>
      </w:pPr>
      <w:r>
        <w:rPr>
          <w:rFonts w:ascii="仿宋_GB2312" w:hAnsi="仿宋_GB2312" w:eastAsia="仿宋_GB2312"/>
          <w:b w:val="0"/>
          <w:sz w:val="32"/>
        </w:rPr>
        <w:t>2024年度喀什地区体育馆（事业单位）公用经费支出7.13万元，比上年减少2.69万元，下降27.39%，主要原因是：严格控制公用经费，合理节约办公用品，减少不必要开支。</w:t>
      </w:r>
    </w:p>
    <w:p w14:paraId="59F4E9B8">
      <w:pPr>
        <w:spacing w:line="640" w:lineRule="exact"/>
        <w:ind w:firstLine="640"/>
        <w:jc w:val="both"/>
        <w:outlineLvl w:val="3"/>
      </w:pPr>
      <w:r>
        <w:rPr>
          <w:rFonts w:ascii="楷体_GB2312" w:hAnsi="楷体_GB2312" w:eastAsia="楷体_GB2312"/>
          <w:b/>
          <w:sz w:val="32"/>
        </w:rPr>
        <w:t>（二）政府采购情况</w:t>
      </w:r>
    </w:p>
    <w:p w14:paraId="057FC43C">
      <w:pPr>
        <w:spacing w:line="580" w:lineRule="exact"/>
        <w:ind w:firstLine="640"/>
        <w:jc w:val="both"/>
      </w:pPr>
      <w:r>
        <w:rPr>
          <w:rFonts w:ascii="仿宋_GB2312" w:hAnsi="仿宋_GB2312" w:eastAsia="仿宋_GB2312"/>
          <w:b w:val="0"/>
          <w:sz w:val="32"/>
        </w:rPr>
        <w:t>2024年度政府采购支出总额47.76万元，其中：政府采购货物支出15.72万元、政府采购工程支出3.00万元、政府采购服务支出29.04万元。</w:t>
      </w:r>
    </w:p>
    <w:p w14:paraId="680FC666">
      <w:pPr>
        <w:spacing w:line="580" w:lineRule="exact"/>
        <w:ind w:firstLine="640"/>
        <w:jc w:val="both"/>
      </w:pPr>
      <w:r>
        <w:rPr>
          <w:rFonts w:ascii="仿宋_GB2312" w:hAnsi="仿宋_GB2312" w:eastAsia="仿宋_GB2312"/>
          <w:b w:val="0"/>
          <w:sz w:val="32"/>
        </w:rPr>
        <w:t>授予中小企业合同金额47.76万元，占政府采购支出总额的100.00%，其中：授予小微企业合同金额47.76万元，占政府采购支出总额的100.00%。</w:t>
      </w:r>
    </w:p>
    <w:p w14:paraId="32E4F47C">
      <w:pPr>
        <w:spacing w:line="640" w:lineRule="exact"/>
        <w:ind w:firstLine="640"/>
        <w:jc w:val="both"/>
        <w:outlineLvl w:val="3"/>
      </w:pPr>
      <w:r>
        <w:rPr>
          <w:rFonts w:ascii="楷体_GB2312" w:hAnsi="楷体_GB2312" w:eastAsia="楷体_GB2312"/>
          <w:b/>
          <w:sz w:val="32"/>
        </w:rPr>
        <w:t>（三）国有资产占用情况说明</w:t>
      </w:r>
    </w:p>
    <w:p w14:paraId="58D8F0E8">
      <w:pPr>
        <w:spacing w:line="580" w:lineRule="exact"/>
        <w:ind w:firstLine="640"/>
        <w:jc w:val="both"/>
      </w:pPr>
      <w:r>
        <w:rPr>
          <w:rFonts w:ascii="仿宋_GB2312" w:hAnsi="仿宋_GB2312" w:eastAsia="仿宋_GB2312"/>
          <w:b w:val="0"/>
          <w:sz w:val="32"/>
        </w:rPr>
        <w:t>截至2024年12月31日，房屋6,048.00平方米，价值931.00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0台（套）。</w:t>
      </w:r>
    </w:p>
    <w:p w14:paraId="24888482">
      <w:pPr>
        <w:spacing w:line="640" w:lineRule="exact"/>
        <w:ind w:firstLine="640"/>
        <w:jc w:val="both"/>
        <w:outlineLvl w:val="2"/>
      </w:pPr>
      <w:r>
        <w:rPr>
          <w:rFonts w:ascii="黑体" w:hAnsi="黑体" w:eastAsia="黑体"/>
          <w:sz w:val="32"/>
        </w:rPr>
        <w:t>十一、预算绩效的情况说明</w:t>
      </w:r>
    </w:p>
    <w:p w14:paraId="3131F8DB">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根据预算绩效管理要求，本部门2024年度预算绩效管理形成整体支出绩效自评表1个，全年预算总额276.99万元，实际执行总额271.70万元；预算绩效评价项目2个，全年预算数62.00万元，全年执</w:t>
      </w:r>
      <w:bookmarkStart w:id="0" w:name="_GoBack"/>
      <w:bookmarkEnd w:id="0"/>
      <w:r>
        <w:rPr>
          <w:rFonts w:ascii="仿宋_GB2312" w:hAnsi="仿宋_GB2312" w:eastAsia="仿宋_GB2312"/>
          <w:b w:val="0"/>
          <w:sz w:val="32"/>
        </w:rPr>
        <w:t>行数56.71万元。预算绩效管理取得的成效：一是评价小组成员应包含单位领导、项目负责人、财务负责人和行业专家，不同的岗位和职责应用和发挥自身专业和岗位作用；</w:t>
      </w:r>
      <w:r>
        <w:rPr>
          <w:rFonts w:hint="eastAsia" w:ascii="仿宋_GB2312" w:hAnsi="仿宋_GB2312" w:eastAsia="仿宋_GB2312"/>
          <w:b w:val="0"/>
          <w:sz w:val="32"/>
        </w:rPr>
        <w:t>二是加强组织领导，本项目绩效评价工作，有主要领导亲自挂帅，分管领导具体负责，从项目到资金，均能够很好地执行；三是加强沟通协调，我单位及时向主管领导汇报项目进度，确保项目按期完工</w:t>
      </w:r>
      <w:r>
        <w:rPr>
          <w:rFonts w:ascii="仿宋_GB2312" w:hAnsi="仿宋_GB2312" w:eastAsia="仿宋_GB2312"/>
          <w:b w:val="0"/>
          <w:sz w:val="32"/>
        </w:rPr>
        <w:t>。发现的问题及原因：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下一步改进措施：一是项目前期做好可行性研究报告，更加细化实施方案，严格执行资金管理办法和财政资金管理制度，严格按照项目实施方案、招投标管理办法等稳步推进工作，各部门单位根据自己项目的特点进行总结。二是项目启动时同步做好档案的归纳与整理，及时整理、收集、汇总，健全档案资料。项目后续管理有待进一步加强和跟踪。三是通过绩效管理，发现实施中存在漏洞，以后加强管理，及时掌握与之相关的各类信息，减少成本，使资金效益最大化。四是评价工作应从项目实施方案源头抓起，评价工作和意识应贯穿项目整个过程。具体附部门整体支出绩效自评表，项目支出绩效自评表和部门评价报告。</w:t>
      </w:r>
    </w:p>
    <w:p w14:paraId="7B8ECF4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8341471">
        <w:tblPrEx>
          <w:tblCellMar>
            <w:top w:w="0" w:type="dxa"/>
            <w:left w:w="108" w:type="dxa"/>
            <w:bottom w:w="0" w:type="dxa"/>
            <w:right w:w="108" w:type="dxa"/>
          </w:tblCellMar>
        </w:tblPrEx>
        <w:tc>
          <w:tcPr>
            <w:tcW w:w="8847" w:type="dxa"/>
            <w:gridSpan w:val="9"/>
            <w:vAlign w:val="center"/>
          </w:tcPr>
          <w:p w14:paraId="6F0D699E">
            <w:pPr>
              <w:jc w:val="center"/>
            </w:pPr>
            <w:r>
              <w:rPr>
                <w:rFonts w:ascii="宋体" w:hAnsi="宋体" w:eastAsia="宋体"/>
                <w:sz w:val="24"/>
              </w:rPr>
              <w:t>部门整体支出绩效自评表</w:t>
            </w:r>
          </w:p>
        </w:tc>
      </w:tr>
      <w:tr w14:paraId="5BC46549">
        <w:tblPrEx>
          <w:tblCellMar>
            <w:top w:w="0" w:type="dxa"/>
            <w:left w:w="108" w:type="dxa"/>
            <w:bottom w:w="0" w:type="dxa"/>
            <w:right w:w="108" w:type="dxa"/>
          </w:tblCellMar>
        </w:tblPrEx>
        <w:tc>
          <w:tcPr>
            <w:tcW w:w="8847" w:type="dxa"/>
            <w:gridSpan w:val="9"/>
            <w:vAlign w:val="center"/>
          </w:tcPr>
          <w:p w14:paraId="203FB226">
            <w:pPr>
              <w:jc w:val="center"/>
            </w:pPr>
            <w:r>
              <w:rPr>
                <w:rFonts w:ascii="宋体" w:hAnsi="宋体" w:eastAsia="宋体"/>
                <w:sz w:val="24"/>
              </w:rPr>
              <w:t>（2024年度）</w:t>
            </w:r>
          </w:p>
        </w:tc>
      </w:tr>
      <w:tr w14:paraId="2D3C2FD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184AB">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AABFB63">
            <w:pPr>
              <w:jc w:val="center"/>
            </w:pPr>
            <w:r>
              <w:rPr>
                <w:rFonts w:ascii="宋体" w:hAnsi="宋体" w:eastAsia="宋体"/>
                <w:sz w:val="16"/>
              </w:rPr>
              <w:t>喀什地区体育馆</w:t>
            </w:r>
          </w:p>
        </w:tc>
      </w:tr>
      <w:tr w14:paraId="103A384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0848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3B5E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DC8E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3C66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3E568">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6B5A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9978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A56B1">
            <w:pPr>
              <w:jc w:val="center"/>
            </w:pPr>
            <w:r>
              <w:rPr>
                <w:rFonts w:ascii="宋体" w:hAnsi="宋体" w:eastAsia="宋体"/>
                <w:sz w:val="16"/>
              </w:rPr>
              <w:t>得分</w:t>
            </w:r>
          </w:p>
        </w:tc>
      </w:tr>
      <w:tr w14:paraId="53018F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0F38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F4E4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8AE26">
            <w:pPr>
              <w:jc w:val="center"/>
            </w:pPr>
            <w:r>
              <w:rPr>
                <w:rFonts w:ascii="宋体" w:hAnsi="宋体" w:eastAsia="宋体"/>
                <w:sz w:val="16"/>
              </w:rPr>
              <w:t>268.41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26672">
            <w:pPr>
              <w:jc w:val="center"/>
            </w:pPr>
            <w:r>
              <w:rPr>
                <w:rFonts w:ascii="宋体" w:hAnsi="宋体" w:eastAsia="宋体"/>
                <w:sz w:val="16"/>
              </w:rPr>
              <w:t>276.99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73EBC">
            <w:pPr>
              <w:jc w:val="center"/>
            </w:pPr>
            <w:r>
              <w:rPr>
                <w:rFonts w:ascii="宋体" w:hAnsi="宋体" w:eastAsia="宋体"/>
                <w:sz w:val="16"/>
              </w:rPr>
              <w:t>271.70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FEE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7BE04">
            <w:pPr>
              <w:jc w:val="center"/>
            </w:pPr>
            <w:r>
              <w:rPr>
                <w:rFonts w:ascii="宋体" w:hAnsi="宋体" w:eastAsia="宋体"/>
                <w:sz w:val="16"/>
              </w:rPr>
              <w:t>98.09%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B694E">
            <w:pPr>
              <w:jc w:val="center"/>
            </w:pPr>
            <w:r>
              <w:rPr>
                <w:rFonts w:ascii="宋体" w:hAnsi="宋体" w:eastAsia="宋体"/>
                <w:sz w:val="16"/>
              </w:rPr>
              <w:t>9.81</w:t>
            </w:r>
          </w:p>
        </w:tc>
      </w:tr>
      <w:tr w14:paraId="2805E2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8EEB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5545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9A85D">
            <w:pPr>
              <w:jc w:val="center"/>
            </w:pPr>
            <w:r>
              <w:rPr>
                <w:rFonts w:ascii="宋体" w:hAnsi="宋体" w:eastAsia="宋体"/>
                <w:sz w:val="16"/>
              </w:rPr>
              <w:t>62.00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B0A7D">
            <w:pPr>
              <w:jc w:val="center"/>
            </w:pPr>
            <w:r>
              <w:rPr>
                <w:rFonts w:ascii="宋体" w:hAnsi="宋体" w:eastAsia="宋体"/>
                <w:sz w:val="16"/>
              </w:rPr>
              <w:t>65.12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1C49A">
            <w:pPr>
              <w:jc w:val="center"/>
            </w:pPr>
            <w:r>
              <w:rPr>
                <w:rFonts w:ascii="宋体" w:hAnsi="宋体" w:eastAsia="宋体"/>
                <w:sz w:val="16"/>
              </w:rPr>
              <w:t>59.83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907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3793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C214D">
            <w:pPr>
              <w:jc w:val="center"/>
            </w:pPr>
            <w:r>
              <w:rPr>
                <w:rFonts w:ascii="宋体" w:hAnsi="宋体" w:eastAsia="宋体"/>
                <w:sz w:val="16"/>
              </w:rPr>
              <w:t>—</w:t>
            </w:r>
          </w:p>
        </w:tc>
      </w:tr>
      <w:tr w14:paraId="5013E8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CF95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625C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88F97">
            <w:pPr>
              <w:jc w:val="center"/>
            </w:pPr>
            <w:r>
              <w:rPr>
                <w:rFonts w:ascii="宋体" w:hAnsi="宋体" w:eastAsia="宋体"/>
                <w:sz w:val="16"/>
              </w:rPr>
              <w:t>206.41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D5B5B">
            <w:pPr>
              <w:jc w:val="center"/>
            </w:pPr>
            <w:r>
              <w:rPr>
                <w:rFonts w:ascii="宋体" w:hAnsi="宋体" w:eastAsia="宋体"/>
                <w:sz w:val="16"/>
              </w:rPr>
              <w:t>211.87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C17C8">
            <w:pPr>
              <w:jc w:val="center"/>
            </w:pPr>
            <w:r>
              <w:rPr>
                <w:rFonts w:ascii="宋体" w:hAnsi="宋体" w:eastAsia="宋体"/>
                <w:sz w:val="16"/>
              </w:rPr>
              <w:t>211.87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1DA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20B9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1D1F5">
            <w:pPr>
              <w:jc w:val="center"/>
            </w:pPr>
            <w:r>
              <w:rPr>
                <w:rFonts w:ascii="宋体" w:hAnsi="宋体" w:eastAsia="宋体"/>
                <w:sz w:val="16"/>
              </w:rPr>
              <w:t>—</w:t>
            </w:r>
          </w:p>
        </w:tc>
      </w:tr>
      <w:tr w14:paraId="6EDB7C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0DCB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4215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D34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1188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59A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C29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7D37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9A776">
            <w:pPr>
              <w:jc w:val="center"/>
            </w:pPr>
            <w:r>
              <w:rPr>
                <w:rFonts w:ascii="宋体" w:hAnsi="宋体" w:eastAsia="宋体"/>
                <w:sz w:val="16"/>
              </w:rPr>
              <w:t>—</w:t>
            </w:r>
          </w:p>
        </w:tc>
      </w:tr>
      <w:tr w14:paraId="3EF226F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49B3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BDD09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5AA51F">
            <w:pPr>
              <w:jc w:val="center"/>
            </w:pPr>
            <w:r>
              <w:rPr>
                <w:rFonts w:ascii="宋体" w:hAnsi="宋体" w:eastAsia="宋体"/>
                <w:sz w:val="16"/>
              </w:rPr>
              <w:t>实际完成情况</w:t>
            </w:r>
          </w:p>
        </w:tc>
      </w:tr>
      <w:tr w14:paraId="0F23F1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B3180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7E259B">
            <w:pPr>
              <w:jc w:val="both"/>
            </w:pPr>
            <w:r>
              <w:rPr>
                <w:rFonts w:ascii="宋体" w:hAnsi="宋体" w:eastAsia="宋体"/>
                <w:sz w:val="16"/>
              </w:rPr>
              <w:t>体育馆负责对各类体育训练、比赛及地区的政治文化体育活动等提供相应的场馆服务、后勤保障工作；负责协助有关部门做好对各类体育人才的培养、培训。体育馆全年免费开放率100%。体育馆区域内的公共体育场地、设施全年免费开放时长大于等于330天，每周免费开放时长大于等于35小时，每天免费开放时长大于等于12小时。公休日、国家法定节假日和学校寒暑假期间每天免费开放时长大于等于8小时。有效提升群众身体素质，丰富群众精神文化生活，激发全民体育健身氛围。</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58F95D">
            <w:pPr>
              <w:jc w:val="both"/>
            </w:pPr>
            <w:r>
              <w:rPr>
                <w:rFonts w:hint="eastAsia" w:ascii="宋体" w:hAnsi="宋体"/>
                <w:sz w:val="16"/>
                <w:lang w:eastAsia="zh-CN"/>
              </w:rPr>
              <w:t>本部门</w:t>
            </w:r>
            <w:r>
              <w:rPr>
                <w:rFonts w:ascii="宋体" w:hAnsi="宋体" w:eastAsia="宋体"/>
                <w:sz w:val="16"/>
              </w:rPr>
              <w:t>体育场馆全年免费开放率100%，体育场馆和区域内的公共体育场地、设施全年免费开放时长330天，每周免费开放时长35小时，每天免费开放时长12小时，公休日、国家法定节假日和学校寒暑假期间每天免费开放时长8小时。推动了全民健身活动开展，丰富群众精神文化生活，增强群众身体素质，促进了我区体育事业开展，为各族群众提供良好的健身环境。广泛开展全民健身活动。立足地区实际，成功举办了少数民族传统体育运动会、地区直属机关首届职工运动会、喀什马拉松、冰雪季·嘉年华第二届冬季运动会等10余场赛事，承办自治区第一届智力运动会及2024年棋牌项目西部行新疆站活动、自治区第六届老年运动会、全国钓鱼大赛，开展“8.8”全民健身日系列活动暨“有肌人生·健康未来”体育科普中国行活动、2024年中国职工体质检测万里行助力职工健康（新疆站）活动、在第一届全国全民健身大赛总决赛足球（五人制）比赛中岳普湖代表队获得季军；参加自治区2024年女性社会体育指导员技能交流展示大会荣获健身操舞类、科学健身创新项目、优秀社会体育指导员故事宣讲和科学健身指导教学第二名，最具特色奖和优秀组织奖。竞技体育比赛成绩斐然。一是组织583名运动员，参加2024年自治区青少年锦标赛的足球、田径、柔道、跆拳道、国际式摔跤、排球、沙滩排球、拳击、武术散打、篮球、三人篮球、乒乓球、游泳、航模、武术、轮滑、羽毛球、举重等18个项目，夺得56金43银46铜共145枚奖牌。二是组队参加2024年中西部青少年足球邀请赛， 获得勇于拼搏奖2名（男女各1名）、最佳球员奖2名（男女各1名）、最佳射手奖2名（男女各1名）、最佳守门员奖1名（男子队）、优秀教练员奖1名（男队教练），道德风尚奖2个（男女队均获），公平竞争奖共设6个奖项，喀什荣获2个（男女队均获），优秀奖共设10个奖项，喀什荣获2个（男女队均获），优胜奖共设3个奖项，喀什荣获1个（男子队）。三是组队参加2024年第十届全国大众冰雪季“雪耀天山”自治区雪地足球比赛，获得体育道德风尚奖。四是组队参加克拉玛依市第二届“为梦想加油”兵、地、油全疆篮球邀请赛获得男子组全疆冠军。</w:t>
            </w:r>
          </w:p>
        </w:tc>
      </w:tr>
      <w:tr w14:paraId="027B28A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2E8D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F3BF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42EC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E0BC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1D75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4AAB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9C27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8FA8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6DDCD">
            <w:pPr>
              <w:jc w:val="center"/>
            </w:pPr>
            <w:r>
              <w:rPr>
                <w:rFonts w:ascii="宋体" w:hAnsi="宋体" w:eastAsia="宋体"/>
                <w:sz w:val="16"/>
              </w:rPr>
              <w:t>得分</w:t>
            </w:r>
          </w:p>
        </w:tc>
      </w:tr>
      <w:tr w14:paraId="2B661B9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2D464">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2489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8E028">
            <w:pPr>
              <w:jc w:val="center"/>
            </w:pPr>
            <w:r>
              <w:rPr>
                <w:rFonts w:ascii="宋体" w:hAnsi="宋体" w:eastAsia="宋体"/>
                <w:sz w:val="16"/>
              </w:rPr>
              <w:t>全年免费开放率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051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C547E">
            <w:pPr>
              <w:jc w:val="center"/>
            </w:pPr>
            <w:r>
              <w:rPr>
                <w:rFonts w:ascii="宋体" w:hAnsi="宋体" w:eastAsia="宋体"/>
                <w:sz w:val="16"/>
              </w:rPr>
              <w:t>公共体育场馆基本公共服务规范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2D8F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482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FCF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CB5E1">
            <w:pPr>
              <w:jc w:val="center"/>
            </w:pPr>
            <w:r>
              <w:rPr>
                <w:rFonts w:ascii="宋体" w:hAnsi="宋体" w:eastAsia="宋体"/>
                <w:sz w:val="16"/>
              </w:rPr>
              <w:t>18</w:t>
            </w:r>
          </w:p>
        </w:tc>
      </w:tr>
      <w:tr w14:paraId="655AAE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5774F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5DEC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D5619">
            <w:pPr>
              <w:jc w:val="center"/>
            </w:pPr>
            <w:r>
              <w:rPr>
                <w:rFonts w:ascii="宋体" w:hAnsi="宋体" w:eastAsia="宋体"/>
                <w:sz w:val="16"/>
              </w:rPr>
              <w:t>体育馆区域内的公共体育场地、设施全年免费开放时长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1DBA6">
            <w:pPr>
              <w:jc w:val="center"/>
            </w:pPr>
            <w:r>
              <w:rPr>
                <w:rFonts w:ascii="宋体" w:hAnsi="宋体" w:eastAsia="宋体"/>
                <w:sz w:val="16"/>
              </w:rPr>
              <w:t>&gt;=330天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18CD8">
            <w:pPr>
              <w:jc w:val="center"/>
            </w:pPr>
            <w:r>
              <w:rPr>
                <w:rFonts w:ascii="宋体" w:hAnsi="宋体" w:eastAsia="宋体"/>
                <w:sz w:val="16"/>
              </w:rPr>
              <w:t>公共体育场馆基本公共服务规范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5D3C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427C8">
            <w:pPr>
              <w:jc w:val="center"/>
            </w:pPr>
            <w:r>
              <w:rPr>
                <w:rFonts w:ascii="宋体" w:hAnsi="宋体" w:eastAsia="宋体"/>
                <w:sz w:val="16"/>
              </w:rPr>
              <w:t>330天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19F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92AAC">
            <w:pPr>
              <w:jc w:val="center"/>
            </w:pPr>
            <w:r>
              <w:rPr>
                <w:rFonts w:ascii="宋体" w:hAnsi="宋体" w:eastAsia="宋体"/>
                <w:sz w:val="16"/>
              </w:rPr>
              <w:t>18</w:t>
            </w:r>
          </w:p>
        </w:tc>
      </w:tr>
      <w:tr w14:paraId="33BACC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18BD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18F5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D0CBE">
            <w:pPr>
              <w:jc w:val="center"/>
            </w:pPr>
            <w:r>
              <w:rPr>
                <w:rFonts w:ascii="宋体" w:hAnsi="宋体" w:eastAsia="宋体"/>
                <w:sz w:val="16"/>
              </w:rPr>
              <w:t>体育馆区域内的公共体育场地、设施每周免费开放时长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79CCE">
            <w:pPr>
              <w:jc w:val="center"/>
            </w:pPr>
            <w:r>
              <w:rPr>
                <w:rFonts w:ascii="宋体" w:hAnsi="宋体" w:eastAsia="宋体"/>
                <w:sz w:val="16"/>
              </w:rPr>
              <w:t>&gt;=35小时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FFED3">
            <w:pPr>
              <w:jc w:val="center"/>
            </w:pPr>
            <w:r>
              <w:rPr>
                <w:rFonts w:ascii="宋体" w:hAnsi="宋体" w:eastAsia="宋体"/>
                <w:sz w:val="16"/>
              </w:rPr>
              <w:t>公共体育场馆基本公共服务规范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B93F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EAB60">
            <w:pPr>
              <w:jc w:val="center"/>
            </w:pPr>
            <w:r>
              <w:rPr>
                <w:rFonts w:ascii="宋体" w:hAnsi="宋体" w:eastAsia="宋体"/>
                <w:sz w:val="16"/>
              </w:rPr>
              <w:t>35小时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D31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FEA3D">
            <w:pPr>
              <w:jc w:val="center"/>
            </w:pPr>
            <w:r>
              <w:rPr>
                <w:rFonts w:ascii="宋体" w:hAnsi="宋体" w:eastAsia="宋体"/>
                <w:sz w:val="16"/>
              </w:rPr>
              <w:t>18</w:t>
            </w:r>
          </w:p>
        </w:tc>
      </w:tr>
      <w:tr w14:paraId="483E98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1C78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8D56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2A197">
            <w:pPr>
              <w:jc w:val="center"/>
            </w:pPr>
            <w:r>
              <w:rPr>
                <w:rFonts w:ascii="宋体" w:hAnsi="宋体" w:eastAsia="宋体"/>
                <w:sz w:val="16"/>
              </w:rPr>
              <w:t>体育馆所属户外公共区域及户外健身器材每天免费开放时长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C401F">
            <w:pPr>
              <w:jc w:val="center"/>
            </w:pPr>
            <w:r>
              <w:rPr>
                <w:rFonts w:ascii="宋体" w:hAnsi="宋体" w:eastAsia="宋体"/>
                <w:sz w:val="16"/>
              </w:rPr>
              <w:t>&gt;=12小时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F0852">
            <w:pPr>
              <w:jc w:val="center"/>
            </w:pPr>
            <w:r>
              <w:rPr>
                <w:rFonts w:ascii="宋体" w:hAnsi="宋体" w:eastAsia="宋体"/>
                <w:sz w:val="16"/>
              </w:rPr>
              <w:t>公共体育场馆基本公共服务规范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2C62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0141D">
            <w:pPr>
              <w:jc w:val="center"/>
            </w:pPr>
            <w:r>
              <w:rPr>
                <w:rFonts w:ascii="宋体" w:hAnsi="宋体" w:eastAsia="宋体"/>
                <w:sz w:val="16"/>
              </w:rPr>
              <w:t>12小时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6D3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B9FC9">
            <w:pPr>
              <w:jc w:val="center"/>
            </w:pPr>
            <w:r>
              <w:rPr>
                <w:rFonts w:ascii="宋体" w:hAnsi="宋体" w:eastAsia="宋体"/>
                <w:sz w:val="16"/>
              </w:rPr>
              <w:t>18</w:t>
            </w:r>
          </w:p>
        </w:tc>
      </w:tr>
      <w:tr w14:paraId="1204FF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EBD2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722F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0A485">
            <w:pPr>
              <w:jc w:val="center"/>
            </w:pPr>
            <w:r>
              <w:rPr>
                <w:rFonts w:ascii="宋体" w:hAnsi="宋体" w:eastAsia="宋体"/>
                <w:sz w:val="16"/>
              </w:rPr>
              <w:t>公休日、国家法定节假日和学校寒暑假期间每天免费开放时长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E219E">
            <w:pPr>
              <w:jc w:val="center"/>
            </w:pPr>
            <w:r>
              <w:rPr>
                <w:rFonts w:ascii="宋体" w:hAnsi="宋体" w:eastAsia="宋体"/>
                <w:sz w:val="16"/>
              </w:rPr>
              <w:t>&gt;=8小时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D287F">
            <w:pPr>
              <w:jc w:val="center"/>
            </w:pPr>
            <w:r>
              <w:rPr>
                <w:rFonts w:ascii="宋体" w:hAnsi="宋体" w:eastAsia="宋体"/>
                <w:sz w:val="16"/>
              </w:rPr>
              <w:t>公共体育场馆基本公共服务规范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0FE5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47857">
            <w:pPr>
              <w:jc w:val="center"/>
            </w:pPr>
            <w:r>
              <w:rPr>
                <w:rFonts w:ascii="宋体" w:hAnsi="宋体" w:eastAsia="宋体"/>
                <w:sz w:val="16"/>
              </w:rPr>
              <w:t>8小时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13A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26626">
            <w:pPr>
              <w:jc w:val="center"/>
            </w:pPr>
            <w:r>
              <w:rPr>
                <w:rFonts w:ascii="宋体" w:hAnsi="宋体" w:eastAsia="宋体"/>
                <w:sz w:val="16"/>
              </w:rPr>
              <w:t>18</w:t>
            </w:r>
          </w:p>
        </w:tc>
      </w:tr>
    </w:tbl>
    <w:p w14:paraId="325714B7">
      <w:r>
        <w:br w:type="page"/>
      </w:r>
    </w:p>
    <w:tbl>
      <w:tblPr>
        <w:tblStyle w:val="9"/>
        <w:tblW w:w="0" w:type="auto"/>
        <w:tblInd w:w="0" w:type="dxa"/>
        <w:tblLayout w:type="autofit"/>
        <w:tblCellMar>
          <w:top w:w="0" w:type="dxa"/>
          <w:left w:w="108" w:type="dxa"/>
          <w:bottom w:w="0" w:type="dxa"/>
          <w:right w:w="108" w:type="dxa"/>
        </w:tblCellMar>
      </w:tblPr>
      <w:tblGrid>
        <w:gridCol w:w="629"/>
        <w:gridCol w:w="626"/>
        <w:gridCol w:w="626"/>
        <w:gridCol w:w="696"/>
        <w:gridCol w:w="776"/>
        <w:gridCol w:w="626"/>
        <w:gridCol w:w="626"/>
        <w:gridCol w:w="628"/>
        <w:gridCol w:w="626"/>
        <w:gridCol w:w="626"/>
        <w:gridCol w:w="696"/>
        <w:gridCol w:w="632"/>
        <w:gridCol w:w="617"/>
        <w:gridCol w:w="630"/>
      </w:tblGrid>
      <w:tr w14:paraId="7E9B9DAA">
        <w:tblPrEx>
          <w:tblCellMar>
            <w:top w:w="0" w:type="dxa"/>
            <w:left w:w="108" w:type="dxa"/>
            <w:bottom w:w="0" w:type="dxa"/>
            <w:right w:w="108" w:type="dxa"/>
          </w:tblCellMar>
        </w:tblPrEx>
        <w:tc>
          <w:tcPr>
            <w:tcW w:w="8848" w:type="dxa"/>
            <w:gridSpan w:val="14"/>
            <w:vAlign w:val="center"/>
          </w:tcPr>
          <w:p w14:paraId="71C656CC">
            <w:pPr>
              <w:jc w:val="center"/>
            </w:pPr>
            <w:r>
              <w:rPr>
                <w:rFonts w:ascii="宋体" w:hAnsi="宋体" w:eastAsia="宋体"/>
                <w:sz w:val="24"/>
              </w:rPr>
              <w:t>项目支出绩效自评表</w:t>
            </w:r>
          </w:p>
        </w:tc>
      </w:tr>
      <w:tr w14:paraId="64FE3E32">
        <w:tblPrEx>
          <w:tblCellMar>
            <w:top w:w="0" w:type="dxa"/>
            <w:left w:w="108" w:type="dxa"/>
            <w:bottom w:w="0" w:type="dxa"/>
            <w:right w:w="108" w:type="dxa"/>
          </w:tblCellMar>
        </w:tblPrEx>
        <w:tc>
          <w:tcPr>
            <w:tcW w:w="8848" w:type="dxa"/>
            <w:gridSpan w:val="14"/>
            <w:vAlign w:val="center"/>
          </w:tcPr>
          <w:p w14:paraId="3E9656B9">
            <w:pPr>
              <w:jc w:val="center"/>
            </w:pPr>
            <w:r>
              <w:rPr>
                <w:rFonts w:ascii="宋体" w:hAnsi="宋体" w:eastAsia="宋体"/>
                <w:sz w:val="24"/>
              </w:rPr>
              <w:t>(2024年度)</w:t>
            </w:r>
          </w:p>
        </w:tc>
      </w:tr>
      <w:tr w14:paraId="42C624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BB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E156BB">
            <w:pPr>
              <w:jc w:val="center"/>
            </w:pPr>
            <w:r>
              <w:rPr>
                <w:rFonts w:ascii="宋体" w:hAnsi="宋体" w:eastAsia="宋体"/>
                <w:sz w:val="16"/>
              </w:rPr>
              <w:t>2024年公共体育场馆向社会免费或低收费开放补助项目</w:t>
            </w:r>
          </w:p>
        </w:tc>
      </w:tr>
      <w:tr w14:paraId="5D5121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4354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C9E6F8">
            <w:pPr>
              <w:jc w:val="center"/>
            </w:pPr>
            <w:r>
              <w:rPr>
                <w:rFonts w:ascii="宋体" w:hAnsi="宋体" w:eastAsia="宋体"/>
                <w:sz w:val="16"/>
              </w:rPr>
              <w:t>喀什地区体育馆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CFF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04CB3D">
            <w:pPr>
              <w:jc w:val="center"/>
            </w:pPr>
            <w:r>
              <w:rPr>
                <w:rFonts w:ascii="宋体" w:hAnsi="宋体" w:eastAsia="宋体"/>
                <w:sz w:val="16"/>
              </w:rPr>
              <w:t>喀什地区体育馆</w:t>
            </w:r>
          </w:p>
        </w:tc>
      </w:tr>
      <w:tr w14:paraId="052136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B95A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C599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BCD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280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B97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77C1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22FC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BCCE5">
            <w:pPr>
              <w:jc w:val="center"/>
            </w:pPr>
            <w:r>
              <w:rPr>
                <w:rFonts w:ascii="宋体" w:hAnsi="宋体" w:eastAsia="宋体"/>
                <w:sz w:val="16"/>
              </w:rPr>
              <w:t>得分</w:t>
            </w:r>
          </w:p>
        </w:tc>
      </w:tr>
      <w:tr w14:paraId="1559F6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F2C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CC54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5F69B">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02010">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E36C5">
            <w:pPr>
              <w:jc w:val="center"/>
            </w:pPr>
            <w:r>
              <w:rPr>
                <w:rFonts w:ascii="宋体" w:hAnsi="宋体" w:eastAsia="宋体"/>
                <w:sz w:val="16"/>
              </w:rPr>
              <w:t>48.16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832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FA17C">
            <w:pPr>
              <w:jc w:val="center"/>
            </w:pPr>
            <w:r>
              <w:rPr>
                <w:rFonts w:ascii="宋体" w:hAnsi="宋体" w:eastAsia="宋体"/>
                <w:sz w:val="16"/>
              </w:rPr>
              <w:t>96.3%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1502">
            <w:pPr>
              <w:jc w:val="center"/>
            </w:pPr>
            <w:r>
              <w:rPr>
                <w:rFonts w:ascii="宋体" w:hAnsi="宋体" w:eastAsia="宋体"/>
                <w:sz w:val="16"/>
              </w:rPr>
              <w:t>9.08分</w:t>
            </w:r>
          </w:p>
        </w:tc>
      </w:tr>
      <w:tr w14:paraId="22A249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5FC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0ACC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20DC7">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AD48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996C3">
            <w:pPr>
              <w:jc w:val="center"/>
            </w:pPr>
            <w:r>
              <w:rPr>
                <w:rFonts w:ascii="宋体" w:hAnsi="宋体" w:eastAsia="宋体"/>
                <w:sz w:val="16"/>
              </w:rPr>
              <w:t>48.16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F67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611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70B39">
            <w:pPr>
              <w:jc w:val="center"/>
            </w:pPr>
            <w:r>
              <w:rPr>
                <w:rFonts w:ascii="宋体" w:hAnsi="宋体" w:eastAsia="宋体"/>
                <w:sz w:val="16"/>
              </w:rPr>
              <w:t>—</w:t>
            </w:r>
          </w:p>
        </w:tc>
      </w:tr>
      <w:tr w14:paraId="3EAEF2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714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9C8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A75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B0E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958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B3F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987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B6469">
            <w:pPr>
              <w:jc w:val="center"/>
            </w:pPr>
            <w:r>
              <w:rPr>
                <w:rFonts w:ascii="宋体" w:hAnsi="宋体" w:eastAsia="宋体"/>
                <w:sz w:val="16"/>
              </w:rPr>
              <w:t>—</w:t>
            </w:r>
          </w:p>
        </w:tc>
      </w:tr>
      <w:tr w14:paraId="1D52AB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69EE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BE5A6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FB3B07">
            <w:pPr>
              <w:jc w:val="center"/>
            </w:pPr>
            <w:r>
              <w:rPr>
                <w:rFonts w:ascii="宋体" w:hAnsi="宋体" w:eastAsia="宋体"/>
                <w:sz w:val="16"/>
              </w:rPr>
              <w:t>实际完成情况</w:t>
            </w:r>
          </w:p>
        </w:tc>
      </w:tr>
      <w:tr w14:paraId="2E5E86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B56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46AA23">
            <w:pPr>
              <w:jc w:val="both"/>
            </w:pPr>
            <w:r>
              <w:rPr>
                <w:rFonts w:ascii="宋体" w:hAnsi="宋体" w:eastAsia="宋体"/>
                <w:sz w:val="16"/>
              </w:rPr>
              <w:t>体育场馆免费开放，全年免费开放天数不少于330天，每周开放时间不少于35小时，资金到位及时率100%，有效提升群众身体素质，丰富群众精神文化生活，激发全民体育健身氛围。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A440D1">
            <w:pPr>
              <w:jc w:val="both"/>
            </w:pPr>
            <w:r>
              <w:rPr>
                <w:rFonts w:ascii="宋体" w:hAnsi="宋体" w:eastAsia="宋体"/>
                <w:sz w:val="16"/>
              </w:rPr>
              <w:t>体育场馆免费开放，全年免费开放天数330天，每周开放时间35小时，资金到位及时率100%，增强了群众身体素质，丰富了群众日常生活，带动了群众全民健身的热情和氛围。</w:t>
            </w:r>
          </w:p>
        </w:tc>
      </w:tr>
      <w:tr w14:paraId="2170B7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B879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367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2A36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9D21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34BD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110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B9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409C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E191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51C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D48D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977D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FABA0">
            <w:pPr>
              <w:jc w:val="center"/>
            </w:pPr>
            <w:r>
              <w:rPr>
                <w:rFonts w:ascii="宋体" w:hAnsi="宋体" w:eastAsia="宋体"/>
                <w:sz w:val="16"/>
              </w:rPr>
              <w:t>偏差原因分析及改进措施</w:t>
            </w:r>
          </w:p>
        </w:tc>
      </w:tr>
      <w:tr w14:paraId="5722BA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2B0A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67E1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449C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E297B">
            <w:pPr>
              <w:jc w:val="center"/>
            </w:pPr>
            <w:r>
              <w:rPr>
                <w:rFonts w:ascii="宋体" w:hAnsi="宋体" w:eastAsia="宋体"/>
                <w:sz w:val="16"/>
              </w:rPr>
              <w:t>全年对外开放天数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2D5C2">
            <w:pPr>
              <w:jc w:val="center"/>
            </w:pPr>
            <w:r>
              <w:rPr>
                <w:rFonts w:ascii="宋体" w:hAnsi="宋体" w:eastAsia="宋体"/>
                <w:sz w:val="16"/>
              </w:rPr>
              <w:t>&gt;=330天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32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3D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A18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DD7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44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B717">
            <w:pPr>
              <w:jc w:val="center"/>
            </w:pPr>
            <w:r>
              <w:rPr>
                <w:rFonts w:ascii="宋体" w:hAnsi="宋体" w:eastAsia="宋体"/>
                <w:sz w:val="16"/>
              </w:rPr>
              <w: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62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F1FA6">
            <w:pPr>
              <w:jc w:val="center"/>
            </w:pPr>
          </w:p>
        </w:tc>
      </w:tr>
      <w:tr w14:paraId="7C379F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CBE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9F0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045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AB87">
            <w:pPr>
              <w:jc w:val="center"/>
            </w:pPr>
            <w:r>
              <w:rPr>
                <w:rFonts w:ascii="宋体" w:hAnsi="宋体" w:eastAsia="宋体"/>
                <w:sz w:val="16"/>
              </w:rPr>
              <w:t>每周开放时间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BB93C">
            <w:pPr>
              <w:jc w:val="center"/>
            </w:pPr>
            <w:r>
              <w:rPr>
                <w:rFonts w:ascii="宋体" w:hAnsi="宋体" w:eastAsia="宋体"/>
                <w:sz w:val="16"/>
              </w:rPr>
              <w:t>&gt;=35小时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0AA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77E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AC6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708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A77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CE082">
            <w:pPr>
              <w:jc w:val="center"/>
            </w:pPr>
            <w:r>
              <w:rPr>
                <w:rFonts w:ascii="宋体" w:hAnsi="宋体" w:eastAsia="宋体"/>
                <w:sz w:val="16"/>
              </w:rPr>
              <w:t>=35小时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0D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0BF1D">
            <w:pPr>
              <w:jc w:val="center"/>
            </w:pPr>
          </w:p>
        </w:tc>
      </w:tr>
      <w:tr w14:paraId="1C3521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3AD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246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DF0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A4DDF">
            <w:pPr>
              <w:jc w:val="center"/>
            </w:pPr>
            <w:r>
              <w:rPr>
                <w:rFonts w:ascii="宋体" w:hAnsi="宋体" w:eastAsia="宋体"/>
                <w:sz w:val="16"/>
              </w:rPr>
              <w:t>全年免费开放率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4561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A0B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E92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21D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12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A39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BED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C69E">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68423">
            <w:pPr>
              <w:jc w:val="center"/>
            </w:pPr>
            <w:r>
              <w:rPr>
                <w:rFonts w:ascii="宋体" w:hAnsi="宋体" w:eastAsia="宋体"/>
                <w:sz w:val="16"/>
              </w:rPr>
              <w:t>偏差原因：免费开放成效突出，免费开放程度超过预期</w:t>
            </w:r>
          </w:p>
        </w:tc>
      </w:tr>
      <w:tr w14:paraId="0063C9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741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4A3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D1E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8FA6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BFA3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E4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CB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DBA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BA1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9F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70C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63B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C6541">
            <w:pPr>
              <w:jc w:val="center"/>
            </w:pPr>
          </w:p>
        </w:tc>
      </w:tr>
      <w:tr w14:paraId="11042A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0BA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8ED0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D8E6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CC44">
            <w:pPr>
              <w:jc w:val="center"/>
            </w:pPr>
            <w:r>
              <w:rPr>
                <w:rFonts w:ascii="宋体" w:hAnsi="宋体" w:eastAsia="宋体"/>
                <w:sz w:val="16"/>
              </w:rPr>
              <w:t>劳务费成本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1AA36">
            <w:pPr>
              <w:jc w:val="center"/>
            </w:pPr>
            <w:r>
              <w:rPr>
                <w:rFonts w:ascii="宋体" w:hAnsi="宋体" w:eastAsia="宋体"/>
                <w:sz w:val="16"/>
              </w:rPr>
              <w:t>&lt;=29.10万元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BC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832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3AD8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4C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B9A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E0E3">
            <w:pPr>
              <w:jc w:val="center"/>
            </w:pPr>
            <w:r>
              <w:rPr>
                <w:rFonts w:ascii="宋体" w:hAnsi="宋体" w:eastAsia="宋体"/>
                <w:sz w:val="16"/>
              </w:rPr>
              <w:t>=28.8万元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2686">
            <w:pPr>
              <w:jc w:val="center"/>
            </w:pPr>
            <w:r>
              <w:rPr>
                <w:rFonts w:ascii="宋体" w:hAnsi="宋体" w:eastAsia="宋体"/>
                <w:sz w:val="16"/>
              </w:rPr>
              <w:t>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3BDFC">
            <w:pPr>
              <w:jc w:val="center"/>
            </w:pPr>
            <w:r>
              <w:rPr>
                <w:rFonts w:ascii="宋体" w:hAnsi="宋体" w:eastAsia="宋体"/>
                <w:sz w:val="16"/>
              </w:rPr>
              <w:t>偏差原因：不再使用免费开放资金支付临聘人员工资。改进措施：加强预算编制精准性。</w:t>
            </w:r>
          </w:p>
        </w:tc>
      </w:tr>
      <w:tr w14:paraId="017C0C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33F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BCC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947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BD6E4">
            <w:pPr>
              <w:jc w:val="center"/>
            </w:pPr>
            <w:r>
              <w:rPr>
                <w:rFonts w:ascii="宋体" w:hAnsi="宋体" w:eastAsia="宋体"/>
                <w:sz w:val="16"/>
              </w:rPr>
              <w:t>专用材料费成本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4C82">
            <w:pPr>
              <w:jc w:val="center"/>
            </w:pPr>
            <w:r>
              <w:rPr>
                <w:rFonts w:ascii="宋体" w:hAnsi="宋体" w:eastAsia="宋体"/>
                <w:sz w:val="16"/>
              </w:rPr>
              <w:t>&lt;=11万元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BA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B05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BD46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71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FCC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A2F12">
            <w:pPr>
              <w:jc w:val="center"/>
            </w:pPr>
            <w:r>
              <w:rPr>
                <w:rFonts w:ascii="宋体" w:hAnsi="宋体" w:eastAsia="宋体"/>
                <w:sz w:val="16"/>
              </w:rPr>
              <w:t>=10.36万元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7526B">
            <w:pPr>
              <w:jc w:val="center"/>
            </w:pPr>
            <w:r>
              <w:rPr>
                <w:rFonts w:ascii="宋体" w:hAnsi="宋体" w:eastAsia="宋体"/>
                <w:sz w:val="16"/>
              </w:rPr>
              <w:t>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F9507">
            <w:pPr>
              <w:jc w:val="center"/>
            </w:pPr>
            <w:r>
              <w:rPr>
                <w:rFonts w:ascii="宋体" w:hAnsi="宋体" w:eastAsia="宋体"/>
                <w:sz w:val="16"/>
              </w:rPr>
              <w:t>偏差原因：体育馆2023年房屋鉴定结果为D，仅维持必要支出，其余支出暂缓。改进措施：积极争取资金重建场馆，使场馆早日投入正常使用。</w:t>
            </w:r>
          </w:p>
        </w:tc>
      </w:tr>
      <w:tr w14:paraId="182412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B83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CE0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E77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60D04">
            <w:pPr>
              <w:jc w:val="center"/>
            </w:pPr>
            <w:r>
              <w:rPr>
                <w:rFonts w:ascii="宋体" w:hAnsi="宋体" w:eastAsia="宋体"/>
                <w:sz w:val="16"/>
              </w:rPr>
              <w:t>水费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AA9FA">
            <w:pPr>
              <w:jc w:val="center"/>
            </w:pPr>
            <w:r>
              <w:rPr>
                <w:rFonts w:ascii="宋体" w:hAnsi="宋体" w:eastAsia="宋体"/>
                <w:sz w:val="16"/>
              </w:rPr>
              <w:t>&lt;=2.2万元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20B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AE3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DB71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5F1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55C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CC3F7">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CB1B0">
            <w:pPr>
              <w:jc w:val="center"/>
            </w:pPr>
            <w:r>
              <w:rPr>
                <w:rFonts w:ascii="宋体" w:hAnsi="宋体" w:eastAsia="宋体"/>
                <w:sz w:val="16"/>
              </w:rPr>
              <w:t>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92E1E">
            <w:pPr>
              <w:jc w:val="center"/>
            </w:pPr>
            <w:r>
              <w:rPr>
                <w:rFonts w:ascii="宋体" w:hAnsi="宋体" w:eastAsia="宋体"/>
                <w:sz w:val="16"/>
              </w:rPr>
              <w:t>偏差原因：室内体育馆停止开放，用水量减少。改进措施：加强预算编制精准性。</w:t>
            </w:r>
          </w:p>
        </w:tc>
      </w:tr>
      <w:tr w14:paraId="1E326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B69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999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070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53460">
            <w:pPr>
              <w:jc w:val="center"/>
            </w:pPr>
            <w:r>
              <w:rPr>
                <w:rFonts w:ascii="宋体" w:hAnsi="宋体" w:eastAsia="宋体"/>
                <w:sz w:val="16"/>
              </w:rPr>
              <w:t>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5CEEF">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56A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8AD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A2F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CA1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34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87B51">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EDFBA">
            <w:pPr>
              <w:jc w:val="center"/>
            </w:pPr>
            <w:r>
              <w:rPr>
                <w:rFonts w:ascii="宋体" w:hAnsi="宋体" w:eastAsia="宋体"/>
                <w:sz w:val="16"/>
              </w:rPr>
              <w:t>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6DBF8">
            <w:pPr>
              <w:jc w:val="center"/>
            </w:pPr>
            <w:r>
              <w:rPr>
                <w:rFonts w:ascii="宋体" w:hAnsi="宋体" w:eastAsia="宋体"/>
                <w:sz w:val="16"/>
              </w:rPr>
              <w:t>偏差原因：体育馆办公人员减少，用电量减少。改进措施：加强预算编制精准性。</w:t>
            </w:r>
          </w:p>
        </w:tc>
      </w:tr>
      <w:tr w14:paraId="29CA91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7B1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1C9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43B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048E6">
            <w:pPr>
              <w:jc w:val="center"/>
            </w:pPr>
            <w:r>
              <w:rPr>
                <w:rFonts w:ascii="宋体" w:hAnsi="宋体" w:eastAsia="宋体"/>
                <w:sz w:val="16"/>
              </w:rPr>
              <w:t>维修（护）费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22BA">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A81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7E8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D62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646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AC7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1C826">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5DAD">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18A3B">
            <w:pPr>
              <w:jc w:val="center"/>
            </w:pPr>
          </w:p>
        </w:tc>
      </w:tr>
      <w:tr w14:paraId="5B7BE6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834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F42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49A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0B63">
            <w:pPr>
              <w:jc w:val="center"/>
            </w:pPr>
            <w:r>
              <w:rPr>
                <w:rFonts w:ascii="宋体" w:hAnsi="宋体" w:eastAsia="宋体"/>
                <w:sz w:val="16"/>
              </w:rPr>
              <w:t>物业管理费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13987">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EE1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DDC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D39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67A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291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D530C">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20BE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7C326">
            <w:pPr>
              <w:jc w:val="center"/>
            </w:pPr>
          </w:p>
        </w:tc>
      </w:tr>
      <w:tr w14:paraId="4764DE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4BB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03B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689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0865">
            <w:pPr>
              <w:jc w:val="center"/>
            </w:pPr>
            <w:r>
              <w:rPr>
                <w:rFonts w:ascii="宋体" w:hAnsi="宋体" w:eastAsia="宋体"/>
                <w:sz w:val="16"/>
              </w:rPr>
              <w:t>其他商品和服务支出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76EA9">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0E5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A2E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0186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09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6B6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B0BDF">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80CE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BBA15">
            <w:pPr>
              <w:jc w:val="center"/>
            </w:pPr>
          </w:p>
        </w:tc>
      </w:tr>
      <w:tr w14:paraId="73DD8C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045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64F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53C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9B884">
            <w:pPr>
              <w:jc w:val="center"/>
            </w:pPr>
            <w:r>
              <w:rPr>
                <w:rFonts w:ascii="宋体" w:hAnsi="宋体" w:eastAsia="宋体"/>
                <w:sz w:val="16"/>
              </w:rPr>
              <w:t>办公设备购置（资本性支出）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D9728">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2F3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97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E6A1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EF2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66D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92456">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635E2">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BB3B6">
            <w:pPr>
              <w:jc w:val="center"/>
            </w:pPr>
          </w:p>
        </w:tc>
      </w:tr>
      <w:tr w14:paraId="229AA1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441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7F7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C5B7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B623">
            <w:pPr>
              <w:jc w:val="center"/>
            </w:pPr>
            <w:r>
              <w:rPr>
                <w:rFonts w:ascii="宋体" w:hAnsi="宋体" w:eastAsia="宋体"/>
                <w:sz w:val="16"/>
              </w:rPr>
              <w:t>增强群众身体素质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192F6">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21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7AA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9B6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79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A7B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54F28">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6A0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C9C07">
            <w:pPr>
              <w:jc w:val="center"/>
            </w:pPr>
          </w:p>
        </w:tc>
      </w:tr>
      <w:tr w14:paraId="674808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8D0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CD0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2B3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34D54">
            <w:pPr>
              <w:jc w:val="center"/>
            </w:pPr>
            <w:r>
              <w:rPr>
                <w:rFonts w:ascii="宋体" w:hAnsi="宋体" w:eastAsia="宋体"/>
                <w:sz w:val="16"/>
              </w:rPr>
              <w:t>参加锻炼群众满意度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A5C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578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2F9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1D4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17CD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1B8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1297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B58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4043C">
            <w:pPr>
              <w:jc w:val="center"/>
            </w:pPr>
          </w:p>
        </w:tc>
      </w:tr>
      <w:tr w14:paraId="0723D5C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D9E85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F7D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BA7C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80E0">
            <w:pPr>
              <w:jc w:val="center"/>
            </w:pPr>
            <w:r>
              <w:rPr>
                <w:rFonts w:ascii="宋体" w:hAnsi="宋体" w:eastAsia="宋体"/>
                <w:sz w:val="16"/>
              </w:rPr>
              <w:t>96.52分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F06DFAF"/>
        </w:tc>
      </w:tr>
    </w:tbl>
    <w:p w14:paraId="00D621F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7FB33DD8">
        <w:tblPrEx>
          <w:tblCellMar>
            <w:top w:w="0" w:type="dxa"/>
            <w:left w:w="108" w:type="dxa"/>
            <w:bottom w:w="0" w:type="dxa"/>
            <w:right w:w="108" w:type="dxa"/>
          </w:tblCellMar>
        </w:tblPrEx>
        <w:tc>
          <w:tcPr>
            <w:tcW w:w="8848" w:type="dxa"/>
            <w:gridSpan w:val="14"/>
            <w:vAlign w:val="center"/>
          </w:tcPr>
          <w:p w14:paraId="208B7A2E">
            <w:pPr>
              <w:jc w:val="center"/>
            </w:pPr>
            <w:r>
              <w:rPr>
                <w:rFonts w:ascii="宋体" w:hAnsi="宋体" w:eastAsia="宋体"/>
                <w:sz w:val="24"/>
              </w:rPr>
              <w:t>项目支出绩效自评表</w:t>
            </w:r>
          </w:p>
        </w:tc>
      </w:tr>
      <w:tr w14:paraId="27872730">
        <w:tblPrEx>
          <w:tblCellMar>
            <w:top w:w="0" w:type="dxa"/>
            <w:left w:w="108" w:type="dxa"/>
            <w:bottom w:w="0" w:type="dxa"/>
            <w:right w:w="108" w:type="dxa"/>
          </w:tblCellMar>
        </w:tblPrEx>
        <w:tc>
          <w:tcPr>
            <w:tcW w:w="8848" w:type="dxa"/>
            <w:gridSpan w:val="14"/>
            <w:vAlign w:val="center"/>
          </w:tcPr>
          <w:p w14:paraId="42C1F16D">
            <w:pPr>
              <w:jc w:val="center"/>
            </w:pPr>
            <w:r>
              <w:rPr>
                <w:rFonts w:ascii="宋体" w:hAnsi="宋体" w:eastAsia="宋体"/>
                <w:sz w:val="24"/>
              </w:rPr>
              <w:t>(2024年度)</w:t>
            </w:r>
          </w:p>
        </w:tc>
      </w:tr>
      <w:tr w14:paraId="73BE3C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A08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C9B112">
            <w:pPr>
              <w:jc w:val="center"/>
            </w:pPr>
            <w:r>
              <w:rPr>
                <w:rFonts w:ascii="宋体" w:hAnsi="宋体" w:eastAsia="宋体"/>
                <w:sz w:val="16"/>
              </w:rPr>
              <w:t>自治区2024年公共体育场馆向社会免费或低收费开放补助项目</w:t>
            </w:r>
          </w:p>
        </w:tc>
      </w:tr>
      <w:tr w14:paraId="60E5DA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1ADD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F5BDFD">
            <w:pPr>
              <w:jc w:val="center"/>
            </w:pPr>
            <w:r>
              <w:rPr>
                <w:rFonts w:ascii="宋体" w:hAnsi="宋体" w:eastAsia="宋体"/>
                <w:sz w:val="16"/>
              </w:rPr>
              <w:t>喀什地区体育馆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B919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0E8D7F">
            <w:pPr>
              <w:jc w:val="center"/>
            </w:pPr>
            <w:r>
              <w:rPr>
                <w:rFonts w:ascii="宋体" w:hAnsi="宋体" w:eastAsia="宋体"/>
                <w:sz w:val="16"/>
              </w:rPr>
              <w:t>喀什地区体育馆</w:t>
            </w:r>
          </w:p>
        </w:tc>
      </w:tr>
      <w:tr w14:paraId="550C44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926C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42FF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6E7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CC3F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642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75B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911D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B46D8">
            <w:pPr>
              <w:jc w:val="center"/>
            </w:pPr>
            <w:r>
              <w:rPr>
                <w:rFonts w:ascii="宋体" w:hAnsi="宋体" w:eastAsia="宋体"/>
                <w:sz w:val="16"/>
              </w:rPr>
              <w:t>得分</w:t>
            </w:r>
          </w:p>
        </w:tc>
      </w:tr>
      <w:tr w14:paraId="648A41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072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F3A4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E9703">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98492">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B9CF9">
            <w:pPr>
              <w:jc w:val="center"/>
            </w:pPr>
            <w:r>
              <w:rPr>
                <w:rFonts w:ascii="宋体" w:hAnsi="宋体" w:eastAsia="宋体"/>
                <w:sz w:val="16"/>
              </w:rPr>
              <w:t>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110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BBD28">
            <w:pPr>
              <w:jc w:val="center"/>
            </w:pPr>
            <w:r>
              <w:rPr>
                <w:rFonts w:ascii="宋体" w:hAnsi="宋体" w:eastAsia="宋体"/>
                <w:sz w:val="16"/>
              </w:rPr>
              <w:t>71.3%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B9E69">
            <w:pPr>
              <w:jc w:val="center"/>
            </w:pPr>
            <w:r>
              <w:rPr>
                <w:rFonts w:ascii="宋体" w:hAnsi="宋体" w:eastAsia="宋体"/>
                <w:sz w:val="16"/>
              </w:rPr>
              <w:t>2.81分</w:t>
            </w:r>
          </w:p>
        </w:tc>
      </w:tr>
      <w:tr w14:paraId="69377A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85C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2EC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DC909">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3606B">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DA4A0">
            <w:pPr>
              <w:jc w:val="center"/>
            </w:pPr>
            <w:r>
              <w:rPr>
                <w:rFonts w:ascii="宋体" w:hAnsi="宋体" w:eastAsia="宋体"/>
                <w:sz w:val="16"/>
              </w:rPr>
              <w:t>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0C6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F8B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6D740">
            <w:pPr>
              <w:jc w:val="center"/>
            </w:pPr>
            <w:r>
              <w:rPr>
                <w:rFonts w:ascii="宋体" w:hAnsi="宋体" w:eastAsia="宋体"/>
                <w:sz w:val="16"/>
              </w:rPr>
              <w:t>—</w:t>
            </w:r>
          </w:p>
        </w:tc>
      </w:tr>
      <w:tr w14:paraId="250E3F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54B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4702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0F1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A6C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012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138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505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B597">
            <w:pPr>
              <w:jc w:val="center"/>
            </w:pPr>
            <w:r>
              <w:rPr>
                <w:rFonts w:ascii="宋体" w:hAnsi="宋体" w:eastAsia="宋体"/>
                <w:sz w:val="16"/>
              </w:rPr>
              <w:t>—</w:t>
            </w:r>
          </w:p>
        </w:tc>
      </w:tr>
      <w:tr w14:paraId="164ACF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1BF5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54671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46458A">
            <w:pPr>
              <w:jc w:val="center"/>
            </w:pPr>
            <w:r>
              <w:rPr>
                <w:rFonts w:ascii="宋体" w:hAnsi="宋体" w:eastAsia="宋体"/>
                <w:sz w:val="16"/>
              </w:rPr>
              <w:t>实际完成情况</w:t>
            </w:r>
          </w:p>
        </w:tc>
      </w:tr>
      <w:tr w14:paraId="0F3578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E61D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ED6CFD">
            <w:pPr>
              <w:jc w:val="both"/>
            </w:pPr>
            <w:r>
              <w:rPr>
                <w:rFonts w:ascii="宋体" w:hAnsi="宋体" w:eastAsia="宋体"/>
                <w:sz w:val="16"/>
              </w:rPr>
              <w:t>体育场馆免费开放，全年免费开放天数不少于330天，每周开放时间不少于35小时，资金到位及时率100%，有效提升群众身体素质，丰富群众精神文化生活，激发全民体育健身氛围。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52A0AA">
            <w:pPr>
              <w:jc w:val="both"/>
            </w:pPr>
            <w:r>
              <w:rPr>
                <w:rFonts w:ascii="宋体" w:hAnsi="宋体" w:eastAsia="宋体"/>
                <w:sz w:val="16"/>
              </w:rPr>
              <w:t>体育场馆免费开放，全年免费开放天数330天，每周开放时间35小时，资金到位及时率100%，增强了群众身体素质，丰富了群众日常生活，带动了群众全民健身的热情和氛围。</w:t>
            </w:r>
          </w:p>
        </w:tc>
      </w:tr>
      <w:tr w14:paraId="590C8B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90A7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508A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3246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CBB7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635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CC4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1D0A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5936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B6A6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9EF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C2D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FA1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F0B69">
            <w:pPr>
              <w:jc w:val="center"/>
            </w:pPr>
            <w:r>
              <w:rPr>
                <w:rFonts w:ascii="宋体" w:hAnsi="宋体" w:eastAsia="宋体"/>
                <w:sz w:val="16"/>
              </w:rPr>
              <w:t>偏差原因分析及改进措施</w:t>
            </w:r>
          </w:p>
        </w:tc>
      </w:tr>
      <w:tr w14:paraId="6EB763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EB79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BE52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51D0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6854">
            <w:pPr>
              <w:jc w:val="center"/>
            </w:pPr>
            <w:r>
              <w:rPr>
                <w:rFonts w:ascii="宋体" w:hAnsi="宋体" w:eastAsia="宋体"/>
                <w:sz w:val="16"/>
              </w:rPr>
              <w:t>全年对外开放天数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5199A">
            <w:pPr>
              <w:jc w:val="center"/>
            </w:pPr>
            <w:r>
              <w:rPr>
                <w:rFonts w:ascii="宋体" w:hAnsi="宋体" w:eastAsia="宋体"/>
                <w:sz w:val="16"/>
              </w:rPr>
              <w:t>&gt;=330天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93C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30E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531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CFC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A10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BC97">
            <w:pPr>
              <w:jc w:val="center"/>
            </w:pPr>
            <w:r>
              <w:rPr>
                <w:rFonts w:ascii="宋体" w:hAnsi="宋体" w:eastAsia="宋体"/>
                <w:sz w:val="16"/>
              </w:rPr>
              <w: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44A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999C2">
            <w:pPr>
              <w:jc w:val="center"/>
            </w:pPr>
          </w:p>
        </w:tc>
      </w:tr>
      <w:tr w14:paraId="064290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B4B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8BD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2C8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39BD6">
            <w:pPr>
              <w:jc w:val="center"/>
            </w:pPr>
            <w:r>
              <w:rPr>
                <w:rFonts w:ascii="宋体" w:hAnsi="宋体" w:eastAsia="宋体"/>
                <w:sz w:val="16"/>
              </w:rPr>
              <w:t>每周开放时间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5F3EA">
            <w:pPr>
              <w:jc w:val="center"/>
            </w:pPr>
            <w:r>
              <w:rPr>
                <w:rFonts w:ascii="宋体" w:hAnsi="宋体" w:eastAsia="宋体"/>
                <w:sz w:val="16"/>
              </w:rPr>
              <w:t>&gt;=35小时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924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66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67C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7AC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BAF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6B9C4">
            <w:pPr>
              <w:jc w:val="center"/>
            </w:pPr>
            <w:r>
              <w:rPr>
                <w:rFonts w:ascii="宋体" w:hAnsi="宋体" w:eastAsia="宋体"/>
                <w:sz w:val="16"/>
              </w:rPr>
              <w:t>=35小时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6B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4E7B4">
            <w:pPr>
              <w:jc w:val="center"/>
            </w:pPr>
          </w:p>
        </w:tc>
      </w:tr>
      <w:tr w14:paraId="6AC067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819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8D9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D7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93F5">
            <w:pPr>
              <w:jc w:val="center"/>
            </w:pPr>
            <w:r>
              <w:rPr>
                <w:rFonts w:ascii="宋体" w:hAnsi="宋体" w:eastAsia="宋体"/>
                <w:sz w:val="16"/>
              </w:rPr>
              <w:t>全年免费开放率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52C7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3F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39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DF8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9CE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2F8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3EAA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FEE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45651">
            <w:pPr>
              <w:jc w:val="center"/>
            </w:pPr>
            <w:r>
              <w:rPr>
                <w:rFonts w:ascii="宋体" w:hAnsi="宋体" w:eastAsia="宋体"/>
                <w:sz w:val="16"/>
              </w:rPr>
              <w:t>偏差原因：免费开放成效突出，免费开放程度超过预期</w:t>
            </w:r>
          </w:p>
        </w:tc>
      </w:tr>
      <w:tr w14:paraId="007ED4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D8C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9A7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9AD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EB1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F28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94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AE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1E9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DCA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0C4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06231">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101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12FC8">
            <w:pPr>
              <w:jc w:val="center"/>
            </w:pPr>
          </w:p>
        </w:tc>
      </w:tr>
      <w:tr w14:paraId="7C037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B0B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B9BA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2A2C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B9E00">
            <w:pPr>
              <w:jc w:val="center"/>
            </w:pPr>
            <w:r>
              <w:rPr>
                <w:rFonts w:ascii="宋体" w:hAnsi="宋体" w:eastAsia="宋体"/>
                <w:sz w:val="16"/>
              </w:rPr>
              <w:t>专用材料费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ADD5">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7FF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549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47465">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C4A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2F5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FF23D">
            <w:pPr>
              <w:jc w:val="center"/>
            </w:pPr>
            <w:r>
              <w:rPr>
                <w:rFonts w:ascii="宋体" w:hAnsi="宋体" w:eastAsia="宋体"/>
                <w:sz w:val="16"/>
              </w:rPr>
              <w:t>=2.55万元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428E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EF5A1">
            <w:pPr>
              <w:jc w:val="center"/>
            </w:pPr>
            <w:r>
              <w:rPr>
                <w:rFonts w:ascii="宋体" w:hAnsi="宋体" w:eastAsia="宋体"/>
                <w:sz w:val="16"/>
              </w:rPr>
              <w:t>偏差原因：体育馆2023年房屋鉴定结果为D，仅维持必要支出，其余支出暂缓。改进措施：积极争取资金重建场馆，使场馆早日投入正常使用。</w:t>
            </w:r>
          </w:p>
        </w:tc>
      </w:tr>
      <w:tr w14:paraId="040442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E4B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5EB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501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7EEF5">
            <w:pPr>
              <w:jc w:val="center"/>
            </w:pPr>
            <w:r>
              <w:rPr>
                <w:rFonts w:ascii="宋体" w:hAnsi="宋体" w:eastAsia="宋体"/>
                <w:sz w:val="16"/>
              </w:rPr>
              <w:t>维修（护）费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59B3">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487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A4D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B78FD">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B42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B30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E3F43">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2220">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68DCD">
            <w:pPr>
              <w:jc w:val="center"/>
            </w:pPr>
          </w:p>
        </w:tc>
      </w:tr>
      <w:tr w14:paraId="0DD9EE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46A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64C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AC4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B4C10">
            <w:pPr>
              <w:jc w:val="center"/>
            </w:pPr>
            <w:r>
              <w:rPr>
                <w:rFonts w:ascii="宋体" w:hAnsi="宋体" w:eastAsia="宋体"/>
                <w:sz w:val="16"/>
              </w:rPr>
              <w:t>其他商品和服务支出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9766">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679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804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1990E">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4A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25D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A84D">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7B6C">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2F376">
            <w:pPr>
              <w:jc w:val="center"/>
            </w:pPr>
          </w:p>
        </w:tc>
      </w:tr>
      <w:tr w14:paraId="4E2F00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E02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043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53A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945CA">
            <w:pPr>
              <w:jc w:val="center"/>
            </w:pPr>
            <w:r>
              <w:rPr>
                <w:rFonts w:ascii="宋体" w:hAnsi="宋体" w:eastAsia="宋体"/>
                <w:sz w:val="16"/>
              </w:rPr>
              <w:t>水费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D55EC">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57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580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64399">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10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BD0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DB0D2">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68D9">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14603">
            <w:pPr>
              <w:jc w:val="center"/>
            </w:pPr>
          </w:p>
        </w:tc>
      </w:tr>
      <w:tr w14:paraId="538A1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E80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FC4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08A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E18A1">
            <w:pPr>
              <w:jc w:val="center"/>
            </w:pPr>
            <w:r>
              <w:rPr>
                <w:rFonts w:ascii="宋体" w:hAnsi="宋体" w:eastAsia="宋体"/>
                <w:sz w:val="16"/>
              </w:rPr>
              <w:t>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309EC">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57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597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6954">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141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0F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29C6">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7B91D">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C0978">
            <w:pPr>
              <w:jc w:val="center"/>
            </w:pPr>
          </w:p>
        </w:tc>
      </w:tr>
      <w:tr w14:paraId="438020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A6B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64C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21A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6DBC">
            <w:pPr>
              <w:jc w:val="center"/>
            </w:pPr>
            <w:r>
              <w:rPr>
                <w:rFonts w:ascii="宋体" w:hAnsi="宋体" w:eastAsia="宋体"/>
                <w:sz w:val="16"/>
              </w:rPr>
              <w:t>物业管理费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7AE64">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DF5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696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35433">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A59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A0A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FADD4">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9003">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41317">
            <w:pPr>
              <w:jc w:val="center"/>
            </w:pPr>
          </w:p>
        </w:tc>
      </w:tr>
      <w:tr w14:paraId="257D75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9E7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5F6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80F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B544">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68A1">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8B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C9A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FEDC7">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88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5B2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3C084">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FD203">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BEEFC">
            <w:pPr>
              <w:jc w:val="center"/>
            </w:pPr>
          </w:p>
        </w:tc>
      </w:tr>
      <w:tr w14:paraId="270F5C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3E9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4DF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9AA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E4C9">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F23D8">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8C7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7D9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18452">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AED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CF0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26787">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A93F">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F9926">
            <w:pPr>
              <w:jc w:val="center"/>
            </w:pPr>
          </w:p>
        </w:tc>
      </w:tr>
      <w:tr w14:paraId="511F2B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B8F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D00E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946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D1E3A">
            <w:pPr>
              <w:jc w:val="center"/>
            </w:pPr>
            <w:r>
              <w:rPr>
                <w:rFonts w:ascii="宋体" w:hAnsi="宋体" w:eastAsia="宋体"/>
                <w:sz w:val="16"/>
              </w:rPr>
              <w:t>增强群众身体素质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155E0">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250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6B8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732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AC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B0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CAAC1">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F38E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C3784">
            <w:pPr>
              <w:jc w:val="center"/>
            </w:pPr>
          </w:p>
        </w:tc>
      </w:tr>
      <w:tr w14:paraId="7ED394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153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D46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DB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FB129">
            <w:pPr>
              <w:jc w:val="center"/>
            </w:pPr>
            <w:r>
              <w:rPr>
                <w:rFonts w:ascii="宋体" w:hAnsi="宋体" w:eastAsia="宋体"/>
                <w:sz w:val="16"/>
              </w:rPr>
              <w:t>参加锻炼群众满意度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CCC4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871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ED2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6C8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38E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2B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199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4ED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04799">
            <w:pPr>
              <w:jc w:val="center"/>
            </w:pPr>
          </w:p>
        </w:tc>
      </w:tr>
      <w:tr w14:paraId="2CA2627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3B4AF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E5EF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61970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AB677">
            <w:pPr>
              <w:jc w:val="center"/>
            </w:pPr>
            <w:r>
              <w:rPr>
                <w:rFonts w:ascii="宋体" w:hAnsi="宋体" w:eastAsia="宋体"/>
                <w:sz w:val="16"/>
              </w:rPr>
              <w:t>90.31分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604AB9"/>
        </w:tc>
      </w:tr>
    </w:tbl>
    <w:p w14:paraId="1B50DE4F">
      <w:r>
        <w:br w:type="page"/>
      </w:r>
    </w:p>
    <w:p w14:paraId="50C591DC">
      <w:pPr>
        <w:spacing w:line="640" w:lineRule="exact"/>
        <w:ind w:firstLine="640"/>
        <w:jc w:val="both"/>
        <w:outlineLvl w:val="2"/>
      </w:pPr>
      <w:r>
        <w:rPr>
          <w:rFonts w:ascii="黑体" w:hAnsi="黑体" w:eastAsia="黑体"/>
          <w:sz w:val="32"/>
        </w:rPr>
        <w:t>十二、其他需说明的事项</w:t>
      </w:r>
    </w:p>
    <w:p w14:paraId="26176025">
      <w:pPr>
        <w:spacing w:line="580" w:lineRule="exact"/>
        <w:ind w:firstLine="640"/>
        <w:jc w:val="both"/>
      </w:pPr>
      <w:r>
        <w:rPr>
          <w:rFonts w:ascii="仿宋_GB2312" w:hAnsi="仿宋_GB2312" w:eastAsia="仿宋_GB2312"/>
          <w:b w:val="0"/>
          <w:sz w:val="32"/>
        </w:rPr>
        <w:t>本部门无其他需说明的事项。</w:t>
      </w:r>
    </w:p>
    <w:p w14:paraId="784A8DCB">
      <w:r>
        <w:br w:type="page"/>
      </w:r>
    </w:p>
    <w:p w14:paraId="7C7A6853">
      <w:pPr>
        <w:spacing w:line="240" w:lineRule="auto"/>
        <w:jc w:val="center"/>
        <w:outlineLvl w:val="1"/>
      </w:pPr>
      <w:r>
        <w:rPr>
          <w:rFonts w:ascii="黑体" w:hAnsi="黑体" w:eastAsia="黑体"/>
          <w:sz w:val="32"/>
        </w:rPr>
        <w:t>第三部分 专业名词解释</w:t>
      </w:r>
    </w:p>
    <w:p w14:paraId="6FD47C0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8098AD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E9FF76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1AE957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F4C2DF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20223F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96D177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305E31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AC1412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D3D1AC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4CA949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6A72F6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6F4D41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EE97A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1E00AA4">
      <w:r>
        <w:br w:type="page"/>
      </w:r>
    </w:p>
    <w:p w14:paraId="583F5E87">
      <w:pPr>
        <w:spacing w:line="240" w:lineRule="auto"/>
        <w:jc w:val="center"/>
        <w:outlineLvl w:val="1"/>
      </w:pPr>
      <w:r>
        <w:rPr>
          <w:rFonts w:ascii="黑体" w:hAnsi="黑体" w:eastAsia="黑体"/>
          <w:sz w:val="32"/>
        </w:rPr>
        <w:t>第四部分 部门决算报表（见附表）</w:t>
      </w:r>
    </w:p>
    <w:p w14:paraId="7E904182">
      <w:pPr>
        <w:spacing w:line="240" w:lineRule="auto"/>
        <w:ind w:firstLine="640"/>
        <w:jc w:val="both"/>
      </w:pPr>
      <w:r>
        <w:rPr>
          <w:rFonts w:ascii="仿宋_GB2312" w:hAnsi="仿宋_GB2312" w:eastAsia="仿宋_GB2312"/>
          <w:b w:val="0"/>
          <w:sz w:val="32"/>
        </w:rPr>
        <w:t>一、《收入支出决算总表》</w:t>
      </w:r>
    </w:p>
    <w:p w14:paraId="1E492A2F">
      <w:pPr>
        <w:spacing w:line="240" w:lineRule="auto"/>
        <w:ind w:firstLine="640"/>
        <w:jc w:val="both"/>
      </w:pPr>
      <w:r>
        <w:rPr>
          <w:rFonts w:ascii="仿宋_GB2312" w:hAnsi="仿宋_GB2312" w:eastAsia="仿宋_GB2312"/>
          <w:b w:val="0"/>
          <w:sz w:val="32"/>
        </w:rPr>
        <w:t>二、《收入决算表》</w:t>
      </w:r>
    </w:p>
    <w:p w14:paraId="7EF34718">
      <w:pPr>
        <w:spacing w:line="240" w:lineRule="auto"/>
        <w:ind w:firstLine="640"/>
        <w:jc w:val="both"/>
      </w:pPr>
      <w:r>
        <w:rPr>
          <w:rFonts w:ascii="仿宋_GB2312" w:hAnsi="仿宋_GB2312" w:eastAsia="仿宋_GB2312"/>
          <w:b w:val="0"/>
          <w:sz w:val="32"/>
        </w:rPr>
        <w:t>三、《支出决算表》</w:t>
      </w:r>
    </w:p>
    <w:p w14:paraId="5ECAB346">
      <w:pPr>
        <w:spacing w:line="240" w:lineRule="auto"/>
        <w:ind w:firstLine="640"/>
        <w:jc w:val="both"/>
      </w:pPr>
      <w:r>
        <w:rPr>
          <w:rFonts w:ascii="仿宋_GB2312" w:hAnsi="仿宋_GB2312" w:eastAsia="仿宋_GB2312"/>
          <w:b w:val="0"/>
          <w:sz w:val="32"/>
        </w:rPr>
        <w:t>四、《财政拨款收入支出决算总表》</w:t>
      </w:r>
    </w:p>
    <w:p w14:paraId="783AFB92">
      <w:pPr>
        <w:spacing w:line="240" w:lineRule="auto"/>
        <w:ind w:firstLine="640"/>
        <w:jc w:val="both"/>
      </w:pPr>
      <w:r>
        <w:rPr>
          <w:rFonts w:ascii="仿宋_GB2312" w:hAnsi="仿宋_GB2312" w:eastAsia="仿宋_GB2312"/>
          <w:b w:val="0"/>
          <w:sz w:val="32"/>
        </w:rPr>
        <w:t>五、《一般公共预算财政拨款支出决算表》</w:t>
      </w:r>
    </w:p>
    <w:p w14:paraId="543BB851">
      <w:pPr>
        <w:spacing w:line="240" w:lineRule="auto"/>
        <w:ind w:firstLine="640"/>
        <w:jc w:val="both"/>
      </w:pPr>
      <w:r>
        <w:rPr>
          <w:rFonts w:ascii="仿宋_GB2312" w:hAnsi="仿宋_GB2312" w:eastAsia="仿宋_GB2312"/>
          <w:b w:val="0"/>
          <w:sz w:val="32"/>
        </w:rPr>
        <w:t>六、《一般公共预算财政拨款基本支出决算表》</w:t>
      </w:r>
    </w:p>
    <w:p w14:paraId="446CCE4B">
      <w:pPr>
        <w:spacing w:line="240" w:lineRule="auto"/>
        <w:ind w:firstLine="640"/>
        <w:jc w:val="both"/>
      </w:pPr>
      <w:r>
        <w:rPr>
          <w:rFonts w:ascii="仿宋_GB2312" w:hAnsi="仿宋_GB2312" w:eastAsia="仿宋_GB2312"/>
          <w:b w:val="0"/>
          <w:sz w:val="32"/>
        </w:rPr>
        <w:t>七、《政府性基金预算财政拨款收入支出决算表》</w:t>
      </w:r>
    </w:p>
    <w:p w14:paraId="596DE6D1">
      <w:pPr>
        <w:spacing w:line="240" w:lineRule="auto"/>
        <w:ind w:firstLine="640"/>
        <w:jc w:val="both"/>
      </w:pPr>
      <w:r>
        <w:rPr>
          <w:rFonts w:ascii="仿宋_GB2312" w:hAnsi="仿宋_GB2312" w:eastAsia="仿宋_GB2312"/>
          <w:b w:val="0"/>
          <w:sz w:val="32"/>
        </w:rPr>
        <w:t>八、《国有资本经营预算财政拨款收入支出决算表》</w:t>
      </w:r>
    </w:p>
    <w:p w14:paraId="1B19B77B">
      <w:pPr>
        <w:spacing w:line="240" w:lineRule="auto"/>
        <w:ind w:firstLine="640"/>
        <w:jc w:val="both"/>
      </w:pPr>
      <w:r>
        <w:rPr>
          <w:rFonts w:ascii="仿宋_GB2312" w:hAnsi="仿宋_GB2312" w:eastAsia="仿宋_GB2312"/>
          <w:b w:val="0"/>
          <w:sz w:val="32"/>
        </w:rPr>
        <w:t>九、《财政拨款“三公”经费支出决算表》</w:t>
      </w:r>
    </w:p>
    <w:p w14:paraId="6D1949DE">
      <w:pPr>
        <w:spacing w:line="240" w:lineRule="auto"/>
        <w:ind w:firstLine="640"/>
        <w:jc w:val="both"/>
      </w:pPr>
    </w:p>
    <w:p w14:paraId="3A4C22B5">
      <w:pPr>
        <w:spacing w:line="240" w:lineRule="auto"/>
        <w:ind w:firstLine="640"/>
        <w:jc w:val="both"/>
      </w:pPr>
    </w:p>
    <w:p w14:paraId="7DB80722">
      <w:pPr>
        <w:spacing w:line="240" w:lineRule="auto"/>
        <w:ind w:firstLine="640"/>
        <w:jc w:val="both"/>
      </w:pPr>
    </w:p>
    <w:p w14:paraId="034597A5">
      <w:pPr>
        <w:spacing w:line="240" w:lineRule="auto"/>
        <w:ind w:firstLine="640"/>
        <w:jc w:val="both"/>
      </w:pPr>
    </w:p>
    <w:p w14:paraId="26764F8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F39E9D-16C9-415A-BB9A-AA02BF957BD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7C935638-9661-4FD2-B8AE-D493E7A40C4B}"/>
  </w:font>
  <w:font w:name="方正小标宋_GBK">
    <w:panose1 w:val="02000000000000000000"/>
    <w:charset w:val="86"/>
    <w:family w:val="script"/>
    <w:pitch w:val="default"/>
    <w:sig w:usb0="A00002BF" w:usb1="38CF7CFA" w:usb2="00082016" w:usb3="00000000" w:csb0="00040001" w:csb1="00000000"/>
    <w:embedRegular r:id="rId3" w:fontKey="{335A854E-43AA-4560-8808-82ED004ED672}"/>
  </w:font>
  <w:font w:name="楷体_GB2312">
    <w:altName w:val="楷体"/>
    <w:panose1 w:val="00000000000000000000"/>
    <w:charset w:val="00"/>
    <w:family w:val="auto"/>
    <w:pitch w:val="default"/>
    <w:sig w:usb0="00000000" w:usb1="00000000" w:usb2="00000000" w:usb3="00000000" w:csb0="00000000" w:csb1="00000000"/>
    <w:embedRegular r:id="rId4" w:fontKey="{B8A63201-0581-48C2-809F-CC24969C2D12}"/>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ACB7A3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7C009B"/>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92A43"/>
    <w:rsid w:val="4F3F074E"/>
    <w:rsid w:val="503E4E84"/>
    <w:rsid w:val="50DB5F45"/>
    <w:rsid w:val="52F92565"/>
    <w:rsid w:val="543D17CB"/>
    <w:rsid w:val="55DA564E"/>
    <w:rsid w:val="567F17E0"/>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1486</Words>
  <Characters>1687</Characters>
  <Lines>0</Lines>
  <Paragraphs>0</Paragraphs>
  <TotalTime>8</TotalTime>
  <ScaleCrop>false</ScaleCrop>
  <LinksUpToDate>false</LinksUpToDate>
  <CharactersWithSpaces>1695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2025-09-22T02:12:47Z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