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F84B53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喀什地区农村数字电影服务中心2024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F6A536">
      <w:r>
        <w:br w:type="page"/>
      </w:r>
    </w:p>
    <w:p w14:paraId="5196F73F">
      <w:pPr>
        <w:spacing w:line="640" w:lineRule="exact"/>
        <w:jc w:val="center"/>
        <w:outlineLvl w:val="1"/>
      </w:pPr>
      <w:r>
        <w:rPr>
          <w:rFonts w:ascii="黑体" w:hAnsi="黑体" w:eastAsia="黑体"/>
          <w:sz w:val="32"/>
        </w:rPr>
        <w:t>第一部分 部门概况</w:t>
      </w:r>
    </w:p>
    <w:p w14:paraId="5D91B61D">
      <w:pPr>
        <w:spacing w:line="640" w:lineRule="exact"/>
        <w:ind w:firstLine="640"/>
        <w:jc w:val="both"/>
        <w:outlineLvl w:val="2"/>
      </w:pPr>
      <w:r>
        <w:rPr>
          <w:rFonts w:ascii="黑体" w:hAnsi="黑体" w:eastAsia="黑体"/>
          <w:sz w:val="32"/>
        </w:rPr>
        <w:t>一、主要职能</w:t>
      </w:r>
    </w:p>
    <w:p w14:paraId="24DEA88D">
      <w:pPr>
        <w:spacing w:line="580" w:lineRule="exact"/>
        <w:ind w:firstLine="640"/>
        <w:jc w:val="both"/>
      </w:pPr>
      <w:r>
        <w:rPr>
          <w:rFonts w:ascii="仿宋_GB2312" w:hAnsi="仿宋_GB2312" w:eastAsia="仿宋_GB2312"/>
          <w:sz w:val="32"/>
        </w:rPr>
        <w:t>负责组织实施农村数字电影放映工程，负责卫星地面接收站的维护工作，负责数字电影的</w:t>
      </w:r>
      <w:r>
        <w:rPr>
          <w:rFonts w:hint="eastAsia" w:ascii="仿宋_GB2312" w:hAnsi="仿宋_GB2312" w:eastAsia="仿宋_GB2312"/>
          <w:sz w:val="32"/>
          <w:lang w:eastAsia="zh-CN"/>
        </w:rPr>
        <w:t>接收</w:t>
      </w:r>
      <w:r>
        <w:rPr>
          <w:rFonts w:ascii="仿宋_GB2312" w:hAnsi="仿宋_GB2312" w:eastAsia="仿宋_GB2312"/>
          <w:sz w:val="32"/>
        </w:rPr>
        <w:t>、下载；承担农牧区电影放映设备的验收、调配和保养维修；对农牧区电影放映人员进行技术指导和培训；制定建立放映设备登记维护制度。承担影片存储、订购、授权并向农村放映队提供影片传送服务等工作；制定农村电影放映计划，统计上报影片订购、放映等数据；负责应用各类服务平台为农村放映队提供服务和支持；提出农村电影放映工程工作方案意见和建议；落实财政配套资金、设备和场次补贴等工作。充分发挥电影</w:t>
      </w:r>
      <w:r>
        <w:rPr>
          <w:rFonts w:hint="eastAsia" w:ascii="仿宋_GB2312" w:hAnsi="仿宋_GB2312" w:eastAsia="仿宋_GB2312"/>
          <w:sz w:val="32"/>
          <w:lang w:eastAsia="zh-CN"/>
        </w:rPr>
        <w:t>寓教于乐</w:t>
      </w:r>
      <w:r>
        <w:rPr>
          <w:rFonts w:ascii="仿宋_GB2312" w:hAnsi="仿宋_GB2312" w:eastAsia="仿宋_GB2312"/>
          <w:sz w:val="32"/>
        </w:rPr>
        <w:t>的宣教作用，宣传党的路线方针政策，传播科学文化知识，培育现代生活新风尚，传播正能量弘扬主旋律，引导广大农牧民群众树立正信正行；维护农牧民群众基本文化权益，不断丰富农牧民群众精神文化生活，推动构建农村公共文化服务体系建设，使农村电影事业真正成为党和政府联系各族人民的桥梁和纽带。</w:t>
      </w:r>
    </w:p>
    <w:p w14:paraId="3A58C286">
      <w:pPr>
        <w:spacing w:line="640" w:lineRule="exact"/>
        <w:ind w:firstLine="640"/>
        <w:jc w:val="both"/>
        <w:outlineLvl w:val="2"/>
      </w:pPr>
      <w:r>
        <w:rPr>
          <w:rFonts w:ascii="黑体" w:hAnsi="黑体" w:eastAsia="黑体"/>
          <w:sz w:val="32"/>
        </w:rPr>
        <w:t>二、机构设置及人员情况</w:t>
      </w:r>
    </w:p>
    <w:p w14:paraId="2408400F">
      <w:pPr>
        <w:spacing w:line="580" w:lineRule="exact"/>
        <w:ind w:firstLine="640"/>
        <w:jc w:val="both"/>
      </w:pPr>
      <w:r>
        <w:rPr>
          <w:rFonts w:ascii="仿宋_GB2312" w:hAnsi="仿宋_GB2312" w:eastAsia="仿宋_GB2312"/>
          <w:sz w:val="32"/>
        </w:rPr>
        <w:t>喀什地区农村数字电影服务中心2024年度，实有人数29人，其中：在职人员16人，增加3人；离休人员0人，增加0人；退休人员13人,增加6人。</w:t>
      </w:r>
    </w:p>
    <w:p w14:paraId="13388793">
      <w:pPr>
        <w:spacing w:line="580" w:lineRule="exact"/>
        <w:ind w:firstLine="640"/>
        <w:jc w:val="both"/>
      </w:pPr>
      <w:r>
        <w:rPr>
          <w:rFonts w:ascii="仿宋_GB2312" w:hAnsi="仿宋_GB2312" w:eastAsia="仿宋_GB2312"/>
          <w:sz w:val="32"/>
        </w:rPr>
        <w:t>喀什地区农村数字电影服务中心无下属预算单位，下设4个科室，分别是：综合科、GPS监测中心、放映技术科、影片管理科。</w:t>
      </w:r>
    </w:p>
    <w:p w14:paraId="5EA5376E">
      <w:r>
        <w:br w:type="page"/>
      </w:r>
    </w:p>
    <w:p w14:paraId="17D08E4F">
      <w:pPr>
        <w:spacing w:line="240" w:lineRule="auto"/>
        <w:jc w:val="center"/>
        <w:outlineLvl w:val="1"/>
      </w:pPr>
      <w:r>
        <w:rPr>
          <w:rFonts w:ascii="黑体" w:hAnsi="黑体" w:eastAsia="黑体"/>
          <w:sz w:val="32"/>
        </w:rPr>
        <w:t>第二部分 部门决算情况说明</w:t>
      </w:r>
    </w:p>
    <w:p w14:paraId="7FDC0131">
      <w:pPr>
        <w:spacing w:line="640" w:lineRule="exact"/>
        <w:ind w:firstLine="640"/>
        <w:jc w:val="both"/>
        <w:outlineLvl w:val="2"/>
      </w:pPr>
      <w:r>
        <w:rPr>
          <w:rFonts w:ascii="黑体" w:hAnsi="黑体" w:eastAsia="黑体"/>
          <w:sz w:val="32"/>
        </w:rPr>
        <w:t>一、收入支出决算总体情况说明</w:t>
      </w:r>
    </w:p>
    <w:p w14:paraId="10AE2751">
      <w:pPr>
        <w:spacing w:line="580" w:lineRule="exact"/>
        <w:ind w:firstLine="640"/>
        <w:jc w:val="both"/>
      </w:pPr>
      <w:r>
        <w:rPr>
          <w:rFonts w:ascii="仿宋_GB2312" w:hAnsi="仿宋_GB2312" w:eastAsia="仿宋_GB2312"/>
          <w:b/>
          <w:sz w:val="32"/>
        </w:rPr>
        <w:t>2024年度收入总计345.32万元，</w:t>
      </w:r>
      <w:r>
        <w:rPr>
          <w:rFonts w:ascii="仿宋_GB2312" w:hAnsi="仿宋_GB2312" w:eastAsia="仿宋_GB2312"/>
          <w:b w:val="0"/>
          <w:sz w:val="32"/>
        </w:rPr>
        <w:t>其中：本年收入合计345.32万元，使用非财政拨款结余（含专用结余）0.00万元，年初结转和结余0.00万元。</w:t>
      </w:r>
    </w:p>
    <w:p w14:paraId="14BDD41B">
      <w:pPr>
        <w:spacing w:line="580" w:lineRule="exact"/>
        <w:ind w:firstLine="640"/>
        <w:jc w:val="both"/>
      </w:pPr>
      <w:r>
        <w:rPr>
          <w:rFonts w:ascii="仿宋_GB2312" w:hAnsi="仿宋_GB2312" w:eastAsia="仿宋_GB2312"/>
          <w:b/>
          <w:sz w:val="32"/>
        </w:rPr>
        <w:t>2024年度支出总计345.32万元，</w:t>
      </w:r>
      <w:r>
        <w:rPr>
          <w:rFonts w:ascii="仿宋_GB2312" w:hAnsi="仿宋_GB2312" w:eastAsia="仿宋_GB2312"/>
          <w:b w:val="0"/>
          <w:sz w:val="32"/>
        </w:rPr>
        <w:t>其中：本年支出合计345.32万元，结余分配0.00万元，年末结转和结余0.00万元。</w:t>
      </w:r>
    </w:p>
    <w:p w14:paraId="3A00D1EB">
      <w:pPr>
        <w:spacing w:line="580" w:lineRule="exact"/>
        <w:ind w:firstLine="640"/>
        <w:jc w:val="both"/>
      </w:pPr>
      <w:r>
        <w:rPr>
          <w:rFonts w:ascii="仿宋_GB2312" w:hAnsi="仿宋_GB2312" w:eastAsia="仿宋_GB2312"/>
          <w:b w:val="0"/>
          <w:sz w:val="32"/>
        </w:rPr>
        <w:t>收入支出总体与上年相比，减少11.54万元，下降3.23%，主要原因是：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在职转入退休，相关人员经费减少。</w:t>
      </w:r>
    </w:p>
    <w:p w14:paraId="7F44C854">
      <w:pPr>
        <w:spacing w:line="640" w:lineRule="exact"/>
        <w:ind w:firstLine="640"/>
        <w:jc w:val="both"/>
        <w:outlineLvl w:val="2"/>
      </w:pPr>
      <w:r>
        <w:rPr>
          <w:rFonts w:ascii="黑体" w:hAnsi="黑体" w:eastAsia="黑体"/>
          <w:sz w:val="32"/>
        </w:rPr>
        <w:t>二、收入决算情况说明</w:t>
      </w:r>
    </w:p>
    <w:p w14:paraId="65638EDC">
      <w:pPr>
        <w:spacing w:line="580" w:lineRule="exact"/>
        <w:ind w:firstLine="640"/>
        <w:jc w:val="both"/>
      </w:pPr>
      <w:r>
        <w:rPr>
          <w:rFonts w:ascii="仿宋_GB2312" w:hAnsi="仿宋_GB2312" w:eastAsia="仿宋_GB2312"/>
          <w:b/>
          <w:sz w:val="32"/>
        </w:rPr>
        <w:t>本年收入345.32万元，</w:t>
      </w:r>
      <w:r>
        <w:rPr>
          <w:rFonts w:ascii="仿宋_GB2312" w:hAnsi="仿宋_GB2312" w:eastAsia="仿宋_GB2312"/>
          <w:b w:val="0"/>
          <w:sz w:val="32"/>
        </w:rPr>
        <w:t>其中：财政拨款收入345.32万元，占100.00%；上级补助收入0.00万元，占0.00%；事业收入0.00万元，占0.00%；经营收入0.00万元，占0.00%；附属单位上缴收入0.00万元，占0.00%；其他收入0.00万元，占0.00%。</w:t>
      </w:r>
    </w:p>
    <w:p w14:paraId="2EA52A95">
      <w:pPr>
        <w:spacing w:line="640" w:lineRule="exact"/>
        <w:ind w:firstLine="640"/>
        <w:jc w:val="both"/>
        <w:outlineLvl w:val="2"/>
      </w:pPr>
      <w:r>
        <w:rPr>
          <w:rFonts w:ascii="黑体" w:hAnsi="黑体" w:eastAsia="黑体"/>
          <w:sz w:val="32"/>
        </w:rPr>
        <w:t>三、支出决算情况说明</w:t>
      </w:r>
    </w:p>
    <w:p w14:paraId="5C6A249C">
      <w:pPr>
        <w:spacing w:line="580" w:lineRule="exact"/>
        <w:ind w:firstLine="640"/>
        <w:jc w:val="both"/>
      </w:pPr>
      <w:r>
        <w:rPr>
          <w:rFonts w:ascii="仿宋_GB2312" w:hAnsi="仿宋_GB2312" w:eastAsia="仿宋_GB2312"/>
          <w:b/>
          <w:sz w:val="32"/>
        </w:rPr>
        <w:t>本年支出345.32万元，</w:t>
      </w:r>
      <w:r>
        <w:rPr>
          <w:rFonts w:ascii="仿宋_GB2312" w:hAnsi="仿宋_GB2312" w:eastAsia="仿宋_GB2312"/>
          <w:b w:val="0"/>
          <w:sz w:val="32"/>
        </w:rPr>
        <w:t>其中：基本支出304.57万元，占88.20%；项目支出40.75万元，占11.80%；上缴上级支出0.00万元，占0.00%；经营支出0.00万元，占0.00%；对附属单位补助支出0.00万元，占0.00%。</w:t>
      </w:r>
    </w:p>
    <w:p w14:paraId="34C471F2">
      <w:pPr>
        <w:spacing w:line="640" w:lineRule="exact"/>
        <w:ind w:firstLine="640"/>
        <w:jc w:val="both"/>
        <w:outlineLvl w:val="2"/>
      </w:pPr>
      <w:r>
        <w:rPr>
          <w:rFonts w:ascii="黑体" w:hAnsi="黑体" w:eastAsia="黑体"/>
          <w:sz w:val="32"/>
        </w:rPr>
        <w:t>四、财政拨款收入支出决算总体情况说明</w:t>
      </w:r>
    </w:p>
    <w:p w14:paraId="4C9BAEE7">
      <w:pPr>
        <w:spacing w:line="580" w:lineRule="exact"/>
        <w:ind w:firstLine="640"/>
        <w:jc w:val="both"/>
      </w:pPr>
      <w:r>
        <w:rPr>
          <w:rFonts w:ascii="仿宋_GB2312" w:hAnsi="仿宋_GB2312" w:eastAsia="仿宋_GB2312"/>
          <w:b/>
          <w:sz w:val="32"/>
        </w:rPr>
        <w:t>2024年度财政拨款收入总计345.32万元，</w:t>
      </w:r>
      <w:r>
        <w:rPr>
          <w:rFonts w:ascii="仿宋_GB2312" w:hAnsi="仿宋_GB2312" w:eastAsia="仿宋_GB2312"/>
          <w:b w:val="0"/>
          <w:sz w:val="32"/>
        </w:rPr>
        <w:t>其中：年初财政拨款结转和结余0.00万元，本年财政拨款收入345.32万元。</w:t>
      </w:r>
      <w:r>
        <w:rPr>
          <w:rFonts w:ascii="仿宋_GB2312" w:hAnsi="仿宋_GB2312" w:eastAsia="仿宋_GB2312"/>
          <w:b/>
          <w:sz w:val="32"/>
        </w:rPr>
        <w:t>财政拨款支出总计345.32万元，</w:t>
      </w:r>
      <w:r>
        <w:rPr>
          <w:rFonts w:ascii="仿宋_GB2312" w:hAnsi="仿宋_GB2312" w:eastAsia="仿宋_GB2312"/>
          <w:b w:val="0"/>
          <w:sz w:val="32"/>
        </w:rPr>
        <w:t>其中：年末财政拨款结转和结余0.00万元，本年财政拨款支出345.32万元。</w:t>
      </w:r>
    </w:p>
    <w:p w14:paraId="2C5291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减少11.54万元，下降3.23%，主要原因是：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在职转入退休，相关人员经费减少。</w:t>
      </w:r>
      <w:r>
        <w:rPr>
          <w:rFonts w:ascii="仿宋_GB2312" w:hAnsi="仿宋_GB2312" w:eastAsia="仿宋_GB2312"/>
          <w:b/>
          <w:sz w:val="32"/>
        </w:rPr>
        <w:t>与年初预算相比，</w:t>
      </w:r>
      <w:r>
        <w:rPr>
          <w:rFonts w:ascii="仿宋_GB2312" w:hAnsi="仿宋_GB2312" w:eastAsia="仿宋_GB2312"/>
          <w:b w:val="0"/>
          <w:sz w:val="32"/>
        </w:rPr>
        <w:t>年初预算数291.94万元，决算数345.32万元，预决算差异率18.28%，主要原因是：本年在职人员增加，年中追加人员工资、社保、公积金基数调增部分资金，导致预决算存在差异。</w:t>
      </w:r>
    </w:p>
    <w:p w14:paraId="0DD57849">
      <w:pPr>
        <w:spacing w:line="640" w:lineRule="exact"/>
        <w:ind w:firstLine="640"/>
        <w:jc w:val="both"/>
        <w:outlineLvl w:val="2"/>
      </w:pPr>
      <w:r>
        <w:rPr>
          <w:rFonts w:ascii="黑体" w:hAnsi="黑体" w:eastAsia="黑体"/>
          <w:sz w:val="32"/>
        </w:rPr>
        <w:t>五、一般公共预算财政拨款支出决算情况说明</w:t>
      </w:r>
    </w:p>
    <w:p w14:paraId="37159C37">
      <w:pPr>
        <w:spacing w:line="640" w:lineRule="exact"/>
        <w:ind w:firstLine="640"/>
        <w:jc w:val="both"/>
        <w:outlineLvl w:val="3"/>
      </w:pPr>
      <w:r>
        <w:rPr>
          <w:rFonts w:ascii="楷体_GB2312" w:hAnsi="楷体_GB2312" w:eastAsia="楷体_GB2312"/>
          <w:b/>
          <w:sz w:val="32"/>
        </w:rPr>
        <w:t>（一）一般公共预算财政拨款支出决算总体情况</w:t>
      </w:r>
    </w:p>
    <w:p w14:paraId="3D0FA619">
      <w:pPr>
        <w:spacing w:line="580" w:lineRule="exact"/>
        <w:ind w:firstLine="640"/>
        <w:jc w:val="both"/>
      </w:pPr>
      <w:r>
        <w:rPr>
          <w:rFonts w:ascii="仿宋_GB2312" w:hAnsi="仿宋_GB2312" w:eastAsia="仿宋_GB2312"/>
          <w:b/>
          <w:sz w:val="32"/>
        </w:rPr>
        <w:t>2024年度一般公共预算财政拨款支出345.32万元，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减少11.54万元，下降3.23%，主要原因是：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在职转入退休，相关人员经费减少。</w:t>
      </w:r>
      <w:r>
        <w:rPr>
          <w:rFonts w:ascii="仿宋_GB2312" w:hAnsi="仿宋_GB2312" w:eastAsia="仿宋_GB2312"/>
          <w:b/>
          <w:sz w:val="32"/>
        </w:rPr>
        <w:t>与年初预算相比,</w:t>
      </w:r>
      <w:r>
        <w:rPr>
          <w:rFonts w:ascii="仿宋_GB2312" w:hAnsi="仿宋_GB2312" w:eastAsia="仿宋_GB2312"/>
          <w:b w:val="0"/>
          <w:sz w:val="32"/>
        </w:rPr>
        <w:t>年初预算数291.94万元，决算数345.32万元，预决算差异率18.28%，主要原因是：本年在职人员增加，年中追加人员工资、社保、公积金基数调增部分资金，导致预决算存在差异。</w:t>
      </w:r>
    </w:p>
    <w:p w14:paraId="7DFEB5B2">
      <w:pPr>
        <w:spacing w:line="640" w:lineRule="exact"/>
        <w:ind w:firstLine="640"/>
        <w:jc w:val="both"/>
        <w:outlineLvl w:val="3"/>
      </w:pPr>
      <w:r>
        <w:rPr>
          <w:rFonts w:ascii="楷体_GB2312" w:hAnsi="楷体_GB2312" w:eastAsia="楷体_GB2312"/>
          <w:b/>
          <w:sz w:val="32"/>
        </w:rPr>
        <w:t>（二）一般公共预算财政拨款支出决算结构情况</w:t>
      </w:r>
    </w:p>
    <w:p w14:paraId="5C423964">
      <w:pPr>
        <w:spacing w:line="580" w:lineRule="exact"/>
        <w:ind w:firstLine="640"/>
        <w:jc w:val="both"/>
      </w:pPr>
      <w:r>
        <w:rPr>
          <w:rFonts w:ascii="仿宋_GB2312" w:hAnsi="仿宋_GB2312" w:eastAsia="仿宋_GB2312"/>
          <w:b w:val="0"/>
          <w:sz w:val="32"/>
        </w:rPr>
        <w:t>1.文化旅游体育与传媒支出(类)276.82万元,占80.16%。</w:t>
      </w:r>
    </w:p>
    <w:p w14:paraId="5A6A7ECE">
      <w:pPr>
        <w:spacing w:line="580" w:lineRule="exact"/>
        <w:ind w:firstLine="640"/>
        <w:jc w:val="both"/>
      </w:pPr>
      <w:r>
        <w:rPr>
          <w:rFonts w:ascii="仿宋_GB2312" w:hAnsi="仿宋_GB2312" w:eastAsia="仿宋_GB2312"/>
          <w:b w:val="0"/>
          <w:sz w:val="32"/>
        </w:rPr>
        <w:t>2.社会保障和就业支出(类)36.68万元,占10.62%。</w:t>
      </w:r>
    </w:p>
    <w:p w14:paraId="2C58BD44">
      <w:pPr>
        <w:spacing w:line="580" w:lineRule="exact"/>
        <w:ind w:firstLine="640"/>
        <w:jc w:val="both"/>
      </w:pPr>
      <w:r>
        <w:rPr>
          <w:rFonts w:ascii="仿宋_GB2312" w:hAnsi="仿宋_GB2312" w:eastAsia="仿宋_GB2312"/>
          <w:b w:val="0"/>
          <w:sz w:val="32"/>
        </w:rPr>
        <w:t>3.卫生健康支出(类)11.09万元,占3.21%。</w:t>
      </w:r>
    </w:p>
    <w:p w14:paraId="469D896A">
      <w:pPr>
        <w:spacing w:line="580" w:lineRule="exact"/>
        <w:ind w:firstLine="640"/>
        <w:jc w:val="both"/>
      </w:pPr>
      <w:r>
        <w:rPr>
          <w:rFonts w:ascii="仿宋_GB2312" w:hAnsi="仿宋_GB2312" w:eastAsia="仿宋_GB2312"/>
          <w:b w:val="0"/>
          <w:sz w:val="32"/>
        </w:rPr>
        <w:t>4.住房保障支出(类)20.73万元,占6.00%。</w:t>
      </w:r>
    </w:p>
    <w:p w14:paraId="15FB9FF3">
      <w:pPr>
        <w:spacing w:line="640" w:lineRule="exact"/>
        <w:ind w:firstLine="640"/>
        <w:jc w:val="both"/>
        <w:outlineLvl w:val="3"/>
      </w:pPr>
      <w:r>
        <w:rPr>
          <w:rFonts w:ascii="楷体_GB2312" w:hAnsi="楷体_GB2312" w:eastAsia="楷体_GB2312"/>
          <w:b/>
          <w:sz w:val="32"/>
        </w:rPr>
        <w:t>（三）一般公共预算财政拨款支出决算具体情况</w:t>
      </w:r>
    </w:p>
    <w:p w14:paraId="7651AEE0">
      <w:pPr>
        <w:spacing w:line="580" w:lineRule="exact"/>
        <w:ind w:firstLine="640"/>
        <w:jc w:val="both"/>
      </w:pPr>
      <w:r>
        <w:rPr>
          <w:rFonts w:ascii="仿宋_GB2312" w:hAnsi="仿宋_GB2312" w:eastAsia="仿宋_GB2312"/>
          <w:b w:val="0"/>
          <w:sz w:val="32"/>
        </w:rPr>
        <w:t>1.文化旅游体育与传媒支出(类)新闻出版电影(款)电影(项):支出决算数为276.82万元，比上年决算增加7.62万元，增长2.83%,主要原因是：本年在职人员增加，增加相关人员经费。</w:t>
      </w:r>
    </w:p>
    <w:p w14:paraId="1BB571C1">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2.社会保障和就业支出(类)行政事业单位养老支出(款)事业单位离退休(项):支出决算数为9.13万元，比上年决算增加1.58万元，增长20.93%,主要原因是：本年退休人员增加，退休费支出增加。</w:t>
      </w:r>
    </w:p>
    <w:p w14:paraId="336B348D">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26.08万元，比上年决算增加5.30万元，增长25.51%,主要原因是：本年在职人员增加，养老保险缴费较上年增加。</w:t>
      </w:r>
    </w:p>
    <w:p w14:paraId="75BB770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1.47万元，比上年决算减少16.77万元，下降91.94%,主要原因是：本年新增退休人员较上年减少，职业年金缴费较上年减少。</w:t>
      </w:r>
    </w:p>
    <w:p w14:paraId="72DB75C0">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5.社会保障和就业支出(类)抚恤(款)死亡抚恤(项):支出决算数为0.00万元，比上年决算减少14.04万元，下降100.00%,主要原因是：本年无新增死亡人员，死亡抚恤支出较上年减少。</w:t>
      </w:r>
    </w:p>
    <w:p w14:paraId="27BBDA18">
      <w:pPr>
        <w:spacing w:line="580" w:lineRule="exact"/>
        <w:ind w:firstLine="640"/>
        <w:jc w:val="both"/>
      </w:pPr>
      <w:r>
        <w:rPr>
          <w:rFonts w:ascii="仿宋_GB2312" w:hAnsi="仿宋_GB2312" w:eastAsia="仿宋_GB2312"/>
          <w:b w:val="0"/>
          <w:sz w:val="32"/>
        </w:rPr>
        <w:t>6.卫生健康支出(类)行政事业单位医疗(款)事业单位医疗(项):支出决算数为11.09万元，比上年决算增加1.40万元，增长14.45%,主要原因是：本年在职人员增加，事业单位医疗支出较上年增加。</w:t>
      </w:r>
    </w:p>
    <w:p w14:paraId="0FBF1E62">
      <w:pPr>
        <w:spacing w:line="580" w:lineRule="exact"/>
        <w:ind w:firstLine="640"/>
        <w:jc w:val="both"/>
      </w:pPr>
      <w:r>
        <w:rPr>
          <w:rFonts w:ascii="仿宋_GB2312" w:hAnsi="仿宋_GB2312" w:eastAsia="仿宋_GB2312"/>
          <w:b w:val="0"/>
          <w:sz w:val="32"/>
        </w:rPr>
        <w:t>7.住房保障支出(类)住房改革支出(款)住房公积金(项):支出决算数为20.73万元，比上年决算增加3.38万元，增长19.48%,主要原因是：本年在职人员增加，住房公积金支出较上年增加。</w:t>
      </w:r>
    </w:p>
    <w:p w14:paraId="673908B8">
      <w:pPr>
        <w:spacing w:line="640" w:lineRule="exact"/>
        <w:ind w:firstLine="640"/>
        <w:jc w:val="both"/>
        <w:outlineLvl w:val="2"/>
      </w:pPr>
      <w:r>
        <w:rPr>
          <w:rFonts w:ascii="黑体" w:hAnsi="黑体" w:eastAsia="黑体"/>
          <w:sz w:val="32"/>
        </w:rPr>
        <w:t>六、一般公共预算财政拨款基本支出决算情况说明</w:t>
      </w:r>
    </w:p>
    <w:p w14:paraId="0FCDBB0D">
      <w:pPr>
        <w:spacing w:line="580" w:lineRule="exact"/>
        <w:ind w:firstLine="640"/>
        <w:jc w:val="both"/>
      </w:pPr>
      <w:r>
        <w:rPr>
          <w:rFonts w:ascii="仿宋_GB2312" w:hAnsi="仿宋_GB2312" w:eastAsia="仿宋_GB2312"/>
          <w:b w:val="0"/>
          <w:sz w:val="32"/>
        </w:rPr>
        <w:t>2024年度一般公共预算财政拨款基本支出304.57万元，其中：</w:t>
      </w:r>
      <w:r>
        <w:rPr>
          <w:rFonts w:ascii="仿宋_GB2312" w:hAnsi="仿宋_GB2312" w:eastAsia="仿宋_GB2312"/>
          <w:b/>
          <w:sz w:val="32"/>
        </w:rPr>
        <w:t>人员经费292.62万元，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5F861880">
      <w:pPr>
        <w:spacing w:line="580" w:lineRule="exact"/>
        <w:ind w:firstLine="640"/>
        <w:jc w:val="both"/>
      </w:pPr>
      <w:r>
        <w:rPr>
          <w:rFonts w:ascii="仿宋_GB2312" w:hAnsi="仿宋_GB2312" w:eastAsia="仿宋_GB2312"/>
          <w:b/>
          <w:sz w:val="32"/>
        </w:rPr>
        <w:t>公用经费11.95万元，</w:t>
      </w:r>
      <w:r>
        <w:rPr>
          <w:rFonts w:ascii="仿宋_GB2312" w:hAnsi="仿宋_GB2312" w:eastAsia="仿宋_GB2312"/>
          <w:b w:val="0"/>
          <w:sz w:val="32"/>
        </w:rPr>
        <w:t>包括：办公费、邮电费、取暖费、差旅费、工会经费、公务用车运行维护费、其他商品和服务支出。</w:t>
      </w:r>
    </w:p>
    <w:p w14:paraId="6100E8E8">
      <w:pPr>
        <w:spacing w:line="640" w:lineRule="exact"/>
        <w:ind w:firstLine="640"/>
        <w:jc w:val="both"/>
        <w:outlineLvl w:val="2"/>
      </w:pPr>
      <w:r>
        <w:rPr>
          <w:rFonts w:ascii="黑体" w:hAnsi="黑体" w:eastAsia="黑体"/>
          <w:sz w:val="32"/>
        </w:rPr>
        <w:t>七、政府性基金预算财政拨款收入支出决算情况说明</w:t>
      </w:r>
    </w:p>
    <w:p w14:paraId="703A0F3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1C86877">
      <w:pPr>
        <w:spacing w:line="640" w:lineRule="exact"/>
        <w:ind w:firstLine="640"/>
        <w:jc w:val="both"/>
        <w:outlineLvl w:val="2"/>
      </w:pPr>
      <w:r>
        <w:rPr>
          <w:rFonts w:ascii="黑体" w:hAnsi="黑体" w:eastAsia="黑体"/>
          <w:sz w:val="32"/>
        </w:rPr>
        <w:t>八、国有资本经营预算财政拨款收入支出决算情况说明</w:t>
      </w:r>
    </w:p>
    <w:p w14:paraId="175888D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39BFB5F">
      <w:pPr>
        <w:spacing w:line="640" w:lineRule="exact"/>
        <w:ind w:firstLine="640"/>
        <w:jc w:val="both"/>
        <w:outlineLvl w:val="2"/>
      </w:pPr>
      <w:r>
        <w:rPr>
          <w:rFonts w:ascii="黑体" w:hAnsi="黑体" w:eastAsia="黑体"/>
          <w:sz w:val="32"/>
        </w:rPr>
        <w:t>九、财政拨款“三公”经费支出决算情况说明</w:t>
      </w:r>
    </w:p>
    <w:p w14:paraId="36DE4216">
      <w:pPr>
        <w:spacing w:line="580" w:lineRule="exact"/>
        <w:ind w:firstLine="640"/>
        <w:jc w:val="both"/>
      </w:pPr>
      <w:r>
        <w:rPr>
          <w:rFonts w:ascii="仿宋_GB2312" w:hAnsi="仿宋_GB2312" w:eastAsia="仿宋_GB2312"/>
          <w:b/>
          <w:sz w:val="32"/>
        </w:rPr>
        <w:t>2024年度财政拨款“三公”经费支出1.04万元，</w:t>
      </w:r>
      <w:r>
        <w:rPr>
          <w:rFonts w:ascii="仿宋_GB2312" w:hAnsi="仿宋_GB2312" w:eastAsia="仿宋_GB2312"/>
          <w:b w:val="0"/>
          <w:sz w:val="32"/>
        </w:rPr>
        <w:t>比上年减少0.26万元，下降20.00%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1.04万元，占100.00%，比上年减少0.26万元，下降20.00%，主要原因是：严格落实中央八项规定精神，厉行节约，减少公务用车运行维护费。公务接待费支出0.00万元，占0.00%，比上年增加0.00万元，增长0.00%，主要原因是：2023年与2024年均未安排公务接待费支出。</w:t>
      </w:r>
    </w:p>
    <w:p w14:paraId="29A2DB3B">
      <w:pPr>
        <w:spacing w:line="580" w:lineRule="exact"/>
        <w:ind w:firstLine="640"/>
        <w:jc w:val="both"/>
      </w:pPr>
      <w:r>
        <w:rPr>
          <w:rFonts w:ascii="仿宋_GB2312" w:hAnsi="仿宋_GB2312" w:eastAsia="仿宋_GB2312"/>
          <w:b/>
          <w:sz w:val="32"/>
        </w:rPr>
        <w:t>具体情况如下：</w:t>
      </w:r>
    </w:p>
    <w:p w14:paraId="7D86933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5D972AE">
      <w:pPr>
        <w:spacing w:line="580" w:lineRule="exact"/>
        <w:ind w:firstLine="640"/>
        <w:jc w:val="both"/>
      </w:pPr>
      <w:r>
        <w:rPr>
          <w:rFonts w:ascii="仿宋_GB2312" w:hAnsi="仿宋_GB2312" w:eastAsia="仿宋_GB2312"/>
          <w:b w:val="0"/>
          <w:sz w:val="32"/>
        </w:rPr>
        <w:t>公务用车购置及运行维护费1.04万元，其中：公务用车购置费0.00万元，公务用车运行维护费1.04万元。公务用车运行维护费开支内容包括车辆燃油费、车辆维修费、车辆保险。公务用车购置数0辆，公务用车保有量1辆。国有资产占用情况中固定资产车辆2辆，与公务用车保有量差异原因是：本部门车辆借用其他单位使用，车辆费用由使用单位支付。</w:t>
      </w:r>
    </w:p>
    <w:p w14:paraId="44FA79C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0A3FBE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万元，决算数1.04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1.04万元，决算数1.04万元，预决算差异率0.00%，主要原因是：严格按照预算执行，预决算无差异。公务接待费全年预算数0.00万元，决算数0.00万元，预决算差异率0.00%，主要原因是：本部门无公务接待费。</w:t>
      </w:r>
    </w:p>
    <w:p w14:paraId="2C1D7C59">
      <w:pPr>
        <w:spacing w:line="640" w:lineRule="exact"/>
        <w:ind w:firstLine="640"/>
        <w:jc w:val="both"/>
        <w:outlineLvl w:val="2"/>
      </w:pPr>
      <w:r>
        <w:rPr>
          <w:rFonts w:ascii="黑体" w:hAnsi="黑体" w:eastAsia="黑体"/>
          <w:sz w:val="32"/>
        </w:rPr>
        <w:t>十、其他重要事项的情况说明</w:t>
      </w:r>
    </w:p>
    <w:p w14:paraId="1FD45B67">
      <w:pPr>
        <w:spacing w:line="640" w:lineRule="exact"/>
        <w:ind w:firstLine="640"/>
        <w:jc w:val="both"/>
        <w:outlineLvl w:val="3"/>
      </w:pPr>
      <w:r>
        <w:rPr>
          <w:rFonts w:ascii="楷体_GB2312" w:hAnsi="楷体_GB2312" w:eastAsia="楷体_GB2312"/>
          <w:b/>
          <w:sz w:val="32"/>
        </w:rPr>
        <w:t>（一）机关运行经费及公用经费支出情况</w:t>
      </w:r>
    </w:p>
    <w:p w14:paraId="2023F68E">
      <w:pPr>
        <w:spacing w:line="580" w:lineRule="exact"/>
        <w:ind w:firstLine="640"/>
        <w:jc w:val="both"/>
      </w:pPr>
      <w:r>
        <w:rPr>
          <w:rFonts w:ascii="仿宋_GB2312" w:hAnsi="仿宋_GB2312" w:eastAsia="仿宋_GB2312"/>
          <w:b w:val="0"/>
          <w:sz w:val="32"/>
        </w:rPr>
        <w:t>2024年度喀什地区农村数字电影服务中心（事业单位）公用经费支出11.95万元，比上年减少0.84万元，下降6.57%，主要原因是：严格控制公用经费，合理节约办公用品，减少不必要开支。</w:t>
      </w:r>
    </w:p>
    <w:p w14:paraId="552CB365">
      <w:pPr>
        <w:spacing w:line="640" w:lineRule="exact"/>
        <w:ind w:firstLine="640"/>
        <w:jc w:val="both"/>
        <w:outlineLvl w:val="3"/>
      </w:pPr>
      <w:r>
        <w:rPr>
          <w:rFonts w:ascii="楷体_GB2312" w:hAnsi="楷体_GB2312" w:eastAsia="楷体_GB2312"/>
          <w:b/>
          <w:sz w:val="32"/>
        </w:rPr>
        <w:t>（二）政府采购情况</w:t>
      </w:r>
    </w:p>
    <w:p w14:paraId="3D1B2B0D">
      <w:pPr>
        <w:spacing w:line="580" w:lineRule="exact"/>
        <w:ind w:firstLine="640"/>
        <w:jc w:val="both"/>
      </w:pPr>
      <w:r>
        <w:rPr>
          <w:rFonts w:ascii="仿宋_GB2312" w:hAnsi="仿宋_GB2312" w:eastAsia="仿宋_GB2312"/>
          <w:b w:val="0"/>
          <w:sz w:val="32"/>
        </w:rPr>
        <w:t>2024年度政府采购支出总额5.82万元，其中：政府采购货物支出5.82万元、政府采购工程支出0.00万元、政府采购服务支出0.00万元。</w:t>
      </w:r>
    </w:p>
    <w:p w14:paraId="09B8CDC6">
      <w:pPr>
        <w:spacing w:line="580" w:lineRule="exact"/>
        <w:ind w:firstLine="640"/>
        <w:jc w:val="both"/>
      </w:pPr>
      <w:r>
        <w:rPr>
          <w:rFonts w:ascii="仿宋_GB2312" w:hAnsi="仿宋_GB2312" w:eastAsia="仿宋_GB2312"/>
          <w:b w:val="0"/>
          <w:sz w:val="32"/>
        </w:rPr>
        <w:t>授予中小企业合同金额5.82万元，占政府采购支出总额的100.00%，其中：授予小微企业合同金额5.82万元，占政府采购支出总额的100.00%。</w:t>
      </w:r>
    </w:p>
    <w:p w14:paraId="33A2D9D9">
      <w:pPr>
        <w:spacing w:line="640" w:lineRule="exact"/>
        <w:ind w:firstLine="640"/>
        <w:jc w:val="both"/>
        <w:outlineLvl w:val="3"/>
      </w:pPr>
      <w:r>
        <w:rPr>
          <w:rFonts w:ascii="楷体_GB2312" w:hAnsi="楷体_GB2312" w:eastAsia="楷体_GB2312"/>
          <w:b/>
          <w:sz w:val="32"/>
        </w:rPr>
        <w:t>（三）国有资产占用情况说明</w:t>
      </w:r>
    </w:p>
    <w:p w14:paraId="3AD540D8">
      <w:pPr>
        <w:spacing w:line="580" w:lineRule="exact"/>
        <w:ind w:firstLine="640"/>
        <w:jc w:val="both"/>
      </w:pPr>
      <w:r>
        <w:rPr>
          <w:rFonts w:ascii="仿宋_GB2312" w:hAnsi="仿宋_GB2312" w:eastAsia="仿宋_GB2312"/>
          <w:b w:val="0"/>
          <w:sz w:val="32"/>
        </w:rPr>
        <w:t>截至2024年12月31日，房屋0.00平方米，价值0.00万元。车辆2辆，价值38.83万元，其中：副部（省）级及以上领导用车0辆、主要负责人用车0辆、机要通信用车0辆、应急保障用车0辆、执法执勤用车0辆、特种专业技术用车0辆、离退休干部服务用车0辆、其他用车2辆，其他用车主要是：单位业务用车及一般公务用车。单价100万元（含）以上设备（不含车辆）0台（套）。</w:t>
      </w:r>
    </w:p>
    <w:p w14:paraId="65A8EB7E">
      <w:pPr>
        <w:spacing w:line="640" w:lineRule="exact"/>
        <w:ind w:firstLine="640"/>
        <w:jc w:val="both"/>
        <w:outlineLvl w:val="2"/>
      </w:pPr>
      <w:r>
        <w:rPr>
          <w:rFonts w:ascii="黑体" w:hAnsi="黑体" w:eastAsia="黑体"/>
          <w:sz w:val="32"/>
        </w:rPr>
        <w:t>十一、预算绩效的情况说明</w:t>
      </w:r>
    </w:p>
    <w:p w14:paraId="76322BC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根据预算绩效管理要求，本部门2024年度预算绩效管理形成整体支出绩效自评表1个，全年预算总额348.37万元，实际执行总额345.32万元；预算绩效评价项目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40.75</w:t>
      </w:r>
      <w:r>
        <w:rPr>
          <w:rFonts w:ascii="仿宋_GB2312" w:hAnsi="仿宋_GB2312" w:eastAsia="仿宋_GB2312"/>
          <w:b w:val="0"/>
          <w:sz w:val="32"/>
        </w:rPr>
        <w:t>万元，全年执行数</w:t>
      </w:r>
      <w:r>
        <w:rPr>
          <w:rFonts w:hint="eastAsia" w:ascii="仿宋_GB2312" w:hAnsi="仿宋_GB2312" w:eastAsia="仿宋_GB2312"/>
          <w:b w:val="0"/>
          <w:sz w:val="32"/>
        </w:rPr>
        <w:t>40.75</w:t>
      </w:r>
      <w:r>
        <w:rPr>
          <w:rFonts w:ascii="仿宋_GB2312" w:hAnsi="仿宋_GB2312" w:eastAsia="仿宋_GB2312"/>
          <w:b w:val="0"/>
          <w:sz w:val="32"/>
        </w:rPr>
        <w:t>万元。预算绩效管理取得的成效：一是本项目能够严格按照《项目实施方案》执行一村一月放映一场公益电影放映，2024年度放映任务为31549工作提供丰富的影片节目资源，不断丰富农牧民群众的精神文化生活，保障农牧民群众基本文化权益，逐步提高农牧民群众的思想水平和文化素养任务，项目执行情况较好。二是加强组织领导，本项目绩效评价工作，有主要领导彭志军主任亲自挂帅，分管领导渠丽芳具体负责，从项目开始到资金支付完毕全程监督，均</w:t>
      </w:r>
      <w:r>
        <w:rPr>
          <w:rFonts w:hint="eastAsia" w:ascii="仿宋_GB2312" w:hAnsi="仿宋_GB2312" w:eastAsia="仿宋_GB2312"/>
          <w:b w:val="0"/>
          <w:sz w:val="32"/>
          <w:lang w:eastAsia="zh-CN"/>
        </w:rPr>
        <w:t>能够</w:t>
      </w:r>
      <w:r>
        <w:rPr>
          <w:rFonts w:ascii="仿宋_GB2312" w:hAnsi="仿宋_GB2312" w:eastAsia="仿宋_GB2312"/>
          <w:b w:val="0"/>
          <w:sz w:val="32"/>
        </w:rPr>
        <w:t>很好执行。三是加强与各县市农影站沟通协调，我单位及时向领导汇报实际放映进度，确保全区电影按期播放,保证每月每村一场电影。发现的问题及原因：一是每年资金不是年初下达，都是年终追加；较短时间内存在资金支付的压力，执行有偏差。二是部分业务人员绩效管理意识有待增强，未能全面深入认识理解绩效管理工作的意义。绩效管理经验不足，预算绩效管理工作有待进一步落实，三是缺少带着问题去评价的意识，四是现场评价的工作量少，后续效益评价具体措施和方法较少。绩效指标的明确性、可衡量性、相关性还需进一步提升。下一步改进措施：</w:t>
      </w:r>
      <w:r>
        <w:rPr>
          <w:rFonts w:hint="eastAsia" w:ascii="仿宋_GB2312" w:hAnsi="仿宋_GB2312" w:eastAsia="仿宋_GB2312"/>
          <w:b w:val="0"/>
          <w:sz w:val="32"/>
        </w:rPr>
        <w:t>一是强项目实施方案和计划的可行性论证，仔细撰写可行性研究报告，对项目开展的必要性、可行性、风险防范措施等进行深入分析，同时制定工作实施方案和资金使用方案。二是项目评价资料有待进一步完善。项目启动时同步做好档案的归纳与整理，及时整理、收集、汇总，健全档案资料。项目后续管理有待进一步加强和跟踪。三是严格执行项目支出预算，积极推进项目实施；细化财政收支预算，保证部门预算金额准确性可靠性；加强对预算执行过程的控制和结果的反馈，出现问题及时跟领导汇报及反馈，有效地完成绩效管理工作。四是评价工作应从项目实施方案源头抓起，评价工作和意识应贯穿项目整个过程。</w:t>
      </w:r>
      <w:r>
        <w:rPr>
          <w:rFonts w:ascii="仿宋_GB2312" w:hAnsi="仿宋_GB2312" w:eastAsia="仿宋_GB2312"/>
          <w:b w:val="0"/>
          <w:sz w:val="32"/>
        </w:rPr>
        <w:t>具体附部门整体支出绩效自评表，项目支出绩效自评表和部门评价报告。</w:t>
      </w:r>
    </w:p>
    <w:p w14:paraId="6E9EB6D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A4E102">
        <w:tblPrEx>
          <w:tblCellMar>
            <w:top w:w="0" w:type="dxa"/>
            <w:left w:w="108" w:type="dxa"/>
            <w:bottom w:w="0" w:type="dxa"/>
            <w:right w:w="108" w:type="dxa"/>
          </w:tblCellMar>
        </w:tblPrEx>
        <w:tc>
          <w:tcPr>
            <w:tcW w:w="8847" w:type="dxa"/>
            <w:gridSpan w:val="9"/>
            <w:vAlign w:val="center"/>
          </w:tcPr>
          <w:p w14:paraId="68E3A7AB">
            <w:pPr>
              <w:jc w:val="center"/>
            </w:pPr>
            <w:r>
              <w:rPr>
                <w:rFonts w:ascii="宋体" w:hAnsi="宋体" w:eastAsia="宋体"/>
                <w:sz w:val="24"/>
              </w:rPr>
              <w:t>部门整体支出绩效自评表</w:t>
            </w:r>
          </w:p>
        </w:tc>
      </w:tr>
      <w:tr w14:paraId="0A5DC7F1">
        <w:tblPrEx>
          <w:tblCellMar>
            <w:top w:w="0" w:type="dxa"/>
            <w:left w:w="108" w:type="dxa"/>
            <w:bottom w:w="0" w:type="dxa"/>
            <w:right w:w="108" w:type="dxa"/>
          </w:tblCellMar>
        </w:tblPrEx>
        <w:tc>
          <w:tcPr>
            <w:tcW w:w="8847" w:type="dxa"/>
            <w:gridSpan w:val="9"/>
            <w:vAlign w:val="center"/>
          </w:tcPr>
          <w:p w14:paraId="22B092EB">
            <w:pPr>
              <w:jc w:val="center"/>
            </w:pPr>
            <w:r>
              <w:rPr>
                <w:rFonts w:ascii="宋体" w:hAnsi="宋体" w:eastAsia="宋体"/>
                <w:sz w:val="24"/>
              </w:rPr>
              <w:t>（2024年度）</w:t>
            </w:r>
          </w:p>
        </w:tc>
      </w:tr>
      <w:tr w14:paraId="193363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7450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2E32803">
            <w:pPr>
              <w:jc w:val="center"/>
            </w:pPr>
            <w:r>
              <w:rPr>
                <w:rFonts w:ascii="宋体" w:hAnsi="宋体" w:eastAsia="宋体"/>
                <w:sz w:val="16"/>
              </w:rPr>
              <w:t>喀什地区农村数字电影服务中心</w:t>
            </w:r>
          </w:p>
        </w:tc>
      </w:tr>
      <w:tr w14:paraId="302F4C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4D2F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7645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90A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D51F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F52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389A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CDB8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3799">
            <w:pPr>
              <w:jc w:val="center"/>
            </w:pPr>
            <w:r>
              <w:rPr>
                <w:rFonts w:ascii="宋体" w:hAnsi="宋体" w:eastAsia="宋体"/>
                <w:sz w:val="16"/>
              </w:rPr>
              <w:t>得分</w:t>
            </w:r>
          </w:p>
        </w:tc>
      </w:tr>
      <w:tr w14:paraId="7A4341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9E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DB08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66814">
            <w:pPr>
              <w:jc w:val="center"/>
            </w:pPr>
            <w:r>
              <w:rPr>
                <w:rFonts w:ascii="宋体" w:hAnsi="宋体" w:eastAsia="宋体"/>
                <w:sz w:val="16"/>
              </w:rPr>
              <w:t>291.94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A725E">
            <w:pPr>
              <w:jc w:val="center"/>
            </w:pPr>
            <w:r>
              <w:rPr>
                <w:rFonts w:ascii="宋体" w:hAnsi="宋体" w:eastAsia="宋体"/>
                <w:sz w:val="16"/>
              </w:rPr>
              <w:t>348.37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B989D">
            <w:pPr>
              <w:jc w:val="center"/>
            </w:pPr>
            <w:r>
              <w:rPr>
                <w:rFonts w:ascii="宋体" w:hAnsi="宋体" w:eastAsia="宋体"/>
                <w:sz w:val="16"/>
              </w:rPr>
              <w:t>345.32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0DB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E867A">
            <w:pPr>
              <w:jc w:val="center"/>
            </w:pPr>
            <w:r>
              <w:rPr>
                <w:rFonts w:ascii="宋体" w:hAnsi="宋体" w:eastAsia="宋体"/>
                <w:sz w:val="16"/>
              </w:rPr>
              <w:t>99.12%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8D45">
            <w:pPr>
              <w:jc w:val="center"/>
            </w:pPr>
            <w:r>
              <w:rPr>
                <w:rFonts w:ascii="宋体" w:hAnsi="宋体" w:eastAsia="宋体"/>
                <w:sz w:val="16"/>
              </w:rPr>
              <w:t>9.91</w:t>
            </w:r>
          </w:p>
        </w:tc>
      </w:tr>
      <w:tr w14:paraId="7BF0C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F50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ADA4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A0E9F">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D46A">
            <w:pPr>
              <w:jc w:val="center"/>
            </w:pPr>
            <w:r>
              <w:rPr>
                <w:rFonts w:ascii="宋体" w:hAnsi="宋体" w:eastAsia="宋体"/>
                <w:sz w:val="16"/>
              </w:rPr>
              <w:t>57.43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A9E5">
            <w:pPr>
              <w:jc w:val="center"/>
            </w:pPr>
            <w:r>
              <w:rPr>
                <w:rFonts w:ascii="宋体" w:hAnsi="宋体" w:eastAsia="宋体"/>
                <w:sz w:val="16"/>
              </w:rPr>
              <w:t>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DE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B9D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BDEA">
            <w:pPr>
              <w:jc w:val="center"/>
            </w:pPr>
            <w:r>
              <w:rPr>
                <w:rFonts w:ascii="宋体" w:hAnsi="宋体" w:eastAsia="宋体"/>
                <w:sz w:val="16"/>
              </w:rPr>
              <w:t>—</w:t>
            </w:r>
          </w:p>
        </w:tc>
      </w:tr>
      <w:tr w14:paraId="3683C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CF3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8961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7B5BB">
            <w:pPr>
              <w:jc w:val="center"/>
            </w:pPr>
            <w:r>
              <w:rPr>
                <w:rFonts w:ascii="宋体" w:hAnsi="宋体" w:eastAsia="宋体"/>
                <w:sz w:val="16"/>
              </w:rPr>
              <w:t>290.71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DA5C6">
            <w:pPr>
              <w:jc w:val="center"/>
            </w:pPr>
            <w:r>
              <w:rPr>
                <w:rFonts w:ascii="宋体" w:hAnsi="宋体" w:eastAsia="宋体"/>
                <w:sz w:val="16"/>
              </w:rPr>
              <w:t>290.94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C1D7">
            <w:pPr>
              <w:jc w:val="center"/>
            </w:pPr>
            <w:r>
              <w:rPr>
                <w:rFonts w:ascii="宋体" w:hAnsi="宋体" w:eastAsia="宋体"/>
                <w:sz w:val="16"/>
              </w:rPr>
              <w:t>290.94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81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630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5C75">
            <w:pPr>
              <w:jc w:val="center"/>
            </w:pPr>
            <w:r>
              <w:rPr>
                <w:rFonts w:ascii="宋体" w:hAnsi="宋体" w:eastAsia="宋体"/>
                <w:sz w:val="16"/>
              </w:rPr>
              <w:t>—</w:t>
            </w:r>
          </w:p>
        </w:tc>
      </w:tr>
      <w:tr w14:paraId="733B0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1BA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610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502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4BD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CC3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A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669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32C0">
            <w:pPr>
              <w:jc w:val="center"/>
            </w:pPr>
            <w:r>
              <w:rPr>
                <w:rFonts w:ascii="宋体" w:hAnsi="宋体" w:eastAsia="宋体"/>
                <w:sz w:val="16"/>
              </w:rPr>
              <w:t>—</w:t>
            </w:r>
          </w:p>
        </w:tc>
      </w:tr>
      <w:tr w14:paraId="159364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2F73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2D35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1F6C3">
            <w:pPr>
              <w:jc w:val="center"/>
            </w:pPr>
            <w:r>
              <w:rPr>
                <w:rFonts w:ascii="宋体" w:hAnsi="宋体" w:eastAsia="宋体"/>
                <w:sz w:val="16"/>
              </w:rPr>
              <w:t>实际完成情况</w:t>
            </w:r>
          </w:p>
        </w:tc>
      </w:tr>
      <w:tr w14:paraId="398060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8F5B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F0B3AB">
            <w:pPr>
              <w:jc w:val="both"/>
            </w:pPr>
            <w:r>
              <w:rPr>
                <w:rFonts w:ascii="宋体" w:hAnsi="宋体" w:eastAsia="宋体"/>
                <w:sz w:val="16"/>
              </w:rPr>
              <w:t>喀什地区农村数字电影服务中心是公益一类事业单位，承担全地区农村数字电影节目下载、订购和授权等工作，确保“一村一月一场公益电影”文化惠民工程顺利实施；为12县市开展农村数字电影计划全年公益电影放映播放为29748场，其中优秀爱国主义电影进校园场次为4987场，放映提供影片节目订购、下载、授权，影片节目保管，放映统计等服务工作；严格按照上级一村一月一场电影放映计划，按时完成上级下达放映任务，深入开展“文化润疆”工程，开展公益数字电影放映活动，用文化滋养全地区各族群众，铸牢中华民族共同体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5D88DE">
            <w:pPr>
              <w:jc w:val="both"/>
            </w:pPr>
            <w:r>
              <w:rPr>
                <w:rFonts w:hint="eastAsia" w:ascii="宋体" w:hAnsi="宋体"/>
                <w:sz w:val="16"/>
                <w:lang w:eastAsia="zh-CN"/>
              </w:rPr>
              <w:t>全面</w:t>
            </w:r>
            <w:r>
              <w:rPr>
                <w:rFonts w:ascii="宋体" w:hAnsi="宋体" w:eastAsia="宋体"/>
                <w:sz w:val="16"/>
              </w:rPr>
              <w:t>贯彻落实“十四五”中国电影发展规划，深入开展“文化润疆”工作开展公益数字电影放映活动，用文化滋养全地区各族群众，铸牢中华民族共同体意识，建设各民族共有精神家园喀什地区农村数字电影服务中心2024年全年完成33855场公益农村电影放映</w:t>
            </w:r>
            <w:r>
              <w:rPr>
                <w:rFonts w:hint="eastAsia" w:ascii="宋体" w:hAnsi="宋体"/>
                <w:sz w:val="16"/>
                <w:lang w:eastAsia="zh-CN"/>
              </w:rPr>
              <w:t>工作</w:t>
            </w:r>
            <w:r>
              <w:rPr>
                <w:rFonts w:ascii="宋体" w:hAnsi="宋体" w:eastAsia="宋体"/>
                <w:sz w:val="16"/>
              </w:rPr>
              <w:t>；优秀爱国主义电影进校园场次</w:t>
            </w:r>
            <w:r>
              <w:rPr>
                <w:rFonts w:hint="eastAsia" w:ascii="宋体" w:hAnsi="宋体"/>
                <w:sz w:val="16"/>
                <w:lang w:eastAsia="zh-CN"/>
              </w:rPr>
              <w:t>截至</w:t>
            </w:r>
            <w:r>
              <w:rPr>
                <w:rFonts w:ascii="宋体" w:hAnsi="宋体" w:eastAsia="宋体"/>
                <w:sz w:val="16"/>
              </w:rPr>
              <w:t>年末完成6380场；积极推进优秀爱国主义电影进社区主题放映活动，</w:t>
            </w:r>
            <w:r>
              <w:rPr>
                <w:rFonts w:hint="eastAsia" w:ascii="宋体" w:hAnsi="宋体"/>
                <w:sz w:val="16"/>
                <w:lang w:eastAsia="zh-CN"/>
              </w:rPr>
              <w:t>截至</w:t>
            </w:r>
            <w:r>
              <w:rPr>
                <w:rFonts w:ascii="宋体" w:hAnsi="宋体" w:eastAsia="宋体"/>
                <w:sz w:val="16"/>
              </w:rPr>
              <w:t>年底社区总放映1416场，观影群众10.11万人次；精心挑选群众，学生和居民喜爱的影片，推荐选取一系列优秀爱国主义电影如《黎明行动》《湘南起义》等进行订购。发挥了农村数字电影放映文化惠民，文化育人的积极作用。</w:t>
            </w:r>
          </w:p>
        </w:tc>
      </w:tr>
      <w:tr w14:paraId="0188E4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9F4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3EFA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88B8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6D3D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4967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4A27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24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D094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37355">
            <w:pPr>
              <w:jc w:val="center"/>
            </w:pPr>
            <w:r>
              <w:rPr>
                <w:rFonts w:ascii="宋体" w:hAnsi="宋体" w:eastAsia="宋体"/>
                <w:sz w:val="16"/>
              </w:rPr>
              <w:t>得分</w:t>
            </w:r>
          </w:p>
        </w:tc>
      </w:tr>
      <w:tr w14:paraId="39DBBE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5DF9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515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D7B55">
            <w:pPr>
              <w:jc w:val="center"/>
            </w:pPr>
            <w:r>
              <w:rPr>
                <w:rFonts w:ascii="宋体" w:hAnsi="宋体" w:eastAsia="宋体"/>
                <w:sz w:val="16"/>
              </w:rPr>
              <w:t>全年公益电影放映计划场次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DFB19">
            <w:pPr>
              <w:jc w:val="center"/>
            </w:pPr>
            <w:r>
              <w:rPr>
                <w:rFonts w:ascii="宋体" w:hAnsi="宋体" w:eastAsia="宋体"/>
                <w:sz w:val="16"/>
              </w:rPr>
              <w:t>&gt;=29748场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05A92">
            <w:pPr>
              <w:jc w:val="center"/>
            </w:pPr>
            <w:r>
              <w:rPr>
                <w:rFonts w:ascii="宋体" w:hAnsi="宋体" w:eastAsia="宋体"/>
                <w:sz w:val="16"/>
              </w:rPr>
              <w:t>自治区党委宣传部印发《关于下达2023年度新疆农村电影公益放映场次计划的通知》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DE3A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73EE9">
            <w:pPr>
              <w:jc w:val="center"/>
            </w:pPr>
            <w:r>
              <w:rPr>
                <w:rFonts w:ascii="宋体" w:hAnsi="宋体" w:eastAsia="宋体"/>
                <w:sz w:val="16"/>
              </w:rPr>
              <w:t>33855场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0BE6F">
            <w:pPr>
              <w:jc w:val="center"/>
            </w:pPr>
            <w:r>
              <w:rPr>
                <w:rFonts w:ascii="宋体" w:hAnsi="宋体" w:eastAsia="宋体"/>
                <w:sz w:val="16"/>
              </w:rPr>
              <w:t>113.81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7AE3C">
            <w:pPr>
              <w:jc w:val="center"/>
            </w:pPr>
            <w:r>
              <w:rPr>
                <w:rFonts w:ascii="宋体" w:hAnsi="宋体" w:eastAsia="宋体"/>
                <w:sz w:val="16"/>
              </w:rPr>
              <w:t>30</w:t>
            </w:r>
          </w:p>
        </w:tc>
      </w:tr>
      <w:tr w14:paraId="283E6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ABC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5C8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861A8">
            <w:pPr>
              <w:jc w:val="center"/>
            </w:pPr>
            <w:r>
              <w:rPr>
                <w:rFonts w:ascii="宋体" w:hAnsi="宋体" w:eastAsia="宋体"/>
                <w:sz w:val="16"/>
              </w:rPr>
              <w:t>优秀爱国主义电影进校园场次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54DD4">
            <w:pPr>
              <w:jc w:val="center"/>
            </w:pPr>
            <w:r>
              <w:rPr>
                <w:rFonts w:ascii="宋体" w:hAnsi="宋体" w:eastAsia="宋体"/>
                <w:sz w:val="16"/>
              </w:rPr>
              <w:t>&gt;=4987场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D5C2">
            <w:pPr>
              <w:jc w:val="center"/>
            </w:pPr>
            <w:r>
              <w:rPr>
                <w:rFonts w:ascii="宋体" w:hAnsi="宋体" w:eastAsia="宋体"/>
                <w:sz w:val="16"/>
              </w:rPr>
              <w:t>自治区党委宣传部印发《关于下达2023年度新疆农村电影公益放映场次计划的通知》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8CD0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0F4D1">
            <w:pPr>
              <w:jc w:val="center"/>
            </w:pPr>
            <w:r>
              <w:rPr>
                <w:rFonts w:ascii="宋体" w:hAnsi="宋体" w:eastAsia="宋体"/>
                <w:sz w:val="16"/>
              </w:rPr>
              <w:t>6380场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405B0">
            <w:pPr>
              <w:jc w:val="center"/>
            </w:pPr>
            <w:r>
              <w:rPr>
                <w:rFonts w:ascii="宋体" w:hAnsi="宋体" w:eastAsia="宋体"/>
                <w:sz w:val="16"/>
              </w:rPr>
              <w:t>127.93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BED00">
            <w:pPr>
              <w:jc w:val="center"/>
            </w:pPr>
            <w:r>
              <w:rPr>
                <w:rFonts w:ascii="宋体" w:hAnsi="宋体" w:eastAsia="宋体"/>
                <w:sz w:val="16"/>
              </w:rPr>
              <w:t>30</w:t>
            </w:r>
          </w:p>
        </w:tc>
      </w:tr>
      <w:tr w14:paraId="0E846B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026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50B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6C189">
            <w:pPr>
              <w:jc w:val="center"/>
            </w:pPr>
            <w:r>
              <w:rPr>
                <w:rFonts w:ascii="宋体" w:hAnsi="宋体" w:eastAsia="宋体"/>
                <w:sz w:val="16"/>
              </w:rPr>
              <w:t>确保放映电影质量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3F0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05F64">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13E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332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C9A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ADE73">
            <w:pPr>
              <w:jc w:val="center"/>
            </w:pPr>
            <w:r>
              <w:rPr>
                <w:rFonts w:ascii="宋体" w:hAnsi="宋体" w:eastAsia="宋体"/>
                <w:sz w:val="16"/>
              </w:rPr>
              <w:t>10</w:t>
            </w:r>
          </w:p>
        </w:tc>
      </w:tr>
      <w:tr w14:paraId="2F66BF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E91E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434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62E0F">
            <w:pPr>
              <w:jc w:val="center"/>
            </w:pPr>
            <w:r>
              <w:rPr>
                <w:rFonts w:ascii="宋体" w:hAnsi="宋体" w:eastAsia="宋体"/>
                <w:sz w:val="16"/>
              </w:rPr>
              <w:t>公益电影放映覆盖率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06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B26EB">
            <w:pPr>
              <w:jc w:val="center"/>
            </w:pPr>
            <w:r>
              <w:rPr>
                <w:rFonts w:ascii="宋体" w:hAnsi="宋体" w:eastAsia="宋体"/>
                <w:sz w:val="16"/>
              </w:rPr>
              <w:t>2022年工作总结及2023年工作计划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663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2A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478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CF09D">
            <w:pPr>
              <w:jc w:val="center"/>
            </w:pPr>
            <w:r>
              <w:rPr>
                <w:rFonts w:ascii="宋体" w:hAnsi="宋体" w:eastAsia="宋体"/>
                <w:sz w:val="16"/>
              </w:rPr>
              <w:t>10</w:t>
            </w:r>
          </w:p>
        </w:tc>
      </w:tr>
      <w:tr w14:paraId="4149DA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5D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5EB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06915">
            <w:pPr>
              <w:jc w:val="center"/>
            </w:pPr>
            <w:r>
              <w:rPr>
                <w:rFonts w:ascii="宋体" w:hAnsi="宋体" w:eastAsia="宋体"/>
                <w:sz w:val="16"/>
              </w:rPr>
              <w:t>影片节目订购、下载、授权及时率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CE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03E11">
            <w:pPr>
              <w:jc w:val="center"/>
            </w:pPr>
            <w:r>
              <w:rPr>
                <w:rFonts w:ascii="宋体" w:hAnsi="宋体" w:eastAsia="宋体"/>
                <w:sz w:val="16"/>
              </w:rPr>
              <w:t>新疆农村电影发行放映管理暂行办法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22A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832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147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4DEE4">
            <w:pPr>
              <w:jc w:val="center"/>
            </w:pPr>
            <w:r>
              <w:rPr>
                <w:rFonts w:ascii="宋体" w:hAnsi="宋体" w:eastAsia="宋体"/>
                <w:sz w:val="16"/>
              </w:rPr>
              <w:t>10</w:t>
            </w:r>
          </w:p>
        </w:tc>
      </w:tr>
    </w:tbl>
    <w:p w14:paraId="23FD4189">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17"/>
        <w:gridCol w:w="696"/>
        <w:gridCol w:w="622"/>
        <w:gridCol w:w="617"/>
        <w:gridCol w:w="617"/>
        <w:gridCol w:w="776"/>
        <w:gridCol w:w="632"/>
        <w:gridCol w:w="599"/>
        <w:gridCol w:w="631"/>
      </w:tblGrid>
      <w:tr w14:paraId="2623348B">
        <w:tblPrEx>
          <w:tblCellMar>
            <w:top w:w="0" w:type="dxa"/>
            <w:left w:w="108" w:type="dxa"/>
            <w:bottom w:w="0" w:type="dxa"/>
            <w:right w:w="108" w:type="dxa"/>
          </w:tblCellMar>
        </w:tblPrEx>
        <w:tc>
          <w:tcPr>
            <w:tcW w:w="8848" w:type="dxa"/>
            <w:gridSpan w:val="14"/>
            <w:vAlign w:val="center"/>
          </w:tcPr>
          <w:p w14:paraId="157BABFF">
            <w:pPr>
              <w:jc w:val="center"/>
            </w:pPr>
            <w:r>
              <w:rPr>
                <w:rFonts w:ascii="宋体" w:hAnsi="宋体" w:eastAsia="宋体"/>
                <w:sz w:val="24"/>
              </w:rPr>
              <w:t>项目支出绩效自评表</w:t>
            </w:r>
          </w:p>
        </w:tc>
      </w:tr>
      <w:tr w14:paraId="2E418A03">
        <w:tblPrEx>
          <w:tblCellMar>
            <w:top w:w="0" w:type="dxa"/>
            <w:left w:w="108" w:type="dxa"/>
            <w:bottom w:w="0" w:type="dxa"/>
            <w:right w:w="108" w:type="dxa"/>
          </w:tblCellMar>
        </w:tblPrEx>
        <w:tc>
          <w:tcPr>
            <w:tcW w:w="8848" w:type="dxa"/>
            <w:gridSpan w:val="14"/>
            <w:vAlign w:val="center"/>
          </w:tcPr>
          <w:p w14:paraId="2ED90985">
            <w:pPr>
              <w:jc w:val="center"/>
            </w:pPr>
            <w:r>
              <w:rPr>
                <w:rFonts w:ascii="宋体" w:hAnsi="宋体" w:eastAsia="宋体"/>
                <w:sz w:val="24"/>
              </w:rPr>
              <w:t>(2024年度)</w:t>
            </w:r>
          </w:p>
        </w:tc>
      </w:tr>
      <w:tr w14:paraId="15F6E3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D3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DD50B8">
            <w:pPr>
              <w:jc w:val="center"/>
            </w:pPr>
            <w:r>
              <w:rPr>
                <w:rFonts w:ascii="宋体" w:hAnsi="宋体" w:eastAsia="宋体"/>
                <w:sz w:val="16"/>
              </w:rPr>
              <w:t>农村电影公益放映影片购置</w:t>
            </w:r>
          </w:p>
        </w:tc>
      </w:tr>
      <w:tr w14:paraId="1954EC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39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07A9C">
            <w:pPr>
              <w:jc w:val="center"/>
            </w:pPr>
            <w:r>
              <w:rPr>
                <w:rFonts w:ascii="宋体" w:hAnsi="宋体" w:eastAsia="宋体"/>
                <w:sz w:val="16"/>
              </w:rPr>
              <w:t>中共喀什地委宣传部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DC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887847">
            <w:pPr>
              <w:jc w:val="center"/>
            </w:pPr>
            <w:r>
              <w:rPr>
                <w:rFonts w:ascii="宋体" w:hAnsi="宋体" w:eastAsia="宋体"/>
                <w:sz w:val="16"/>
              </w:rPr>
              <w:t>喀什地区农村数字电影服务中心</w:t>
            </w:r>
          </w:p>
        </w:tc>
      </w:tr>
      <w:tr w14:paraId="1C485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C59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F8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69A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F3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153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7BF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6AE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4480">
            <w:pPr>
              <w:jc w:val="center"/>
            </w:pPr>
            <w:r>
              <w:rPr>
                <w:rFonts w:ascii="宋体" w:hAnsi="宋体" w:eastAsia="宋体"/>
                <w:sz w:val="16"/>
              </w:rPr>
              <w:t>得分</w:t>
            </w:r>
          </w:p>
        </w:tc>
      </w:tr>
      <w:tr w14:paraId="11848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D36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1B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8FF73">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D6C9">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7C89">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74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606D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F1B2">
            <w:pPr>
              <w:jc w:val="center"/>
            </w:pPr>
            <w:r>
              <w:rPr>
                <w:rFonts w:ascii="宋体" w:hAnsi="宋体" w:eastAsia="宋体"/>
                <w:sz w:val="16"/>
              </w:rPr>
              <w:t>10.00分</w:t>
            </w:r>
          </w:p>
        </w:tc>
      </w:tr>
      <w:tr w14:paraId="76E8E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283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AD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825F1">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118C">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E827">
            <w:pPr>
              <w:jc w:val="center"/>
            </w:pPr>
            <w:r>
              <w:rPr>
                <w:rFonts w:ascii="宋体" w:hAnsi="宋体" w:eastAsia="宋体"/>
                <w:sz w:val="16"/>
              </w:rPr>
              <w:t>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2B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A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BA63">
            <w:pPr>
              <w:jc w:val="center"/>
            </w:pPr>
            <w:r>
              <w:rPr>
                <w:rFonts w:ascii="宋体" w:hAnsi="宋体" w:eastAsia="宋体"/>
                <w:sz w:val="16"/>
              </w:rPr>
              <w:t>—</w:t>
            </w:r>
          </w:p>
        </w:tc>
      </w:tr>
      <w:tr w14:paraId="04B62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6E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53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62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C7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EB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AA2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B64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107C">
            <w:pPr>
              <w:jc w:val="center"/>
            </w:pPr>
            <w:r>
              <w:rPr>
                <w:rFonts w:ascii="宋体" w:hAnsi="宋体" w:eastAsia="宋体"/>
                <w:sz w:val="16"/>
              </w:rPr>
              <w:t>—</w:t>
            </w:r>
          </w:p>
        </w:tc>
      </w:tr>
      <w:tr w14:paraId="0C4E8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FE1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125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55259">
            <w:pPr>
              <w:jc w:val="center"/>
            </w:pPr>
            <w:r>
              <w:rPr>
                <w:rFonts w:ascii="宋体" w:hAnsi="宋体" w:eastAsia="宋体"/>
                <w:sz w:val="16"/>
              </w:rPr>
              <w:t>实际完成情况</w:t>
            </w:r>
          </w:p>
        </w:tc>
      </w:tr>
      <w:tr w14:paraId="7F4D1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9FE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A51D1">
            <w:pPr>
              <w:jc w:val="both"/>
            </w:pPr>
            <w:r>
              <w:rPr>
                <w:rFonts w:ascii="宋体" w:hAnsi="宋体" w:eastAsia="宋体"/>
                <w:sz w:val="16"/>
              </w:rPr>
              <w:t>确保全区农村数字电影放映工程顺利实施，完成我区12个县市2479个行政村的一村一月放映一场公益电影放映任务，做好不少于29748场电影节目的订购、下载、授权等工作，确保29748场放映任务如期完成，不断丰富农牧民群众的精神文化生活，保障农牧民群众基本文化权益，逐步提高农牧民群众的思想水平和文化素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FD9359">
            <w:pPr>
              <w:jc w:val="both"/>
            </w:pPr>
            <w:r>
              <w:rPr>
                <w:rFonts w:ascii="宋体" w:hAnsi="宋体" w:eastAsia="宋体"/>
                <w:sz w:val="16"/>
              </w:rPr>
              <w:t>圆满完成我区12个县市2479个行政村的一村一月放映一场公益电影放映任务，做好了33855场电影节目的订购、下载、授权等工作，有效丰富农牧民群众的精神文化生活，保障了农牧民群众基本文化权益。</w:t>
            </w:r>
          </w:p>
        </w:tc>
      </w:tr>
      <w:tr w14:paraId="213B35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EB3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FA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E0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E0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B7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D7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C4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0A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F8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57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A6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D3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7870">
            <w:pPr>
              <w:jc w:val="center"/>
            </w:pPr>
            <w:r>
              <w:rPr>
                <w:rFonts w:ascii="宋体" w:hAnsi="宋体" w:eastAsia="宋体"/>
                <w:sz w:val="16"/>
              </w:rPr>
              <w:t>偏差原因分析及改进措施</w:t>
            </w:r>
          </w:p>
        </w:tc>
      </w:tr>
      <w:tr w14:paraId="50645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B7B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0B8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C72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6AB3">
            <w:pPr>
              <w:jc w:val="center"/>
            </w:pPr>
            <w:r>
              <w:rPr>
                <w:rFonts w:ascii="宋体" w:hAnsi="宋体" w:eastAsia="宋体"/>
                <w:sz w:val="16"/>
              </w:rPr>
              <w:t>全年公益电影放映计划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7D3A">
            <w:pPr>
              <w:jc w:val="center"/>
            </w:pPr>
            <w:r>
              <w:rPr>
                <w:rFonts w:ascii="宋体" w:hAnsi="宋体" w:eastAsia="宋体"/>
                <w:sz w:val="16"/>
              </w:rPr>
              <w:t>&gt;=29748场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3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C1A3">
            <w:pPr>
              <w:jc w:val="center"/>
            </w:pPr>
            <w:r>
              <w:rPr>
                <w:rFonts w:ascii="宋体" w:hAnsi="宋体" w:eastAsia="宋体"/>
                <w:sz w:val="16"/>
              </w:rPr>
              <w:t>=35904场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72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2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56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10EB">
            <w:pPr>
              <w:jc w:val="center"/>
            </w:pPr>
            <w:r>
              <w:rPr>
                <w:rFonts w:ascii="宋体" w:hAnsi="宋体" w:eastAsia="宋体"/>
                <w:sz w:val="16"/>
              </w:rPr>
              <w:t>=33855场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02B2">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C59F">
            <w:pPr>
              <w:jc w:val="center"/>
            </w:pPr>
            <w:r>
              <w:rPr>
                <w:rFonts w:ascii="宋体" w:hAnsi="宋体" w:eastAsia="宋体"/>
                <w:sz w:val="16"/>
              </w:rPr>
              <w:t>原因：放映场次比制定全年计划较多。改进措施：综合本年放映场次，在明年制定更加符合实际的放映计划。</w:t>
            </w:r>
          </w:p>
        </w:tc>
      </w:tr>
      <w:tr w14:paraId="60567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39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4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97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AF3A">
            <w:pPr>
              <w:jc w:val="center"/>
            </w:pPr>
            <w:r>
              <w:rPr>
                <w:rFonts w:ascii="宋体" w:hAnsi="宋体" w:eastAsia="宋体"/>
                <w:sz w:val="16"/>
              </w:rPr>
              <w:t>公益电影放映受益县市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1C4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8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EE2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5A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C4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8C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93E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4A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AFD2">
            <w:pPr>
              <w:jc w:val="center"/>
            </w:pPr>
          </w:p>
        </w:tc>
      </w:tr>
      <w:tr w14:paraId="3E018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1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94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ED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784F">
            <w:pPr>
              <w:jc w:val="center"/>
            </w:pPr>
            <w:r>
              <w:rPr>
                <w:rFonts w:ascii="宋体" w:hAnsi="宋体" w:eastAsia="宋体"/>
                <w:sz w:val="16"/>
              </w:rPr>
              <w:t>公益电影放映受益行政村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2F6A">
            <w:pPr>
              <w:jc w:val="center"/>
            </w:pPr>
            <w:r>
              <w:rPr>
                <w:rFonts w:ascii="宋体" w:hAnsi="宋体" w:eastAsia="宋体"/>
                <w:sz w:val="16"/>
              </w:rPr>
              <w:t>&gt;=2479个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62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15BC">
            <w:pPr>
              <w:jc w:val="center"/>
            </w:pPr>
            <w:r>
              <w:rPr>
                <w:rFonts w:ascii="宋体" w:hAnsi="宋体" w:eastAsia="宋体"/>
                <w:sz w:val="16"/>
              </w:rPr>
              <w:t>=2482个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06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0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D5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B4B9">
            <w:pPr>
              <w:jc w:val="center"/>
            </w:pPr>
            <w:r>
              <w:rPr>
                <w:rFonts w:ascii="宋体" w:hAnsi="宋体" w:eastAsia="宋体"/>
                <w:sz w:val="16"/>
              </w:rPr>
              <w:t>=2479个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79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2F93">
            <w:pPr>
              <w:jc w:val="center"/>
            </w:pPr>
          </w:p>
        </w:tc>
      </w:tr>
      <w:tr w14:paraId="6D1D9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5E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AD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4A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0481">
            <w:pPr>
              <w:jc w:val="center"/>
            </w:pPr>
            <w:r>
              <w:rPr>
                <w:rFonts w:ascii="宋体" w:hAnsi="宋体" w:eastAsia="宋体"/>
                <w:sz w:val="16"/>
              </w:rPr>
              <w:t>全年公益电影放映区域覆盖率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F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7F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8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B4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D4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E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A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76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58EC">
            <w:pPr>
              <w:jc w:val="center"/>
            </w:pPr>
          </w:p>
        </w:tc>
      </w:tr>
      <w:tr w14:paraId="6D814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2B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4DE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06C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78F0">
            <w:pPr>
              <w:jc w:val="center"/>
            </w:pPr>
            <w:r>
              <w:rPr>
                <w:rFonts w:ascii="宋体" w:hAnsi="宋体" w:eastAsia="宋体"/>
                <w:sz w:val="16"/>
              </w:rPr>
              <w:t>公益电影放映频次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C943">
            <w:pPr>
              <w:jc w:val="center"/>
            </w:pPr>
            <w:r>
              <w:rPr>
                <w:rFonts w:ascii="宋体" w:hAnsi="宋体" w:eastAsia="宋体"/>
                <w:sz w:val="16"/>
              </w:rPr>
              <w:t>&gt;=1次/月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966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6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01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5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3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7201">
            <w:pPr>
              <w:jc w:val="center"/>
            </w:pPr>
            <w:r>
              <w:rPr>
                <w:rFonts w:ascii="宋体" w:hAnsi="宋体" w:eastAsia="宋体"/>
                <w:sz w:val="16"/>
              </w:rPr>
              <w:t>=1.14次/月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D665">
            <w:pPr>
              <w:jc w:val="center"/>
            </w:pPr>
            <w:r>
              <w:rPr>
                <w:rFonts w:ascii="宋体" w:hAnsi="宋体" w:eastAsia="宋体"/>
                <w:sz w:val="16"/>
              </w:rPr>
              <w:t>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C9654">
            <w:pPr>
              <w:jc w:val="center"/>
            </w:pPr>
            <w:r>
              <w:rPr>
                <w:rFonts w:ascii="宋体" w:hAnsi="宋体" w:eastAsia="宋体"/>
                <w:sz w:val="16"/>
              </w:rPr>
              <w:t>原因：每月放映时，有些村会放映两次或多次。改进措施：根据放映频次，合理调整2025年放映频次的计划值。</w:t>
            </w:r>
          </w:p>
        </w:tc>
      </w:tr>
      <w:tr w14:paraId="002C0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B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BE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F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A17B">
            <w:pPr>
              <w:jc w:val="center"/>
            </w:pPr>
            <w:r>
              <w:rPr>
                <w:rFonts w:ascii="宋体" w:hAnsi="宋体" w:eastAsia="宋体"/>
                <w:sz w:val="16"/>
              </w:rPr>
              <w:t>公益电影放映及时率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F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5D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A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D5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A7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3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3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6C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C58D">
            <w:pPr>
              <w:jc w:val="center"/>
            </w:pPr>
            <w:r>
              <w:rPr>
                <w:rFonts w:ascii="宋体" w:hAnsi="宋体" w:eastAsia="宋体"/>
                <w:sz w:val="16"/>
              </w:rPr>
              <w:t>原因：全年放映未按照要求及时开展，放映工作集中在每月同一时间开展。改进措施：开展全年喀什全地区公益电影放映统一安排，及时率与工作考核挂钩，确保全年放映任务按时完成</w:t>
            </w:r>
          </w:p>
        </w:tc>
      </w:tr>
      <w:tr w14:paraId="137C3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32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07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C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DF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12F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3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D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84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9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5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39C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C2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7562">
            <w:pPr>
              <w:jc w:val="center"/>
            </w:pPr>
          </w:p>
        </w:tc>
      </w:tr>
      <w:tr w14:paraId="7C7D0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A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D1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5A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AB35">
            <w:pPr>
              <w:jc w:val="center"/>
            </w:pPr>
            <w:r>
              <w:rPr>
                <w:rFonts w:ascii="宋体" w:hAnsi="宋体" w:eastAsia="宋体"/>
                <w:sz w:val="16"/>
              </w:rPr>
              <w:t>每场电影影片购置成本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7999">
            <w:pPr>
              <w:jc w:val="center"/>
            </w:pPr>
            <w:r>
              <w:rPr>
                <w:rFonts w:ascii="宋体" w:hAnsi="宋体" w:eastAsia="宋体"/>
                <w:sz w:val="16"/>
              </w:rPr>
              <w:t>&lt;=12.02元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69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4E0A">
            <w:pPr>
              <w:jc w:val="center"/>
            </w:pPr>
            <w:r>
              <w:rPr>
                <w:rFonts w:ascii="宋体" w:hAnsi="宋体" w:eastAsia="宋体"/>
                <w:sz w:val="16"/>
              </w:rPr>
              <w:t>=8.36元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BE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72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8C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E7B4">
            <w:pPr>
              <w:jc w:val="center"/>
            </w:pPr>
            <w:r>
              <w:rPr>
                <w:rFonts w:ascii="宋体" w:hAnsi="宋体" w:eastAsia="宋体"/>
                <w:sz w:val="16"/>
              </w:rPr>
              <w:t>=10.56元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5DA4">
            <w:pPr>
              <w:jc w:val="center"/>
            </w:pPr>
            <w:r>
              <w:rPr>
                <w:rFonts w:ascii="宋体" w:hAnsi="宋体" w:eastAsia="宋体"/>
                <w:sz w:val="16"/>
              </w:rPr>
              <w:t>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6787">
            <w:pPr>
              <w:jc w:val="center"/>
            </w:pPr>
            <w:r>
              <w:rPr>
                <w:rFonts w:ascii="宋体" w:hAnsi="宋体" w:eastAsia="宋体"/>
                <w:sz w:val="16"/>
              </w:rPr>
              <w:t>原因：放映电影中有部分电影重复放映。改进措施：设置规章制度，减少重复放映场次</w:t>
            </w:r>
          </w:p>
        </w:tc>
      </w:tr>
      <w:tr w14:paraId="62D84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B0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D7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63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43DE">
            <w:pPr>
              <w:jc w:val="center"/>
            </w:pPr>
            <w:r>
              <w:rPr>
                <w:rFonts w:ascii="宋体" w:hAnsi="宋体" w:eastAsia="宋体"/>
                <w:sz w:val="16"/>
              </w:rPr>
              <w:t>提高农牧民精神文化生活水平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C8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0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0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20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62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6C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B0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30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7E376">
            <w:pPr>
              <w:jc w:val="center"/>
            </w:pPr>
          </w:p>
        </w:tc>
      </w:tr>
      <w:tr w14:paraId="5C16C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B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30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9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634F">
            <w:pPr>
              <w:jc w:val="center"/>
            </w:pPr>
            <w:r>
              <w:rPr>
                <w:rFonts w:ascii="宋体" w:hAnsi="宋体" w:eastAsia="宋体"/>
                <w:sz w:val="16"/>
              </w:rPr>
              <w:t>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B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298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6AC0">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6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EF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E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6FD4">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D7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0A51">
            <w:pPr>
              <w:jc w:val="center"/>
            </w:pPr>
            <w:r>
              <w:rPr>
                <w:rFonts w:ascii="宋体" w:hAnsi="宋体" w:eastAsia="宋体"/>
                <w:sz w:val="16"/>
              </w:rPr>
              <w:t>原因：放映场地某些村未在室内，电影更新速度较慢.改进措施：与村委会，乡政府开展联合放映，借用村委会，乡政府会议室，确保农村满意</w:t>
            </w:r>
          </w:p>
        </w:tc>
      </w:tr>
      <w:tr w14:paraId="1517C7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777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4C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6D3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4FEC">
            <w:pPr>
              <w:jc w:val="center"/>
            </w:pPr>
            <w:r>
              <w:rPr>
                <w:rFonts w:ascii="宋体" w:hAnsi="宋体" w:eastAsia="宋体"/>
                <w:sz w:val="16"/>
              </w:rPr>
              <w:t>85.11分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E41D4F"/>
        </w:tc>
      </w:tr>
    </w:tbl>
    <w:p w14:paraId="0B3A7FF8">
      <w:r>
        <w:br w:type="page"/>
      </w:r>
    </w:p>
    <w:p w14:paraId="67E2987F">
      <w:pPr>
        <w:spacing w:line="640" w:lineRule="exact"/>
        <w:ind w:firstLine="640"/>
        <w:jc w:val="both"/>
        <w:outlineLvl w:val="2"/>
      </w:pPr>
      <w:r>
        <w:rPr>
          <w:rFonts w:ascii="黑体" w:hAnsi="黑体" w:eastAsia="黑体"/>
          <w:sz w:val="32"/>
        </w:rPr>
        <w:t>十二、其他需说明的事项</w:t>
      </w:r>
    </w:p>
    <w:p w14:paraId="7A2CFB41">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w:t>
      </w:r>
      <w:bookmarkStart w:id="0" w:name="_GoBack"/>
      <w:bookmarkEnd w:id="0"/>
      <w:r>
        <w:rPr>
          <w:rFonts w:ascii="仿宋_GB2312" w:hAnsi="仿宋_GB2312" w:eastAsia="仿宋_GB2312"/>
          <w:b w:val="0"/>
          <w:sz w:val="32"/>
        </w:rPr>
        <w:t>全年预算数5.00万元，全年执行数5.00万元。</w:t>
      </w:r>
    </w:p>
    <w:p w14:paraId="575AA597">
      <w:r>
        <w:br w:type="page"/>
      </w:r>
    </w:p>
    <w:p w14:paraId="106E3BDE">
      <w:pPr>
        <w:spacing w:line="240" w:lineRule="auto"/>
        <w:jc w:val="center"/>
        <w:outlineLvl w:val="1"/>
      </w:pPr>
      <w:r>
        <w:rPr>
          <w:rFonts w:ascii="黑体" w:hAnsi="黑体" w:eastAsia="黑体"/>
          <w:sz w:val="32"/>
        </w:rPr>
        <w:t>第三部分 专业名词解释</w:t>
      </w:r>
    </w:p>
    <w:p w14:paraId="0AE09E0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4A965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C3028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C9FC2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235AE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623D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D234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AF4C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9D570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D5AB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2706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C43B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E9C0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E1A83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7BEA72">
      <w:r>
        <w:br w:type="page"/>
      </w:r>
    </w:p>
    <w:p w14:paraId="360DAC39">
      <w:pPr>
        <w:spacing w:line="240" w:lineRule="auto"/>
        <w:jc w:val="center"/>
        <w:outlineLvl w:val="1"/>
      </w:pPr>
      <w:r>
        <w:rPr>
          <w:rFonts w:ascii="黑体" w:hAnsi="黑体" w:eastAsia="黑体"/>
          <w:sz w:val="32"/>
        </w:rPr>
        <w:t>第四部分 部门决算报表（见附表）</w:t>
      </w:r>
    </w:p>
    <w:p w14:paraId="0302F116">
      <w:pPr>
        <w:spacing w:line="240" w:lineRule="auto"/>
        <w:ind w:firstLine="640"/>
        <w:jc w:val="both"/>
      </w:pPr>
      <w:r>
        <w:rPr>
          <w:rFonts w:ascii="仿宋_GB2312" w:hAnsi="仿宋_GB2312" w:eastAsia="仿宋_GB2312"/>
          <w:b w:val="0"/>
          <w:sz w:val="32"/>
        </w:rPr>
        <w:t>一、《收入支出决算总表》</w:t>
      </w:r>
    </w:p>
    <w:p w14:paraId="6D6AC3C8">
      <w:pPr>
        <w:spacing w:line="240" w:lineRule="auto"/>
        <w:ind w:firstLine="640"/>
        <w:jc w:val="both"/>
      </w:pPr>
      <w:r>
        <w:rPr>
          <w:rFonts w:ascii="仿宋_GB2312" w:hAnsi="仿宋_GB2312" w:eastAsia="仿宋_GB2312"/>
          <w:b w:val="0"/>
          <w:sz w:val="32"/>
        </w:rPr>
        <w:t>二、《收入决算表》</w:t>
      </w:r>
    </w:p>
    <w:p w14:paraId="300045AB">
      <w:pPr>
        <w:spacing w:line="240" w:lineRule="auto"/>
        <w:ind w:firstLine="640"/>
        <w:jc w:val="both"/>
      </w:pPr>
      <w:r>
        <w:rPr>
          <w:rFonts w:ascii="仿宋_GB2312" w:hAnsi="仿宋_GB2312" w:eastAsia="仿宋_GB2312"/>
          <w:b w:val="0"/>
          <w:sz w:val="32"/>
        </w:rPr>
        <w:t>三、《支出决算表》</w:t>
      </w:r>
    </w:p>
    <w:p w14:paraId="6146C5D3">
      <w:pPr>
        <w:spacing w:line="240" w:lineRule="auto"/>
        <w:ind w:firstLine="640"/>
        <w:jc w:val="both"/>
      </w:pPr>
      <w:r>
        <w:rPr>
          <w:rFonts w:ascii="仿宋_GB2312" w:hAnsi="仿宋_GB2312" w:eastAsia="仿宋_GB2312"/>
          <w:b w:val="0"/>
          <w:sz w:val="32"/>
        </w:rPr>
        <w:t>四、《财政拨款收入支出决算总表》</w:t>
      </w:r>
    </w:p>
    <w:p w14:paraId="3B0185D9">
      <w:pPr>
        <w:spacing w:line="240" w:lineRule="auto"/>
        <w:ind w:firstLine="640"/>
        <w:jc w:val="both"/>
      </w:pPr>
      <w:r>
        <w:rPr>
          <w:rFonts w:ascii="仿宋_GB2312" w:hAnsi="仿宋_GB2312" w:eastAsia="仿宋_GB2312"/>
          <w:b w:val="0"/>
          <w:sz w:val="32"/>
        </w:rPr>
        <w:t>五、《一般公共预算财政拨款支出决算表》</w:t>
      </w:r>
    </w:p>
    <w:p w14:paraId="397E42A5">
      <w:pPr>
        <w:spacing w:line="240" w:lineRule="auto"/>
        <w:ind w:firstLine="640"/>
        <w:jc w:val="both"/>
      </w:pPr>
      <w:r>
        <w:rPr>
          <w:rFonts w:ascii="仿宋_GB2312" w:hAnsi="仿宋_GB2312" w:eastAsia="仿宋_GB2312"/>
          <w:b w:val="0"/>
          <w:sz w:val="32"/>
        </w:rPr>
        <w:t>六、《一般公共预算财政拨款基本支出决算表》</w:t>
      </w:r>
    </w:p>
    <w:p w14:paraId="58E1CA3D">
      <w:pPr>
        <w:spacing w:line="240" w:lineRule="auto"/>
        <w:ind w:firstLine="640"/>
        <w:jc w:val="both"/>
      </w:pPr>
      <w:r>
        <w:rPr>
          <w:rFonts w:ascii="仿宋_GB2312" w:hAnsi="仿宋_GB2312" w:eastAsia="仿宋_GB2312"/>
          <w:b w:val="0"/>
          <w:sz w:val="32"/>
        </w:rPr>
        <w:t>七、《政府性基金预算财政拨款收入支出决算表》</w:t>
      </w:r>
    </w:p>
    <w:p w14:paraId="5F0C6D31">
      <w:pPr>
        <w:spacing w:line="240" w:lineRule="auto"/>
        <w:ind w:firstLine="640"/>
        <w:jc w:val="both"/>
      </w:pPr>
      <w:r>
        <w:rPr>
          <w:rFonts w:ascii="仿宋_GB2312" w:hAnsi="仿宋_GB2312" w:eastAsia="仿宋_GB2312"/>
          <w:b w:val="0"/>
          <w:sz w:val="32"/>
        </w:rPr>
        <w:t>八、《国有资本经营预算财政拨款收入支出决算表》</w:t>
      </w:r>
    </w:p>
    <w:p w14:paraId="6A0B65DD">
      <w:pPr>
        <w:spacing w:line="240" w:lineRule="auto"/>
        <w:ind w:firstLine="640"/>
        <w:jc w:val="both"/>
      </w:pPr>
      <w:r>
        <w:rPr>
          <w:rFonts w:ascii="仿宋_GB2312" w:hAnsi="仿宋_GB2312" w:eastAsia="仿宋_GB2312"/>
          <w:b w:val="0"/>
          <w:sz w:val="32"/>
        </w:rPr>
        <w:t>九、《财政拨款“三公”经费支出决算表》</w:t>
      </w:r>
    </w:p>
    <w:p w14:paraId="23D43CD0">
      <w:pPr>
        <w:spacing w:line="240" w:lineRule="auto"/>
        <w:ind w:firstLine="640"/>
        <w:jc w:val="both"/>
      </w:pPr>
    </w:p>
    <w:p w14:paraId="77643AE9">
      <w:pPr>
        <w:spacing w:line="240" w:lineRule="auto"/>
        <w:ind w:firstLine="640"/>
        <w:jc w:val="both"/>
      </w:pPr>
    </w:p>
    <w:p w14:paraId="19780302">
      <w:pPr>
        <w:spacing w:line="240" w:lineRule="auto"/>
        <w:ind w:firstLine="640"/>
        <w:jc w:val="both"/>
      </w:pPr>
    </w:p>
    <w:p w14:paraId="070B4AED">
      <w:pPr>
        <w:spacing w:line="240" w:lineRule="auto"/>
        <w:ind w:firstLine="640"/>
        <w:jc w:val="both"/>
      </w:pPr>
    </w:p>
    <w:p w14:paraId="6C2405C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B66393-3978-4F9C-8915-DA0334AC3F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65B54D8-6B8B-4CCD-BB77-26F7E235CE05}"/>
  </w:font>
  <w:font w:name="方正小标宋_GBK">
    <w:panose1 w:val="02000000000000000000"/>
    <w:charset w:val="86"/>
    <w:family w:val="script"/>
    <w:pitch w:val="default"/>
    <w:sig w:usb0="A00002BF" w:usb1="38CF7CFA" w:usb2="00082016" w:usb3="00000000" w:csb0="00040001" w:csb1="00000000"/>
    <w:embedRegular r:id="rId3" w:fontKey="{4257A226-DB59-4667-86DB-C0F81EB000F1}"/>
  </w:font>
  <w:font w:name="楷体_GB2312">
    <w:panose1 w:val="02010609030101010101"/>
    <w:charset w:val="86"/>
    <w:family w:val="auto"/>
    <w:pitch w:val="default"/>
    <w:sig w:usb0="00000001" w:usb1="080E0000" w:usb2="00000000" w:usb3="00000000" w:csb0="00040000" w:csb1="00000000"/>
    <w:embedRegular r:id="rId4" w:fontKey="{EB1E4314-D71C-4E77-B43C-535683C9542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3B715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937438"/>
    <w:rsid w:val="68DB0208"/>
    <w:rsid w:val="68DF36D5"/>
    <w:rsid w:val="69846A0E"/>
    <w:rsid w:val="69AD798C"/>
    <w:rsid w:val="6B68175F"/>
    <w:rsid w:val="6B8B5C99"/>
    <w:rsid w:val="6C6D0B81"/>
    <w:rsid w:val="6CA7198F"/>
    <w:rsid w:val="6D8919A8"/>
    <w:rsid w:val="6E0F7A08"/>
    <w:rsid w:val="6E801ABC"/>
    <w:rsid w:val="71473612"/>
    <w:rsid w:val="718F7F65"/>
    <w:rsid w:val="73423603"/>
    <w:rsid w:val="737A5923"/>
    <w:rsid w:val="73DE4104"/>
    <w:rsid w:val="73FB6630"/>
    <w:rsid w:val="74CE04EC"/>
    <w:rsid w:val="74E76DCD"/>
    <w:rsid w:val="758B206A"/>
    <w:rsid w:val="76660D7C"/>
    <w:rsid w:val="77ED6F44"/>
    <w:rsid w:val="792A415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5826</Words>
  <Characters>6635</Characters>
  <Lines>0</Lines>
  <Paragraphs>0</Paragraphs>
  <TotalTime>3</TotalTime>
  <ScaleCrop>false</ScaleCrop>
  <LinksUpToDate>false</LinksUpToDate>
  <CharactersWithSpaces>6643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