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喀什地区图书馆2024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1FCE7F7">
      <w:r>
        <w:br w:type="page"/>
      </w:r>
    </w:p>
    <w:p w14:paraId="749AC789">
      <w:pPr>
        <w:spacing w:line="640" w:lineRule="exact"/>
        <w:jc w:val="center"/>
        <w:outlineLvl w:val="1"/>
      </w:pPr>
      <w:r>
        <w:rPr>
          <w:rFonts w:ascii="黑体" w:hAnsi="黑体" w:eastAsia="黑体"/>
          <w:sz w:val="32"/>
        </w:rPr>
        <w:t>第一部分 部门概况</w:t>
      </w:r>
    </w:p>
    <w:p w14:paraId="5A91135F">
      <w:pPr>
        <w:spacing w:line="640" w:lineRule="exact"/>
        <w:ind w:firstLine="640"/>
        <w:jc w:val="both"/>
        <w:outlineLvl w:val="2"/>
      </w:pPr>
      <w:r>
        <w:rPr>
          <w:rFonts w:ascii="黑体" w:hAnsi="黑体" w:eastAsia="黑体"/>
          <w:sz w:val="32"/>
        </w:rPr>
        <w:t>一、主要职能</w:t>
      </w:r>
    </w:p>
    <w:p w14:paraId="717E8AC9">
      <w:pPr>
        <w:spacing w:line="580" w:lineRule="exact"/>
        <w:ind w:firstLine="640"/>
        <w:jc w:val="both"/>
      </w:pPr>
      <w:r>
        <w:rPr>
          <w:rFonts w:ascii="仿宋_GB2312" w:hAnsi="仿宋_GB2312" w:eastAsia="仿宋_GB2312"/>
          <w:sz w:val="32"/>
        </w:rPr>
        <w:t>为保存和借阅图书资料，促进社会经济文化发展，</w:t>
      </w:r>
      <w:r>
        <w:rPr>
          <w:rFonts w:hint="eastAsia" w:ascii="仿宋_GB2312" w:hAnsi="仿宋_GB2312" w:eastAsia="仿宋_GB2312"/>
          <w:sz w:val="32"/>
          <w:lang w:eastAsia="zh-CN"/>
        </w:rPr>
        <w:t>开展图书、报刊、文献、金石</w:t>
      </w:r>
      <w:r>
        <w:rPr>
          <w:rFonts w:ascii="仿宋_GB2312" w:hAnsi="仿宋_GB2312" w:eastAsia="仿宋_GB2312"/>
          <w:sz w:val="32"/>
        </w:rPr>
        <w:t>拓片</w:t>
      </w:r>
      <w:r>
        <w:rPr>
          <w:rFonts w:hint="eastAsia" w:ascii="仿宋_GB2312" w:hAnsi="仿宋_GB2312" w:eastAsia="仿宋_GB2312"/>
          <w:sz w:val="32"/>
          <w:lang w:eastAsia="zh-CN"/>
        </w:rPr>
        <w:t>、音像</w:t>
      </w:r>
      <w:r>
        <w:rPr>
          <w:rFonts w:ascii="仿宋_GB2312" w:hAnsi="仿宋_GB2312" w:eastAsia="仿宋_GB2312"/>
          <w:sz w:val="32"/>
        </w:rPr>
        <w:t>资料采编与存储，图书资料借阅，图书资料网络系统设计</w:t>
      </w:r>
      <w:r>
        <w:rPr>
          <w:rFonts w:hint="eastAsia" w:ascii="仿宋_GB2312" w:hAnsi="仿宋_GB2312" w:eastAsia="仿宋_GB2312"/>
          <w:sz w:val="32"/>
          <w:lang w:eastAsia="zh-CN"/>
        </w:rPr>
        <w:t>、施工、维护、管理</w:t>
      </w:r>
      <w:r>
        <w:rPr>
          <w:rFonts w:ascii="仿宋_GB2312" w:hAnsi="仿宋_GB2312" w:eastAsia="仿宋_GB2312"/>
          <w:sz w:val="32"/>
        </w:rPr>
        <w:t>，文献数字化处理，图书馆学研究，编辑出版知识与社会教育。</w:t>
      </w:r>
    </w:p>
    <w:p w14:paraId="2114BAF0">
      <w:pPr>
        <w:spacing w:line="640" w:lineRule="exact"/>
        <w:ind w:firstLine="640"/>
        <w:jc w:val="both"/>
        <w:outlineLvl w:val="2"/>
      </w:pPr>
      <w:r>
        <w:rPr>
          <w:rFonts w:ascii="黑体" w:hAnsi="黑体" w:eastAsia="黑体"/>
          <w:sz w:val="32"/>
        </w:rPr>
        <w:t>二、机构设置及人员情况</w:t>
      </w:r>
    </w:p>
    <w:p w14:paraId="65DFFC99">
      <w:pPr>
        <w:spacing w:line="580" w:lineRule="exact"/>
        <w:ind w:firstLine="640"/>
        <w:jc w:val="both"/>
      </w:pPr>
      <w:r>
        <w:rPr>
          <w:rFonts w:ascii="仿宋_GB2312" w:hAnsi="仿宋_GB2312" w:eastAsia="仿宋_GB2312"/>
          <w:sz w:val="32"/>
        </w:rPr>
        <w:t>喀什地区图书馆2024年度，实有人数54人，其中：在职人员28人，增加0人；离休人员0人，增加0人；退休人员26人,增加0人。</w:t>
      </w:r>
    </w:p>
    <w:p w14:paraId="342FCCCA">
      <w:pPr>
        <w:spacing w:line="580" w:lineRule="exact"/>
        <w:ind w:firstLine="640"/>
        <w:jc w:val="both"/>
      </w:pPr>
      <w:r>
        <w:rPr>
          <w:rFonts w:ascii="仿宋_GB2312" w:hAnsi="仿宋_GB2312" w:eastAsia="仿宋_GB2312"/>
          <w:sz w:val="32"/>
        </w:rPr>
        <w:t>喀什地区图书馆无下属预算单位，下设5个科室，分别是：</w:t>
      </w:r>
      <w:r>
        <w:rPr>
          <w:rFonts w:hint="eastAsia" w:ascii="仿宋_GB2312" w:hAnsi="仿宋_GB2312" w:eastAsia="仿宋_GB2312"/>
          <w:sz w:val="32"/>
        </w:rPr>
        <w:t>规划活动部、技术部、少儿馆、借阅部、采编部</w:t>
      </w:r>
      <w:r>
        <w:rPr>
          <w:rFonts w:ascii="仿宋_GB2312" w:hAnsi="仿宋_GB2312" w:eastAsia="仿宋_GB2312"/>
          <w:sz w:val="32"/>
        </w:rPr>
        <w:t>。</w:t>
      </w:r>
    </w:p>
    <w:p w14:paraId="0F73CB98">
      <w:r>
        <w:br w:type="page"/>
      </w:r>
    </w:p>
    <w:p w14:paraId="7E74FEAA">
      <w:pPr>
        <w:spacing w:line="240" w:lineRule="auto"/>
        <w:jc w:val="center"/>
        <w:outlineLvl w:val="1"/>
      </w:pPr>
      <w:r>
        <w:rPr>
          <w:rFonts w:ascii="黑体" w:hAnsi="黑体" w:eastAsia="黑体"/>
          <w:sz w:val="32"/>
        </w:rPr>
        <w:t>第二部分 部门决算情况说明</w:t>
      </w:r>
    </w:p>
    <w:p w14:paraId="594F541E">
      <w:pPr>
        <w:spacing w:line="640" w:lineRule="exact"/>
        <w:ind w:firstLine="640"/>
        <w:jc w:val="both"/>
        <w:outlineLvl w:val="2"/>
      </w:pPr>
      <w:r>
        <w:rPr>
          <w:rFonts w:ascii="黑体" w:hAnsi="黑体" w:eastAsia="黑体"/>
          <w:sz w:val="32"/>
        </w:rPr>
        <w:t>一、收入支出决算总体情况说明</w:t>
      </w:r>
    </w:p>
    <w:p w14:paraId="0C9B3AE6">
      <w:pPr>
        <w:spacing w:line="580" w:lineRule="exact"/>
        <w:ind w:firstLine="640"/>
        <w:jc w:val="both"/>
      </w:pPr>
      <w:r>
        <w:rPr>
          <w:rFonts w:ascii="仿宋_GB2312" w:hAnsi="仿宋_GB2312" w:eastAsia="仿宋_GB2312"/>
          <w:b/>
          <w:sz w:val="32"/>
        </w:rPr>
        <w:t>2024年度收入总计652.87万元，</w:t>
      </w:r>
      <w:r>
        <w:rPr>
          <w:rFonts w:ascii="仿宋_GB2312" w:hAnsi="仿宋_GB2312" w:eastAsia="仿宋_GB2312"/>
          <w:b w:val="0"/>
          <w:sz w:val="32"/>
        </w:rPr>
        <w:t>其中：本年收入合计652.87万元，使用非财政拨款结余（含专用结余）0.00万元，年初结转和结余0.00万元。</w:t>
      </w:r>
    </w:p>
    <w:p w14:paraId="413D1A69">
      <w:pPr>
        <w:spacing w:line="580" w:lineRule="exact"/>
        <w:ind w:firstLine="640"/>
        <w:jc w:val="both"/>
      </w:pPr>
      <w:r>
        <w:rPr>
          <w:rFonts w:ascii="仿宋_GB2312" w:hAnsi="仿宋_GB2312" w:eastAsia="仿宋_GB2312"/>
          <w:b/>
          <w:sz w:val="32"/>
        </w:rPr>
        <w:t>2024年度支出总计652.87万元，</w:t>
      </w:r>
      <w:r>
        <w:rPr>
          <w:rFonts w:ascii="仿宋_GB2312" w:hAnsi="仿宋_GB2312" w:eastAsia="仿宋_GB2312"/>
          <w:b w:val="0"/>
          <w:sz w:val="32"/>
        </w:rPr>
        <w:t>其中：本年支出合计652.87万元，结余分配0.00万元，年末结转和结余0.00万元。</w:t>
      </w:r>
    </w:p>
    <w:p w14:paraId="1722F225">
      <w:pPr>
        <w:spacing w:line="580" w:lineRule="exact"/>
        <w:ind w:firstLine="640"/>
        <w:jc w:val="both"/>
      </w:pPr>
      <w:r>
        <w:rPr>
          <w:rFonts w:ascii="仿宋_GB2312" w:hAnsi="仿宋_GB2312" w:eastAsia="仿宋_GB2312"/>
          <w:b w:val="0"/>
          <w:sz w:val="32"/>
        </w:rPr>
        <w:t>收入支出总体与上年相比，增加3.64万元，增长0.56%，主要原因是：本年在职人员工资调增，社保、公积金基数调增，人员经费增加。</w:t>
      </w:r>
    </w:p>
    <w:p w14:paraId="0EB3C49F">
      <w:pPr>
        <w:spacing w:line="640" w:lineRule="exact"/>
        <w:ind w:firstLine="640"/>
        <w:jc w:val="both"/>
        <w:outlineLvl w:val="2"/>
      </w:pPr>
      <w:r>
        <w:rPr>
          <w:rFonts w:ascii="黑体" w:hAnsi="黑体" w:eastAsia="黑体"/>
          <w:sz w:val="32"/>
        </w:rPr>
        <w:t>二、收入决算情况说明</w:t>
      </w:r>
    </w:p>
    <w:p w14:paraId="5F6B7DD0">
      <w:pPr>
        <w:spacing w:line="580" w:lineRule="exact"/>
        <w:ind w:firstLine="640"/>
        <w:jc w:val="both"/>
      </w:pPr>
      <w:r>
        <w:rPr>
          <w:rFonts w:ascii="仿宋_GB2312" w:hAnsi="仿宋_GB2312" w:eastAsia="仿宋_GB2312"/>
          <w:b/>
          <w:sz w:val="32"/>
        </w:rPr>
        <w:t>本年收入652.87万元，</w:t>
      </w:r>
      <w:r>
        <w:rPr>
          <w:rFonts w:ascii="仿宋_GB2312" w:hAnsi="仿宋_GB2312" w:eastAsia="仿宋_GB2312"/>
          <w:b w:val="0"/>
          <w:sz w:val="32"/>
        </w:rPr>
        <w:t>其中：财政拨款收入652.87万元，占100.00%；上级补助收入0.00万元，占0.00%；事业收入0.00万元，占0.00%；经营收入0.00万元，占0.00%；附属单位上缴收入0.00万元，占0.00%；其他收入0.00万元，占0.00%。</w:t>
      </w:r>
    </w:p>
    <w:p w14:paraId="5CB12D7F">
      <w:pPr>
        <w:spacing w:line="640" w:lineRule="exact"/>
        <w:ind w:firstLine="640"/>
        <w:jc w:val="both"/>
        <w:outlineLvl w:val="2"/>
      </w:pPr>
      <w:r>
        <w:rPr>
          <w:rFonts w:ascii="黑体" w:hAnsi="黑体" w:eastAsia="黑体"/>
          <w:sz w:val="32"/>
        </w:rPr>
        <w:t>三、支出决算情况说明</w:t>
      </w:r>
    </w:p>
    <w:p w14:paraId="4F48620C">
      <w:pPr>
        <w:spacing w:line="580" w:lineRule="exact"/>
        <w:ind w:firstLine="640"/>
        <w:jc w:val="both"/>
      </w:pPr>
      <w:r>
        <w:rPr>
          <w:rFonts w:ascii="仿宋_GB2312" w:hAnsi="仿宋_GB2312" w:eastAsia="仿宋_GB2312"/>
          <w:b/>
          <w:sz w:val="32"/>
        </w:rPr>
        <w:t>本年支出652.87万元，</w:t>
      </w:r>
      <w:r>
        <w:rPr>
          <w:rFonts w:ascii="仿宋_GB2312" w:hAnsi="仿宋_GB2312" w:eastAsia="仿宋_GB2312"/>
          <w:b w:val="0"/>
          <w:sz w:val="32"/>
        </w:rPr>
        <w:t>其中：基本支出580.15万元，占88.86%；项目支出72.72万元，占11.14%；上缴上级支出0.00万元，占0.00%；经营支出0.00万元，占0.00%；对附属单位补助支出0.00万元，占0.00%。</w:t>
      </w:r>
    </w:p>
    <w:p w14:paraId="125DAD85">
      <w:pPr>
        <w:spacing w:line="640" w:lineRule="exact"/>
        <w:ind w:firstLine="640"/>
        <w:jc w:val="both"/>
        <w:outlineLvl w:val="2"/>
      </w:pPr>
      <w:r>
        <w:rPr>
          <w:rFonts w:ascii="黑体" w:hAnsi="黑体" w:eastAsia="黑体"/>
          <w:sz w:val="32"/>
        </w:rPr>
        <w:t>四、财政拨款收入支出决算总体情况说明</w:t>
      </w:r>
    </w:p>
    <w:p w14:paraId="25B71941">
      <w:pPr>
        <w:spacing w:line="580" w:lineRule="exact"/>
        <w:ind w:firstLine="640"/>
        <w:jc w:val="both"/>
      </w:pPr>
      <w:r>
        <w:rPr>
          <w:rFonts w:ascii="仿宋_GB2312" w:hAnsi="仿宋_GB2312" w:eastAsia="仿宋_GB2312"/>
          <w:b/>
          <w:sz w:val="32"/>
        </w:rPr>
        <w:t>2024年度财政拨款收入总计652.87万元，</w:t>
      </w:r>
      <w:r>
        <w:rPr>
          <w:rFonts w:ascii="仿宋_GB2312" w:hAnsi="仿宋_GB2312" w:eastAsia="仿宋_GB2312"/>
          <w:b w:val="0"/>
          <w:sz w:val="32"/>
        </w:rPr>
        <w:t>其中：年初财政拨款结转和结余0.00万元，本年财政拨款收入652.87万元。</w:t>
      </w:r>
      <w:r>
        <w:rPr>
          <w:rFonts w:ascii="仿宋_GB2312" w:hAnsi="仿宋_GB2312" w:eastAsia="仿宋_GB2312"/>
          <w:b/>
          <w:sz w:val="32"/>
        </w:rPr>
        <w:t>财政拨款支出总计652.87万元，</w:t>
      </w:r>
      <w:r>
        <w:rPr>
          <w:rFonts w:ascii="仿宋_GB2312" w:hAnsi="仿宋_GB2312" w:eastAsia="仿宋_GB2312"/>
          <w:b w:val="0"/>
          <w:sz w:val="32"/>
        </w:rPr>
        <w:t>其中：年末财政拨款结转和结余0.00万元，本年财政拨款支出652.87万元。</w:t>
      </w:r>
    </w:p>
    <w:p w14:paraId="6CF7989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增加3.64万元，增长0.56%，主要原因是：本年在职人员工资调增，社保、公积金基数调增，人员经费增加。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年初预算数621.91万元，决算数652.87万元，预决算差异率4.98%，主要原因是：年中追加人员工资、社保、公积金基数调增部分资金，导致预决算存在差异。</w:t>
      </w:r>
    </w:p>
    <w:p w14:paraId="024CFD41">
      <w:pPr>
        <w:spacing w:line="640" w:lineRule="exact"/>
        <w:ind w:firstLine="640"/>
        <w:jc w:val="both"/>
        <w:outlineLvl w:val="2"/>
      </w:pPr>
      <w:r>
        <w:rPr>
          <w:rFonts w:ascii="黑体" w:hAnsi="黑体" w:eastAsia="黑体"/>
          <w:sz w:val="32"/>
        </w:rPr>
        <w:t>五、一般公共预算财政拨款支出决算情况说明</w:t>
      </w:r>
    </w:p>
    <w:p w14:paraId="70EB5A8D">
      <w:pPr>
        <w:spacing w:line="640" w:lineRule="exact"/>
        <w:ind w:firstLine="640"/>
        <w:jc w:val="both"/>
        <w:outlineLvl w:val="3"/>
      </w:pPr>
      <w:r>
        <w:rPr>
          <w:rFonts w:ascii="楷体_GB2312" w:hAnsi="楷体_GB2312" w:eastAsia="楷体_GB2312"/>
          <w:b/>
          <w:sz w:val="32"/>
        </w:rPr>
        <w:t>（一）一般公共预算财政拨款支出决算总体情况</w:t>
      </w:r>
    </w:p>
    <w:p w14:paraId="2FAF78FC">
      <w:pPr>
        <w:spacing w:line="580" w:lineRule="exact"/>
        <w:ind w:firstLine="640"/>
        <w:jc w:val="both"/>
      </w:pPr>
      <w:r>
        <w:rPr>
          <w:rFonts w:ascii="仿宋_GB2312" w:hAnsi="仿宋_GB2312" w:eastAsia="仿宋_GB2312"/>
          <w:b/>
          <w:sz w:val="32"/>
        </w:rPr>
        <w:t>2024年度一般公共预算财政拨款支出652.87万元，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增加3.64万元，增长0.56%，主要原因是：本年在职人员工资调增，社保、公积金基数调增，人员经费增加。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年初预算数621.91万元，决算数652.87万元，预决算差异率4.98%，主要原因是：年中追加人员工资、社保、公积金基数调增部分资金，导致预决算存在差异。</w:t>
      </w:r>
    </w:p>
    <w:p w14:paraId="2D0EBB72">
      <w:pPr>
        <w:spacing w:line="640" w:lineRule="exact"/>
        <w:ind w:firstLine="640"/>
        <w:jc w:val="both"/>
        <w:outlineLvl w:val="3"/>
      </w:pPr>
      <w:r>
        <w:rPr>
          <w:rFonts w:ascii="楷体_GB2312" w:hAnsi="楷体_GB2312" w:eastAsia="楷体_GB2312"/>
          <w:b/>
          <w:sz w:val="32"/>
        </w:rPr>
        <w:t>（二）一般公共预算财政拨款支出决算结构情况</w:t>
      </w:r>
    </w:p>
    <w:p w14:paraId="53578476">
      <w:pPr>
        <w:spacing w:line="580" w:lineRule="exact"/>
        <w:ind w:firstLine="640"/>
        <w:jc w:val="both"/>
      </w:pPr>
      <w:r>
        <w:rPr>
          <w:rFonts w:ascii="仿宋_GB2312" w:hAnsi="仿宋_GB2312" w:eastAsia="仿宋_GB2312"/>
          <w:b w:val="0"/>
          <w:sz w:val="32"/>
        </w:rPr>
        <w:t>1.文化旅游体育与传媒支出(类)502.33万元,占76.94%。</w:t>
      </w:r>
    </w:p>
    <w:p w14:paraId="49A7B5F1">
      <w:pPr>
        <w:spacing w:line="580" w:lineRule="exact"/>
        <w:ind w:firstLine="640"/>
        <w:jc w:val="both"/>
      </w:pPr>
      <w:r>
        <w:rPr>
          <w:rFonts w:ascii="仿宋_GB2312" w:hAnsi="仿宋_GB2312" w:eastAsia="仿宋_GB2312"/>
          <w:b w:val="0"/>
          <w:sz w:val="32"/>
        </w:rPr>
        <w:t>2.社会保障和就业支出(类)86.39万元,占13.23%。</w:t>
      </w:r>
    </w:p>
    <w:p w14:paraId="35E02DAC">
      <w:pPr>
        <w:spacing w:line="580" w:lineRule="exact"/>
        <w:ind w:firstLine="640"/>
        <w:jc w:val="both"/>
      </w:pPr>
      <w:r>
        <w:rPr>
          <w:rFonts w:ascii="仿宋_GB2312" w:hAnsi="仿宋_GB2312" w:eastAsia="仿宋_GB2312"/>
          <w:b w:val="0"/>
          <w:sz w:val="32"/>
        </w:rPr>
        <w:t>3.卫生健康支出(类)21.14万元,占3.24%。</w:t>
      </w:r>
    </w:p>
    <w:p w14:paraId="350126B8">
      <w:pPr>
        <w:spacing w:line="580" w:lineRule="exact"/>
        <w:ind w:firstLine="640"/>
        <w:jc w:val="both"/>
      </w:pPr>
      <w:r>
        <w:rPr>
          <w:rFonts w:ascii="仿宋_GB2312" w:hAnsi="仿宋_GB2312" w:eastAsia="仿宋_GB2312"/>
          <w:b w:val="0"/>
          <w:sz w:val="32"/>
        </w:rPr>
        <w:t>4.住房保障支出(类)43.01万元,占6.59%。</w:t>
      </w:r>
    </w:p>
    <w:p w14:paraId="646EF109">
      <w:pPr>
        <w:spacing w:line="640" w:lineRule="exact"/>
        <w:ind w:firstLine="640"/>
        <w:jc w:val="both"/>
        <w:outlineLvl w:val="3"/>
      </w:pPr>
      <w:r>
        <w:rPr>
          <w:rFonts w:ascii="楷体_GB2312" w:hAnsi="楷体_GB2312" w:eastAsia="楷体_GB2312"/>
          <w:b/>
          <w:sz w:val="32"/>
        </w:rPr>
        <w:t>（三）一般公共预算财政拨款支出决算具体情况</w:t>
      </w:r>
    </w:p>
    <w:p w14:paraId="33917F3B">
      <w:pPr>
        <w:spacing w:line="580" w:lineRule="exact"/>
        <w:ind w:firstLine="640"/>
        <w:jc w:val="both"/>
      </w:pPr>
      <w:r>
        <w:rPr>
          <w:rFonts w:ascii="仿宋_GB2312" w:hAnsi="仿宋_GB2312" w:eastAsia="仿宋_GB2312"/>
          <w:b w:val="0"/>
          <w:sz w:val="32"/>
        </w:rPr>
        <w:t>1.文化旅游体育与传媒支出(类)文化和旅游(款)图书馆(项):支出决算数为456.33万元，比上年决算减少13.38万元，下降2.85%,主要原因是：本年减少喀什地区图书馆智慧体系建设项目及喀什地区图书馆办公搬迁维修项目。</w:t>
      </w:r>
    </w:p>
    <w:p w14:paraId="40AD4F4D">
      <w:pPr>
        <w:spacing w:line="580" w:lineRule="exact"/>
        <w:ind w:firstLine="640"/>
        <w:jc w:val="both"/>
      </w:pPr>
      <w:r>
        <w:rPr>
          <w:rFonts w:ascii="仿宋_GB2312" w:hAnsi="仿宋_GB2312" w:eastAsia="仿宋_GB2312"/>
          <w:b w:val="0"/>
          <w:sz w:val="32"/>
        </w:rPr>
        <w:t>2.文化旅游体育与传媒支出(类)文化和旅游(款)其他文化和旅游支出(项):支出决算数为46.00万元，比上年决算增加15.24万元，增长49.54%,主要原因是：</w:t>
      </w:r>
      <w:r>
        <w:rPr>
          <w:rFonts w:hint="eastAsia" w:ascii="仿宋_GB2312" w:hAnsi="仿宋_GB2312" w:eastAsia="仿宋_GB2312"/>
          <w:b w:val="0"/>
          <w:sz w:val="32"/>
          <w:lang w:val="en-US" w:eastAsia="zh-CN"/>
        </w:rPr>
        <w:t>本年免费开放资金全部执行完毕，去年未执行完毕，导致支出增加</w:t>
      </w:r>
      <w:r>
        <w:rPr>
          <w:rFonts w:ascii="仿宋_GB2312" w:hAnsi="仿宋_GB2312" w:eastAsia="仿宋_GB2312"/>
          <w:b w:val="0"/>
          <w:sz w:val="32"/>
        </w:rPr>
        <w:t>。</w:t>
      </w:r>
    </w:p>
    <w:p w14:paraId="6C2F4973">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3.社会保障和就业支出(类)行政事业单位养老支出(款)事业单位离退休(项):支出决算数为36.66万元，比上年决算增加9.23万元，增长33.65%,主要原因是：本年增加退休人员基础绩效奖，退休费支出增加。</w:t>
      </w:r>
    </w:p>
    <w:p w14:paraId="240A2336">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49.73万元，比上年决算增加2.56万元，增长5.43%,主要原因是：本年在职人员工资基数调增，养老缴费基数上涨，相应支出增加。</w:t>
      </w:r>
    </w:p>
    <w:p w14:paraId="4A183C7A">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5.社会保障和就业支出(类)行政事业单位养老支出(款)机关事业单位职业年金缴费支出(项):支出决算数为0.00万元，比上年决算减少6.91万元，下降100.00%,主要原因是：本年无退休人员，减少职业年金缴费支出。</w:t>
      </w:r>
    </w:p>
    <w:p w14:paraId="60CFE988">
      <w:pPr>
        <w:spacing w:line="580" w:lineRule="exact"/>
        <w:ind w:firstLine="640"/>
        <w:jc w:val="both"/>
      </w:pPr>
      <w:r>
        <w:rPr>
          <w:rFonts w:ascii="仿宋_GB2312" w:hAnsi="仿宋_GB2312" w:eastAsia="仿宋_GB2312"/>
          <w:b w:val="0"/>
          <w:sz w:val="32"/>
        </w:rPr>
        <w:t>6.社会保障和就业支出(类)抚恤(款)死亡抚恤(项):支出决算数为0.00万元，比上年决算减少6.99万元，下降100.00%,主要原因是：本年无新增死亡人员，死亡抚恤支出较上年减少。</w:t>
      </w:r>
    </w:p>
    <w:p w14:paraId="2CAA8443">
      <w:pPr>
        <w:spacing w:line="580" w:lineRule="exact"/>
        <w:ind w:firstLine="640"/>
        <w:jc w:val="both"/>
      </w:pPr>
      <w:r>
        <w:rPr>
          <w:rFonts w:ascii="仿宋_GB2312" w:hAnsi="仿宋_GB2312" w:eastAsia="仿宋_GB2312"/>
          <w:b w:val="0"/>
          <w:sz w:val="32"/>
        </w:rPr>
        <w:t>7.卫生健康支出(类)行政事业单位医疗(款)事业单位医疗(项):支出决算数为21.14万元，比上年决算增加0.66万元，增长3.22%,主要原因是：本年在职人员工资基数调增，医疗缴费基数上涨，相应支出增加。</w:t>
      </w:r>
    </w:p>
    <w:p w14:paraId="454B071C">
      <w:pPr>
        <w:spacing w:line="580" w:lineRule="exact"/>
        <w:ind w:firstLine="640"/>
        <w:jc w:val="both"/>
      </w:pPr>
      <w:r>
        <w:rPr>
          <w:rFonts w:ascii="仿宋_GB2312" w:hAnsi="仿宋_GB2312" w:eastAsia="仿宋_GB2312"/>
          <w:b w:val="0"/>
          <w:sz w:val="32"/>
        </w:rPr>
        <w:t>8.住房保障支出(类)住房改革支出(款)住房公积金(项):支出决算数为43.01万元，比上年决算增加3.25万元，增长8.17%,主要原因是：本年在职人员工资基数调增，公积金缴费基数上涨，相应支出增加。</w:t>
      </w:r>
    </w:p>
    <w:p w14:paraId="6645185E">
      <w:pPr>
        <w:spacing w:line="640" w:lineRule="exact"/>
        <w:ind w:firstLine="640"/>
        <w:jc w:val="both"/>
        <w:outlineLvl w:val="2"/>
      </w:pPr>
      <w:r>
        <w:rPr>
          <w:rFonts w:ascii="黑体" w:hAnsi="黑体" w:eastAsia="黑体"/>
          <w:sz w:val="32"/>
        </w:rPr>
        <w:t>六、一般公共预算财政拨款基本支出决算情况说明</w:t>
      </w:r>
    </w:p>
    <w:p w14:paraId="15E22F03">
      <w:pPr>
        <w:spacing w:line="580" w:lineRule="exact"/>
        <w:ind w:firstLine="640"/>
        <w:jc w:val="both"/>
      </w:pPr>
      <w:r>
        <w:rPr>
          <w:rFonts w:ascii="仿宋_GB2312" w:hAnsi="仿宋_GB2312" w:eastAsia="仿宋_GB2312"/>
          <w:b w:val="0"/>
          <w:sz w:val="32"/>
        </w:rPr>
        <w:t>2024年度一般公共预算财政拨款基本支出580.15万元，其中：</w:t>
      </w:r>
      <w:r>
        <w:rPr>
          <w:rFonts w:ascii="仿宋_GB2312" w:hAnsi="仿宋_GB2312" w:eastAsia="仿宋_GB2312"/>
          <w:b/>
          <w:sz w:val="32"/>
        </w:rPr>
        <w:t>人员经费550.15万元，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包括：基本工资、津贴补贴、奖金、绩效工资、机关事业单位基本养老保险缴费、职工基本医疗保险缴费、其他社会保障缴费、住房公积金、退休费、生活补助。</w:t>
      </w:r>
    </w:p>
    <w:p w14:paraId="7D008021">
      <w:pPr>
        <w:spacing w:line="580" w:lineRule="exact"/>
        <w:ind w:firstLine="640"/>
        <w:jc w:val="both"/>
      </w:pPr>
      <w:r>
        <w:rPr>
          <w:rFonts w:ascii="仿宋_GB2312" w:hAnsi="仿宋_GB2312" w:eastAsia="仿宋_GB2312"/>
          <w:b/>
          <w:sz w:val="32"/>
        </w:rPr>
        <w:t>公用经费30.00万元，</w:t>
      </w:r>
      <w:r>
        <w:rPr>
          <w:rFonts w:ascii="仿宋_GB2312" w:hAnsi="仿宋_GB2312" w:eastAsia="仿宋_GB2312"/>
          <w:b w:val="0"/>
          <w:sz w:val="32"/>
        </w:rPr>
        <w:t>包括：办公费、水费、电费、邮电费、取暖费、物业管理费、差旅费、维修（护）费、专用材料费、工会经费、公务用车运行维护费、其他交通费用、其他商品和服务支出。</w:t>
      </w:r>
    </w:p>
    <w:p w14:paraId="2DB1F52D">
      <w:pPr>
        <w:spacing w:line="640" w:lineRule="exact"/>
        <w:ind w:firstLine="640"/>
        <w:jc w:val="both"/>
        <w:outlineLvl w:val="2"/>
      </w:pPr>
      <w:r>
        <w:rPr>
          <w:rFonts w:ascii="黑体" w:hAnsi="黑体" w:eastAsia="黑体"/>
          <w:sz w:val="32"/>
        </w:rPr>
        <w:t>七、政府性基金预算财政拨款收入支出决算情况说明</w:t>
      </w:r>
    </w:p>
    <w:p w14:paraId="69516DC8">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32CC43BE">
      <w:pPr>
        <w:spacing w:line="640" w:lineRule="exact"/>
        <w:ind w:firstLine="640"/>
        <w:jc w:val="both"/>
        <w:outlineLvl w:val="2"/>
      </w:pPr>
      <w:r>
        <w:rPr>
          <w:rFonts w:ascii="黑体" w:hAnsi="黑体" w:eastAsia="黑体"/>
          <w:sz w:val="32"/>
        </w:rPr>
        <w:t>八、国有资本经营预算财政拨款收入支出决算情况说明</w:t>
      </w:r>
    </w:p>
    <w:p w14:paraId="3EF79C94">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21E3B5F4">
      <w:pPr>
        <w:spacing w:line="640" w:lineRule="exact"/>
        <w:ind w:firstLine="640"/>
        <w:jc w:val="both"/>
        <w:outlineLvl w:val="2"/>
      </w:pPr>
      <w:r>
        <w:rPr>
          <w:rFonts w:ascii="黑体" w:hAnsi="黑体" w:eastAsia="黑体"/>
          <w:sz w:val="32"/>
        </w:rPr>
        <w:t>九、财政拨款“三公”经费支出决算情况说明</w:t>
      </w:r>
    </w:p>
    <w:p w14:paraId="63CE65E8">
      <w:pPr>
        <w:spacing w:line="580" w:lineRule="exact"/>
        <w:ind w:firstLine="640"/>
        <w:jc w:val="both"/>
      </w:pPr>
      <w:r>
        <w:rPr>
          <w:rFonts w:ascii="仿宋_GB2312" w:hAnsi="仿宋_GB2312" w:eastAsia="仿宋_GB2312"/>
          <w:b/>
          <w:sz w:val="32"/>
        </w:rPr>
        <w:t>2024年度财政拨款“三公”经费支出0.28万元，</w:t>
      </w:r>
      <w:r>
        <w:rPr>
          <w:rFonts w:ascii="仿宋_GB2312" w:hAnsi="仿宋_GB2312" w:eastAsia="仿宋_GB2312"/>
          <w:b w:val="0"/>
          <w:sz w:val="32"/>
        </w:rPr>
        <w:t>比上年减少1.02万元，下降78.46%，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0.28万元，占100.00%，比上年减少1.02万元，下降78.46%，主要原因是：严格落实中央八项规定精神，厉行节约，减少公务用车运行维护费。公务接待费支出0.00万元，占0.00%，比上年增加0.00万元，增长0.00%，主要原因是：2023年与2024年均未安排公务接待费支出。</w:t>
      </w:r>
    </w:p>
    <w:p w14:paraId="04D2B5F2">
      <w:pPr>
        <w:spacing w:line="580" w:lineRule="exact"/>
        <w:ind w:firstLine="640"/>
        <w:jc w:val="both"/>
      </w:pPr>
      <w:r>
        <w:rPr>
          <w:rFonts w:ascii="仿宋_GB2312" w:hAnsi="仿宋_GB2312" w:eastAsia="仿宋_GB2312"/>
          <w:b/>
          <w:sz w:val="32"/>
        </w:rPr>
        <w:t>具体情况如下：</w:t>
      </w:r>
    </w:p>
    <w:p w14:paraId="2B02885C">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7FD111F7">
      <w:pPr>
        <w:spacing w:line="580" w:lineRule="exact"/>
        <w:ind w:firstLine="640"/>
        <w:jc w:val="both"/>
      </w:pPr>
      <w:r>
        <w:rPr>
          <w:rFonts w:ascii="仿宋_GB2312" w:hAnsi="仿宋_GB2312" w:eastAsia="仿宋_GB2312"/>
          <w:b w:val="0"/>
          <w:sz w:val="32"/>
        </w:rPr>
        <w:t>公务用车购置及运行维护费0.28万元，其中：公务用车购置费0.00万元，公务用车运行维护费0.28万元。公务用车运行维护费开支内容包括车辆保险费、车辆年审费。公务用车购置数0辆，公务用车保有量1辆。国有资产占用情况中固定资产车辆1辆，与公务用车保有量差异原因是：本部门固定资产车辆与公务用车保有量一致无差异。</w:t>
      </w:r>
    </w:p>
    <w:p w14:paraId="47BCA566">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783E384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0.28万元，决算数0.28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0.28万元，决算数0.28万元，预决算差异率0.00%，主要原因是：严格按照预算执行，预决算无差异。公务接待费全年预算数0.00万元，决算数0.00万元，预决算差异率0.00%，主要原因是：本部门无公务接待费。</w:t>
      </w:r>
    </w:p>
    <w:p w14:paraId="36BBE85D">
      <w:pPr>
        <w:spacing w:line="640" w:lineRule="exact"/>
        <w:ind w:firstLine="640"/>
        <w:jc w:val="both"/>
        <w:outlineLvl w:val="2"/>
      </w:pPr>
      <w:r>
        <w:rPr>
          <w:rFonts w:ascii="黑体" w:hAnsi="黑体" w:eastAsia="黑体"/>
          <w:sz w:val="32"/>
        </w:rPr>
        <w:t>十、其他重要事项的情况说明</w:t>
      </w:r>
    </w:p>
    <w:p w14:paraId="11C12F36">
      <w:pPr>
        <w:spacing w:line="640" w:lineRule="exact"/>
        <w:ind w:firstLine="640"/>
        <w:jc w:val="both"/>
        <w:outlineLvl w:val="3"/>
      </w:pPr>
      <w:r>
        <w:rPr>
          <w:rFonts w:ascii="楷体_GB2312" w:hAnsi="楷体_GB2312" w:eastAsia="楷体_GB2312"/>
          <w:b/>
          <w:sz w:val="32"/>
        </w:rPr>
        <w:t>（一）机关运行经费及公用经费支出情况</w:t>
      </w:r>
    </w:p>
    <w:p w14:paraId="1F031AC1">
      <w:pPr>
        <w:spacing w:line="580" w:lineRule="exact"/>
        <w:ind w:firstLine="640"/>
        <w:jc w:val="both"/>
      </w:pPr>
      <w:r>
        <w:rPr>
          <w:rFonts w:ascii="仿宋_GB2312" w:hAnsi="仿宋_GB2312" w:eastAsia="仿宋_GB2312"/>
          <w:b w:val="0"/>
          <w:sz w:val="32"/>
        </w:rPr>
        <w:t>2024年度喀什地区图书馆（事业单位）公用经费支出30.00万元，比上年增加10.56万元，增长54.32%，主要原因是：本年暖气费增加，业务量增加，公用经费增加。</w:t>
      </w:r>
    </w:p>
    <w:p w14:paraId="45B95FC9">
      <w:pPr>
        <w:spacing w:line="640" w:lineRule="exact"/>
        <w:ind w:firstLine="640"/>
        <w:jc w:val="both"/>
        <w:outlineLvl w:val="3"/>
      </w:pPr>
      <w:r>
        <w:rPr>
          <w:rFonts w:ascii="楷体_GB2312" w:hAnsi="楷体_GB2312" w:eastAsia="楷体_GB2312"/>
          <w:b/>
          <w:sz w:val="32"/>
        </w:rPr>
        <w:t>（二）政府采购情况</w:t>
      </w:r>
    </w:p>
    <w:p w14:paraId="62D5CE09">
      <w:pPr>
        <w:spacing w:line="580" w:lineRule="exact"/>
        <w:ind w:firstLine="640"/>
        <w:jc w:val="both"/>
      </w:pPr>
      <w:r>
        <w:rPr>
          <w:rFonts w:ascii="仿宋_GB2312" w:hAnsi="仿宋_GB2312" w:eastAsia="仿宋_GB2312"/>
          <w:b w:val="0"/>
          <w:sz w:val="32"/>
        </w:rPr>
        <w:t>2024年度政府采购支出总额57.87万元，其中：政府采购货物支出48.15万元、政府采购工程支出0.00万元、政府采购服务支出9.72万元。</w:t>
      </w:r>
    </w:p>
    <w:p w14:paraId="60E17D3A">
      <w:pPr>
        <w:spacing w:line="580" w:lineRule="exact"/>
        <w:ind w:firstLine="640"/>
        <w:jc w:val="both"/>
      </w:pPr>
      <w:r>
        <w:rPr>
          <w:rFonts w:ascii="仿宋_GB2312" w:hAnsi="仿宋_GB2312" w:eastAsia="仿宋_GB2312"/>
          <w:b w:val="0"/>
          <w:sz w:val="32"/>
        </w:rPr>
        <w:t>授予中小企业合同金额57.87万元，占政府采购支出总额的100.00%，其中：授予小微企业合同金额57.87万元，占政府采购支出总额的100.00%。</w:t>
      </w:r>
    </w:p>
    <w:p w14:paraId="4B2C5562">
      <w:pPr>
        <w:spacing w:line="640" w:lineRule="exact"/>
        <w:ind w:firstLine="640"/>
        <w:jc w:val="both"/>
        <w:outlineLvl w:val="3"/>
      </w:pPr>
      <w:r>
        <w:rPr>
          <w:rFonts w:ascii="楷体_GB2312" w:hAnsi="楷体_GB2312" w:eastAsia="楷体_GB2312"/>
          <w:b/>
          <w:sz w:val="32"/>
        </w:rPr>
        <w:t>（三）国有资产占用情况说明</w:t>
      </w:r>
    </w:p>
    <w:p w14:paraId="7AFFE6FE">
      <w:pPr>
        <w:spacing w:line="580" w:lineRule="exact"/>
        <w:ind w:firstLine="640"/>
        <w:jc w:val="both"/>
      </w:pPr>
      <w:r>
        <w:rPr>
          <w:rFonts w:ascii="仿宋_GB2312" w:hAnsi="仿宋_GB2312" w:eastAsia="仿宋_GB2312"/>
          <w:b w:val="0"/>
          <w:sz w:val="32"/>
        </w:rPr>
        <w:t>截至2024年12月31日，房屋3,000.00平方米，价值174.31万元。车辆1辆，价值19.50万元，其中：副部（省）级及以上领导用车0辆、主要负责人用车0辆、机要通信用车0辆、应急保障用车0辆、执法执勤用车0辆、特种专业技术用车1辆、离退休干部服务用车0辆、其他用车0辆，其他用车主要是：本部门无其他用车。单价100万元（含）以上设备（不含车辆）0台（套）。</w:t>
      </w:r>
    </w:p>
    <w:p w14:paraId="0548A771">
      <w:pPr>
        <w:spacing w:line="640" w:lineRule="exact"/>
        <w:ind w:firstLine="640"/>
        <w:jc w:val="both"/>
        <w:outlineLvl w:val="2"/>
      </w:pPr>
      <w:r>
        <w:rPr>
          <w:rFonts w:ascii="黑体" w:hAnsi="黑体" w:eastAsia="黑体"/>
          <w:sz w:val="32"/>
        </w:rPr>
        <w:t>十一、预算绩效的情况说明</w:t>
      </w:r>
    </w:p>
    <w:p w14:paraId="76A7AA4B">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根据预算绩效管理要求，本部门2024年度预算绩效管理形成整体支出绩效自评表1个，全年预算总额656.99万元，实际执行总额652.87万元；预算绩效评价项目</w:t>
      </w:r>
      <w:r>
        <w:rPr>
          <w:rFonts w:hint="eastAsia" w:ascii="仿宋_GB2312" w:hAnsi="仿宋_GB2312" w:eastAsia="仿宋_GB2312"/>
          <w:b w:val="0"/>
          <w:sz w:val="32"/>
          <w:lang w:val="en-US" w:eastAsia="zh-CN"/>
        </w:rPr>
        <w:t>4</w:t>
      </w:r>
      <w:r>
        <w:rPr>
          <w:rFonts w:ascii="仿宋_GB2312" w:hAnsi="仿宋_GB2312" w:eastAsia="仿宋_GB2312"/>
          <w:b w:val="0"/>
          <w:sz w:val="32"/>
        </w:rPr>
        <w:t>个，全年预算数</w:t>
      </w:r>
      <w:r>
        <w:rPr>
          <w:rFonts w:hint="eastAsia" w:ascii="仿宋_GB2312" w:hAnsi="仿宋_GB2312" w:eastAsia="仿宋_GB2312"/>
          <w:b w:val="0"/>
          <w:sz w:val="32"/>
          <w:lang w:val="en-US" w:eastAsia="zh-CN"/>
        </w:rPr>
        <w:t>7</w:t>
      </w:r>
      <w:r>
        <w:rPr>
          <w:rFonts w:ascii="仿宋_GB2312" w:hAnsi="仿宋_GB2312" w:eastAsia="仿宋_GB2312"/>
          <w:b w:val="0"/>
          <w:sz w:val="32"/>
        </w:rPr>
        <w:t>3.08万元，全年执行数</w:t>
      </w:r>
      <w:r>
        <w:rPr>
          <w:rFonts w:hint="eastAsia" w:ascii="仿宋_GB2312" w:hAnsi="仿宋_GB2312" w:eastAsia="仿宋_GB2312"/>
          <w:b w:val="0"/>
          <w:sz w:val="32"/>
          <w:lang w:val="en-US" w:eastAsia="zh-CN"/>
        </w:rPr>
        <w:t>7</w:t>
      </w:r>
      <w:r>
        <w:rPr>
          <w:rFonts w:ascii="仿宋_GB2312" w:hAnsi="仿宋_GB2312" w:eastAsia="仿宋_GB2312"/>
          <w:b w:val="0"/>
          <w:sz w:val="32"/>
        </w:rPr>
        <w:t>2.72万元。预算绩效管理取得的成效：一是保存人类文化遗产，因为有了图书馆，人类的社会实践所取得的经验、文化、知识才得以系统地保存并流传下来，成为今天人类宝贵的文化遗产和精神财富；开展社会教育，担负起了对人的科学知识文化教育的任务。现代社会，图书馆成为继续教育、终身教育的基地，担负了更多的教育职能；二是传递科学情报，图书馆丰富、系统、全面的图书信息资料，成为图书馆从事科学情报传递工作的物质条件。在信息社会，图书馆的科学情报功能将得到加强；提供文化娱乐，图书馆提供的服务满足了社会对文化娱乐的需要，丰富和活跃了人民群众的文化生活，在精神文明建设当中起到了不可或缺的作用。发现的问题及原因：2024年资金预算安排主要用于做阅读推广活动，但是由于阅读推广活动场次较为分散，资金支出不及时，在做下一年阅读推广活动时积极安排活动场次，确保资金合理尽快支出。下一步改进措施：一是项目主要实施人员应与绩效工作人员积极沟通，更加准确</w:t>
      </w:r>
      <w:r>
        <w:rPr>
          <w:rFonts w:hint="eastAsia" w:ascii="仿宋_GB2312" w:hAnsi="仿宋_GB2312" w:eastAsia="仿宋_GB2312"/>
          <w:b w:val="0"/>
          <w:sz w:val="32"/>
          <w:lang w:eastAsia="zh-CN"/>
        </w:rPr>
        <w:t>地</w:t>
      </w:r>
      <w:r>
        <w:rPr>
          <w:rFonts w:ascii="仿宋_GB2312" w:hAnsi="仿宋_GB2312" w:eastAsia="仿宋_GB2312"/>
          <w:b w:val="0"/>
          <w:sz w:val="32"/>
        </w:rPr>
        <w:t>了解项目实施内容、项目进度、经济科目等内容，以便在项目实施过程中更加精准</w:t>
      </w:r>
      <w:r>
        <w:rPr>
          <w:rFonts w:hint="eastAsia" w:ascii="仿宋_GB2312" w:hAnsi="仿宋_GB2312" w:eastAsia="仿宋_GB2312"/>
          <w:b w:val="0"/>
          <w:sz w:val="32"/>
          <w:lang w:eastAsia="zh-CN"/>
        </w:rPr>
        <w:t>地</w:t>
      </w:r>
      <w:r>
        <w:rPr>
          <w:rFonts w:ascii="仿宋_GB2312" w:hAnsi="仿宋_GB2312" w:eastAsia="仿宋_GB2312"/>
          <w:b w:val="0"/>
          <w:sz w:val="32"/>
        </w:rPr>
        <w:t>确定项目的支出。着重沟通年 初项目可行性，保证项目可以正常实施，资金能够正常支付。避免出现资金被收走指标值为零的情况。二是相关绩效管理方面专业知识的系统性学习有待加强。各项指标的设置要进一步优化、完善，主要在细化、量化上改进。积极和项目负责人沟通，确保项目可行性，</w:t>
      </w:r>
      <w:r>
        <w:rPr>
          <w:rFonts w:hint="eastAsia" w:ascii="仿宋_GB2312" w:hAnsi="仿宋_GB2312" w:eastAsia="仿宋_GB2312"/>
          <w:b w:val="0"/>
          <w:sz w:val="32"/>
          <w:lang w:eastAsia="zh-CN"/>
        </w:rPr>
        <w:t>避免</w:t>
      </w:r>
      <w:r>
        <w:rPr>
          <w:rFonts w:ascii="仿宋_GB2312" w:hAnsi="仿宋_GB2312" w:eastAsia="仿宋_GB2312"/>
          <w:b w:val="0"/>
          <w:sz w:val="32"/>
        </w:rPr>
        <w:t>因为项目无法实施资金无法支付的可能性。具体附部门整体支出绩效自评表，项目支出绩效自评表和部门评价报告。</w:t>
      </w:r>
    </w:p>
    <w:p w14:paraId="6D79E6A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8FF3059">
        <w:tblPrEx>
          <w:tblCellMar>
            <w:top w:w="0" w:type="dxa"/>
            <w:left w:w="108" w:type="dxa"/>
            <w:bottom w:w="0" w:type="dxa"/>
            <w:right w:w="108" w:type="dxa"/>
          </w:tblCellMar>
        </w:tblPrEx>
        <w:tc>
          <w:tcPr>
            <w:tcW w:w="8847" w:type="dxa"/>
            <w:gridSpan w:val="9"/>
            <w:vAlign w:val="center"/>
          </w:tcPr>
          <w:p w14:paraId="239BC364">
            <w:pPr>
              <w:jc w:val="center"/>
            </w:pPr>
            <w:r>
              <w:rPr>
                <w:rFonts w:ascii="宋体" w:hAnsi="宋体" w:eastAsia="宋体"/>
                <w:sz w:val="24"/>
              </w:rPr>
              <w:t>部门整体支出绩效自评表</w:t>
            </w:r>
          </w:p>
        </w:tc>
      </w:tr>
      <w:tr w14:paraId="5564637B">
        <w:tblPrEx>
          <w:tblCellMar>
            <w:top w:w="0" w:type="dxa"/>
            <w:left w:w="108" w:type="dxa"/>
            <w:bottom w:w="0" w:type="dxa"/>
            <w:right w:w="108" w:type="dxa"/>
          </w:tblCellMar>
        </w:tblPrEx>
        <w:tc>
          <w:tcPr>
            <w:tcW w:w="8847" w:type="dxa"/>
            <w:gridSpan w:val="9"/>
            <w:vAlign w:val="center"/>
          </w:tcPr>
          <w:p w14:paraId="3A08D2FE">
            <w:pPr>
              <w:jc w:val="center"/>
            </w:pPr>
            <w:r>
              <w:rPr>
                <w:rFonts w:ascii="宋体" w:hAnsi="宋体" w:eastAsia="宋体"/>
                <w:sz w:val="24"/>
              </w:rPr>
              <w:t>（2024年度）</w:t>
            </w:r>
          </w:p>
        </w:tc>
      </w:tr>
      <w:tr w14:paraId="238B404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E5256F">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8A27746">
            <w:pPr>
              <w:jc w:val="center"/>
            </w:pPr>
            <w:r>
              <w:rPr>
                <w:rFonts w:ascii="宋体" w:hAnsi="宋体" w:eastAsia="宋体"/>
                <w:sz w:val="16"/>
              </w:rPr>
              <w:t>喀什地区图书馆</w:t>
            </w:r>
          </w:p>
        </w:tc>
      </w:tr>
      <w:tr w14:paraId="3BFA7A7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339CCA">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0C919">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10F0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78CF29">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EBA0B">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739D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330BB">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799D4">
            <w:pPr>
              <w:jc w:val="center"/>
            </w:pPr>
            <w:r>
              <w:rPr>
                <w:rFonts w:ascii="宋体" w:hAnsi="宋体" w:eastAsia="宋体"/>
                <w:sz w:val="16"/>
              </w:rPr>
              <w:t>得分</w:t>
            </w:r>
          </w:p>
        </w:tc>
      </w:tr>
      <w:tr w14:paraId="61242CE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B4317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A49E22">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E111C">
            <w:pPr>
              <w:jc w:val="center"/>
            </w:pPr>
            <w:r>
              <w:rPr>
                <w:rFonts w:ascii="宋体" w:hAnsi="宋体" w:eastAsia="宋体"/>
                <w:sz w:val="16"/>
              </w:rPr>
              <w:t>621.91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BB5FCC">
            <w:pPr>
              <w:jc w:val="center"/>
            </w:pPr>
            <w:r>
              <w:rPr>
                <w:rFonts w:ascii="宋体" w:hAnsi="宋体" w:eastAsia="宋体"/>
                <w:sz w:val="16"/>
              </w:rPr>
              <w:t>656.99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EC95F">
            <w:pPr>
              <w:jc w:val="center"/>
            </w:pPr>
            <w:r>
              <w:rPr>
                <w:rFonts w:ascii="宋体" w:hAnsi="宋体" w:eastAsia="宋体"/>
                <w:sz w:val="16"/>
              </w:rPr>
              <w:t>652.87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D0F37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145579">
            <w:pPr>
              <w:jc w:val="center"/>
            </w:pPr>
            <w:r>
              <w:rPr>
                <w:rFonts w:ascii="宋体" w:hAnsi="宋体" w:eastAsia="宋体"/>
                <w:sz w:val="16"/>
              </w:rPr>
              <w:t>99.37%</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085EA">
            <w:pPr>
              <w:jc w:val="center"/>
            </w:pPr>
            <w:r>
              <w:rPr>
                <w:rFonts w:ascii="宋体" w:hAnsi="宋体" w:eastAsia="宋体"/>
                <w:sz w:val="16"/>
              </w:rPr>
              <w:t>9.94</w:t>
            </w:r>
          </w:p>
        </w:tc>
      </w:tr>
      <w:tr w14:paraId="331AD6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AD780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2684AC">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40C491">
            <w:pPr>
              <w:jc w:val="center"/>
            </w:pPr>
            <w:r>
              <w:rPr>
                <w:rFonts w:ascii="宋体" w:hAnsi="宋体" w:eastAsia="宋体"/>
                <w:sz w:val="16"/>
              </w:rPr>
              <w:t>47.72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A9741">
            <w:pPr>
              <w:jc w:val="center"/>
            </w:pPr>
            <w:r>
              <w:rPr>
                <w:rFonts w:ascii="宋体" w:hAnsi="宋体" w:eastAsia="宋体"/>
                <w:sz w:val="16"/>
              </w:rPr>
              <w:t>97.85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07FB6">
            <w:pPr>
              <w:jc w:val="center"/>
            </w:pPr>
            <w:r>
              <w:rPr>
                <w:rFonts w:ascii="宋体" w:hAnsi="宋体" w:eastAsia="宋体"/>
                <w:sz w:val="16"/>
              </w:rPr>
              <w:t>93.73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82B7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3554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EE932">
            <w:pPr>
              <w:jc w:val="center"/>
            </w:pPr>
            <w:r>
              <w:rPr>
                <w:rFonts w:ascii="宋体" w:hAnsi="宋体" w:eastAsia="宋体"/>
                <w:sz w:val="16"/>
              </w:rPr>
              <w:t>—</w:t>
            </w:r>
          </w:p>
        </w:tc>
      </w:tr>
      <w:tr w14:paraId="55ED4F0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EE386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E79CEC">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03844">
            <w:pPr>
              <w:jc w:val="center"/>
            </w:pPr>
            <w:r>
              <w:rPr>
                <w:rFonts w:ascii="宋体" w:hAnsi="宋体" w:eastAsia="宋体"/>
                <w:sz w:val="16"/>
              </w:rPr>
              <w:t>574.19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ABD4D">
            <w:pPr>
              <w:jc w:val="center"/>
            </w:pPr>
            <w:r>
              <w:rPr>
                <w:rFonts w:ascii="宋体" w:hAnsi="宋体" w:eastAsia="宋体"/>
                <w:sz w:val="16"/>
              </w:rPr>
              <w:t>559.14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5E0436">
            <w:pPr>
              <w:jc w:val="center"/>
            </w:pPr>
            <w:r>
              <w:rPr>
                <w:rFonts w:ascii="宋体" w:hAnsi="宋体" w:eastAsia="宋体"/>
                <w:sz w:val="16"/>
              </w:rPr>
              <w:t>559.14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DC19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C5C8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52976">
            <w:pPr>
              <w:jc w:val="center"/>
            </w:pPr>
            <w:r>
              <w:rPr>
                <w:rFonts w:ascii="宋体" w:hAnsi="宋体" w:eastAsia="宋体"/>
                <w:sz w:val="16"/>
              </w:rPr>
              <w:t>—</w:t>
            </w:r>
          </w:p>
        </w:tc>
      </w:tr>
      <w:tr w14:paraId="122848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0A808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D67DB">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DEA83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0CC3D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100E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A072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F93D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F06E6">
            <w:pPr>
              <w:jc w:val="center"/>
            </w:pPr>
            <w:r>
              <w:rPr>
                <w:rFonts w:ascii="宋体" w:hAnsi="宋体" w:eastAsia="宋体"/>
                <w:sz w:val="16"/>
              </w:rPr>
              <w:t>—</w:t>
            </w:r>
          </w:p>
        </w:tc>
      </w:tr>
      <w:tr w14:paraId="5470225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73335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CD3724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33E36B">
            <w:pPr>
              <w:jc w:val="center"/>
            </w:pPr>
            <w:r>
              <w:rPr>
                <w:rFonts w:ascii="宋体" w:hAnsi="宋体" w:eastAsia="宋体"/>
                <w:sz w:val="16"/>
              </w:rPr>
              <w:t>实际完成情况</w:t>
            </w:r>
          </w:p>
        </w:tc>
      </w:tr>
      <w:tr w14:paraId="556435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F0A0E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771C34B">
            <w:pPr>
              <w:jc w:val="both"/>
            </w:pPr>
            <w:r>
              <w:rPr>
                <w:rFonts w:ascii="宋体" w:hAnsi="宋体" w:eastAsia="宋体"/>
                <w:sz w:val="16"/>
              </w:rPr>
              <w:t>喀什地区图书馆主要负责喀什地区文献信息资料的征集收藏利用，促进社会经济文化发展，负责图书网络资料信息管理，文献数字化处理，负责图书报刊文献音像资料采编与存储等功能保障单位在编26人工资福利按时足额发放到位，防止吃空饷等事项发生，保障各类补助补贴、社会保险、住房公积金等费用按时发放、按时缴纳。</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积极开展图书下基层全民阅读活动，计划在2024年完成阅读推广活动50场次。阅读推广活动参与人数大于3000人次，推动兴起基层群众学习党的二十大精神的热潮；在“4·23世界读书日”“全民阅读月”“科技周”、“全国助残日”、儿童节、重阳节等重要节点和节日，针对老年人、未成年人、残障人士、农民、大学生等各类人群，开展讲座、展览、比赛、读书会等各种阅读</w:t>
            </w:r>
            <w:r>
              <w:rPr>
                <w:rFonts w:hint="eastAsia" w:ascii="宋体" w:hAnsi="宋体"/>
                <w:sz w:val="16"/>
                <w:lang w:eastAsia="zh-CN"/>
              </w:rPr>
              <w:t>活动</w:t>
            </w:r>
            <w:r>
              <w:rPr>
                <w:rFonts w:ascii="宋体" w:hAnsi="宋体" w:eastAsia="宋体"/>
                <w:sz w:val="16"/>
              </w:rPr>
              <w:t>推广活动。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D6A8F9">
            <w:pPr>
              <w:jc w:val="both"/>
            </w:pPr>
            <w:r>
              <w:rPr>
                <w:rFonts w:ascii="宋体" w:hAnsi="宋体" w:eastAsia="宋体"/>
                <w:sz w:val="16"/>
              </w:rPr>
              <w:t>喀什地区图书馆年度绩效主要目标为喀什地区文献信息资料的征集收藏利用，促进社会经济文化发展，负责图书网络资料信息管理，文献数字化处理，负责图书报刊文献音像资料采编与存储等功能保障单位在编26人工资福利按时足额发放到位，防止吃空饷等事项发生，保障各类补助补贴、社会保险、住房公积金等费用按时发放、按时缴纳。同时完成开展图书阅读推广活动50场次，年服务人数15000人次，图书阅读推广活动参与人数3000人次，开展线上活动场次10场次，图书馆阅读推广活动参与率100%，指标</w:t>
            </w:r>
            <w:r>
              <w:rPr>
                <w:rFonts w:ascii="宋体" w:hAnsi="宋体" w:eastAsia="宋体"/>
                <w:sz w:val="16"/>
              </w:rPr>
              <w:tab/>
            </w:r>
            <w:r>
              <w:rPr>
                <w:rFonts w:ascii="宋体" w:hAnsi="宋体" w:eastAsia="宋体"/>
                <w:sz w:val="16"/>
              </w:rPr>
              <w:t>社会公众对公众文化服务满意度100%，丰富读者精神文化生活，奠定图书馆作为文化交流中心的地位。保障人员工资福利支出、社保支出，工会福利等，以及单位取暖费、公务用车运行维护费等场馆正常运转经费。</w:t>
            </w:r>
          </w:p>
        </w:tc>
      </w:tr>
      <w:tr w14:paraId="56C2223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6F38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45953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4C92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DBE73">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7EA67">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17C44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FB287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BBF50">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F38F2">
            <w:pPr>
              <w:jc w:val="center"/>
            </w:pPr>
            <w:r>
              <w:rPr>
                <w:rFonts w:ascii="宋体" w:hAnsi="宋体" w:eastAsia="宋体"/>
                <w:sz w:val="16"/>
              </w:rPr>
              <w:t>得分</w:t>
            </w:r>
          </w:p>
        </w:tc>
      </w:tr>
      <w:tr w14:paraId="3324271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9C3189">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CFCF2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84769">
            <w:pPr>
              <w:jc w:val="center"/>
            </w:pPr>
            <w:r>
              <w:rPr>
                <w:rFonts w:ascii="宋体" w:hAnsi="宋体" w:eastAsia="宋体"/>
                <w:sz w:val="16"/>
              </w:rPr>
              <w:t>开展图书阅读推广活动（场）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4AE8F">
            <w:pPr>
              <w:jc w:val="center"/>
            </w:pPr>
            <w:r>
              <w:rPr>
                <w:rFonts w:ascii="宋体" w:hAnsi="宋体" w:eastAsia="宋体"/>
                <w:sz w:val="16"/>
              </w:rPr>
              <w:t>&gt;=50场次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2DC1A">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FB812">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7507C">
            <w:pPr>
              <w:jc w:val="center"/>
            </w:pPr>
            <w:r>
              <w:rPr>
                <w:rFonts w:ascii="宋体" w:hAnsi="宋体" w:eastAsia="宋体"/>
                <w:sz w:val="16"/>
              </w:rPr>
              <w:t>50场次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BEB1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78222">
            <w:pPr>
              <w:jc w:val="center"/>
            </w:pPr>
            <w:r>
              <w:rPr>
                <w:rFonts w:ascii="宋体" w:hAnsi="宋体" w:eastAsia="宋体"/>
                <w:sz w:val="16"/>
              </w:rPr>
              <w:t>15</w:t>
            </w:r>
          </w:p>
        </w:tc>
      </w:tr>
      <w:tr w14:paraId="432D6C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CAECC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A6C42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8D464">
            <w:pPr>
              <w:jc w:val="center"/>
            </w:pPr>
            <w:r>
              <w:rPr>
                <w:rFonts w:ascii="宋体" w:hAnsi="宋体" w:eastAsia="宋体"/>
                <w:sz w:val="16"/>
              </w:rPr>
              <w:t>年服务人数（人次）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5C6021">
            <w:pPr>
              <w:jc w:val="center"/>
            </w:pPr>
            <w:r>
              <w:rPr>
                <w:rFonts w:ascii="宋体" w:hAnsi="宋体" w:eastAsia="宋体"/>
                <w:sz w:val="16"/>
              </w:rPr>
              <w:t>&gt;=15000人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42EC0">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B519D">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0EC8B6">
            <w:pPr>
              <w:jc w:val="center"/>
            </w:pPr>
            <w:r>
              <w:rPr>
                <w:rFonts w:ascii="宋体" w:hAnsi="宋体" w:eastAsia="宋体"/>
                <w:sz w:val="16"/>
              </w:rPr>
              <w:t>15000人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074BA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982B7">
            <w:pPr>
              <w:jc w:val="center"/>
            </w:pPr>
            <w:r>
              <w:rPr>
                <w:rFonts w:ascii="宋体" w:hAnsi="宋体" w:eastAsia="宋体"/>
                <w:sz w:val="16"/>
              </w:rPr>
              <w:t>15</w:t>
            </w:r>
          </w:p>
        </w:tc>
      </w:tr>
      <w:tr w14:paraId="0A4DA8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1F9F7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0B39D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48675">
            <w:pPr>
              <w:jc w:val="center"/>
            </w:pPr>
            <w:r>
              <w:rPr>
                <w:rFonts w:ascii="宋体" w:hAnsi="宋体" w:eastAsia="宋体"/>
                <w:sz w:val="16"/>
              </w:rPr>
              <w:t>图书阅读推广活动参与人数（人）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85F11">
            <w:pPr>
              <w:jc w:val="center"/>
            </w:pPr>
            <w:r>
              <w:rPr>
                <w:rFonts w:ascii="宋体" w:hAnsi="宋体" w:eastAsia="宋体"/>
                <w:sz w:val="16"/>
              </w:rPr>
              <w:t>&gt;=3000人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BB350B">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1C2A1">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9C2C6">
            <w:pPr>
              <w:jc w:val="center"/>
            </w:pPr>
            <w:r>
              <w:rPr>
                <w:rFonts w:ascii="宋体" w:hAnsi="宋体" w:eastAsia="宋体"/>
                <w:sz w:val="16"/>
              </w:rPr>
              <w:t>3000人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CC6A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39D78">
            <w:pPr>
              <w:jc w:val="center"/>
            </w:pPr>
            <w:r>
              <w:rPr>
                <w:rFonts w:ascii="宋体" w:hAnsi="宋体" w:eastAsia="宋体"/>
                <w:sz w:val="16"/>
              </w:rPr>
              <w:t>15</w:t>
            </w:r>
          </w:p>
        </w:tc>
      </w:tr>
      <w:tr w14:paraId="5E13EA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3AFA8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02819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963767">
            <w:pPr>
              <w:jc w:val="center"/>
            </w:pPr>
            <w:r>
              <w:rPr>
                <w:rFonts w:ascii="宋体" w:hAnsi="宋体" w:eastAsia="宋体"/>
                <w:sz w:val="16"/>
              </w:rPr>
              <w:t>开展线上活动场次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79484">
            <w:pPr>
              <w:jc w:val="center"/>
            </w:pPr>
            <w:r>
              <w:rPr>
                <w:rFonts w:ascii="宋体" w:hAnsi="宋体" w:eastAsia="宋体"/>
                <w:sz w:val="16"/>
              </w:rPr>
              <w:t>&gt;=10场次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793B3">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2E329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71058">
            <w:pPr>
              <w:jc w:val="center"/>
            </w:pPr>
            <w:r>
              <w:rPr>
                <w:rFonts w:ascii="宋体" w:hAnsi="宋体" w:eastAsia="宋体"/>
                <w:sz w:val="16"/>
              </w:rPr>
              <w:t>10场次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57D8C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15FF7">
            <w:pPr>
              <w:jc w:val="center"/>
            </w:pPr>
            <w:r>
              <w:rPr>
                <w:rFonts w:ascii="宋体" w:hAnsi="宋体" w:eastAsia="宋体"/>
                <w:sz w:val="16"/>
              </w:rPr>
              <w:t>15</w:t>
            </w:r>
          </w:p>
        </w:tc>
      </w:tr>
      <w:tr w14:paraId="2A7762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C6E0B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C9742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E150E">
            <w:pPr>
              <w:jc w:val="center"/>
            </w:pPr>
            <w:r>
              <w:rPr>
                <w:rFonts w:ascii="宋体" w:hAnsi="宋体" w:eastAsia="宋体"/>
                <w:sz w:val="16"/>
              </w:rPr>
              <w:t>图书馆阅读推广活动参与率（%）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6B52D">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8F7F86">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936C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4505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E8E3F">
            <w:pPr>
              <w:jc w:val="center"/>
            </w:pPr>
            <w:r>
              <w:rPr>
                <w:rFonts w:ascii="宋体" w:hAnsi="宋体" w:eastAsia="宋体"/>
                <w:sz w:val="16"/>
              </w:rPr>
              <w:t>111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2D0160">
            <w:pPr>
              <w:jc w:val="center"/>
            </w:pPr>
            <w:r>
              <w:rPr>
                <w:rFonts w:ascii="宋体" w:hAnsi="宋体" w:eastAsia="宋体"/>
                <w:sz w:val="16"/>
              </w:rPr>
              <w:t>15</w:t>
            </w:r>
          </w:p>
        </w:tc>
      </w:tr>
      <w:tr w14:paraId="39E9436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7A386">
            <w:pPr>
              <w:jc w:val="center"/>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C13C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8D16C">
            <w:pPr>
              <w:jc w:val="center"/>
            </w:pPr>
            <w:r>
              <w:rPr>
                <w:rFonts w:ascii="宋体" w:hAnsi="宋体" w:eastAsia="宋体"/>
                <w:sz w:val="16"/>
              </w:rPr>
              <w:t>社会公众对公众文化服务满意度（%)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C0D3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19EBF">
            <w:pPr>
              <w:jc w:val="center"/>
            </w:pPr>
            <w:r>
              <w:rPr>
                <w:rFonts w:ascii="宋体" w:hAnsi="宋体" w:eastAsia="宋体"/>
                <w:sz w:val="16"/>
              </w:rPr>
              <w:t>2024年调查问卷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83950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2E88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319D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67BF2">
            <w:pPr>
              <w:jc w:val="center"/>
            </w:pPr>
            <w:r>
              <w:rPr>
                <w:rFonts w:ascii="宋体" w:hAnsi="宋体" w:eastAsia="宋体"/>
                <w:sz w:val="16"/>
              </w:rPr>
              <w:t>15</w:t>
            </w:r>
          </w:p>
        </w:tc>
      </w:tr>
    </w:tbl>
    <w:p w14:paraId="2EC05E17">
      <w:r>
        <w:br w:type="page"/>
      </w:r>
    </w:p>
    <w:tbl>
      <w:tblPr>
        <w:tblStyle w:val="9"/>
        <w:tblW w:w="0" w:type="auto"/>
        <w:tblInd w:w="0" w:type="dxa"/>
        <w:tblLayout w:type="autofit"/>
        <w:tblCellMar>
          <w:top w:w="0" w:type="dxa"/>
          <w:left w:w="108" w:type="dxa"/>
          <w:bottom w:w="0" w:type="dxa"/>
          <w:right w:w="108" w:type="dxa"/>
        </w:tblCellMar>
      </w:tblPr>
      <w:tblGrid>
        <w:gridCol w:w="628"/>
        <w:gridCol w:w="625"/>
        <w:gridCol w:w="625"/>
        <w:gridCol w:w="696"/>
        <w:gridCol w:w="776"/>
        <w:gridCol w:w="625"/>
        <w:gridCol w:w="632"/>
        <w:gridCol w:w="627"/>
        <w:gridCol w:w="625"/>
        <w:gridCol w:w="625"/>
        <w:gridCol w:w="696"/>
        <w:gridCol w:w="632"/>
        <w:gridCol w:w="616"/>
        <w:gridCol w:w="632"/>
      </w:tblGrid>
      <w:tr w14:paraId="5210D394">
        <w:tblPrEx>
          <w:tblCellMar>
            <w:top w:w="0" w:type="dxa"/>
            <w:left w:w="108" w:type="dxa"/>
            <w:bottom w:w="0" w:type="dxa"/>
            <w:right w:w="108" w:type="dxa"/>
          </w:tblCellMar>
        </w:tblPrEx>
        <w:tc>
          <w:tcPr>
            <w:tcW w:w="8848" w:type="dxa"/>
            <w:gridSpan w:val="14"/>
            <w:vAlign w:val="center"/>
          </w:tcPr>
          <w:p w14:paraId="3D692C76">
            <w:pPr>
              <w:jc w:val="center"/>
            </w:pPr>
            <w:r>
              <w:rPr>
                <w:rFonts w:ascii="宋体" w:hAnsi="宋体" w:eastAsia="宋体"/>
                <w:sz w:val="24"/>
              </w:rPr>
              <w:t>项目支出绩效自评表</w:t>
            </w:r>
          </w:p>
        </w:tc>
      </w:tr>
      <w:tr w14:paraId="1B3DDC8C">
        <w:tblPrEx>
          <w:tblCellMar>
            <w:top w:w="0" w:type="dxa"/>
            <w:left w:w="108" w:type="dxa"/>
            <w:bottom w:w="0" w:type="dxa"/>
            <w:right w:w="108" w:type="dxa"/>
          </w:tblCellMar>
        </w:tblPrEx>
        <w:tc>
          <w:tcPr>
            <w:tcW w:w="8848" w:type="dxa"/>
            <w:gridSpan w:val="14"/>
            <w:vAlign w:val="center"/>
          </w:tcPr>
          <w:p w14:paraId="71B76C03">
            <w:pPr>
              <w:jc w:val="center"/>
            </w:pPr>
            <w:r>
              <w:rPr>
                <w:rFonts w:ascii="宋体" w:hAnsi="宋体" w:eastAsia="宋体"/>
                <w:sz w:val="24"/>
              </w:rPr>
              <w:t>(2024年度)</w:t>
            </w:r>
          </w:p>
        </w:tc>
      </w:tr>
      <w:tr w14:paraId="0BAF4F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1D0C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A9776D">
            <w:pPr>
              <w:jc w:val="center"/>
            </w:pPr>
            <w:r>
              <w:rPr>
                <w:rFonts w:ascii="宋体" w:hAnsi="宋体" w:eastAsia="宋体"/>
                <w:sz w:val="16"/>
              </w:rPr>
              <w:t>2024年免费开放项目</w:t>
            </w:r>
          </w:p>
        </w:tc>
      </w:tr>
      <w:tr w14:paraId="4E1FAA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0E40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B049D0">
            <w:pPr>
              <w:jc w:val="center"/>
            </w:pPr>
            <w:r>
              <w:rPr>
                <w:rFonts w:ascii="宋体" w:hAnsi="宋体" w:eastAsia="宋体"/>
                <w:sz w:val="16"/>
              </w:rPr>
              <w:t>喀什地区图书馆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78FD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A82445">
            <w:pPr>
              <w:jc w:val="center"/>
            </w:pPr>
            <w:r>
              <w:rPr>
                <w:rFonts w:ascii="宋体" w:hAnsi="宋体" w:eastAsia="宋体"/>
                <w:sz w:val="16"/>
              </w:rPr>
              <w:t>喀什地区图书馆</w:t>
            </w:r>
          </w:p>
        </w:tc>
      </w:tr>
      <w:tr w14:paraId="773EE7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A5ECB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B0BC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64E2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746B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2E44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1EA0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CE5D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F6BCD">
            <w:pPr>
              <w:jc w:val="center"/>
            </w:pPr>
            <w:r>
              <w:rPr>
                <w:rFonts w:ascii="宋体" w:hAnsi="宋体" w:eastAsia="宋体"/>
                <w:sz w:val="16"/>
              </w:rPr>
              <w:t>得分</w:t>
            </w:r>
          </w:p>
        </w:tc>
      </w:tr>
      <w:tr w14:paraId="02E9DD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0B4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3DC5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2C3D0">
            <w:pPr>
              <w:jc w:val="center"/>
            </w:pPr>
            <w:r>
              <w:rPr>
                <w:rFonts w:ascii="宋体" w:hAnsi="宋体" w:eastAsia="宋体"/>
                <w:sz w:val="16"/>
              </w:rPr>
              <w:t>46.00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9465A">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1430F">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DFF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107E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343B7">
            <w:pPr>
              <w:jc w:val="center"/>
            </w:pPr>
            <w:r>
              <w:rPr>
                <w:rFonts w:ascii="宋体" w:hAnsi="宋体" w:eastAsia="宋体"/>
                <w:sz w:val="16"/>
              </w:rPr>
              <w:t>10.00分</w:t>
            </w:r>
          </w:p>
        </w:tc>
      </w:tr>
      <w:tr w14:paraId="129B07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5483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B88B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30644">
            <w:pPr>
              <w:jc w:val="center"/>
            </w:pPr>
            <w:r>
              <w:rPr>
                <w:rFonts w:ascii="宋体" w:hAnsi="宋体" w:eastAsia="宋体"/>
                <w:sz w:val="16"/>
              </w:rPr>
              <w:t>46.00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5C968">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8F49E">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15D6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08D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B24A8">
            <w:pPr>
              <w:jc w:val="center"/>
            </w:pPr>
            <w:r>
              <w:rPr>
                <w:rFonts w:ascii="宋体" w:hAnsi="宋体" w:eastAsia="宋体"/>
                <w:sz w:val="16"/>
              </w:rPr>
              <w:t>—</w:t>
            </w:r>
          </w:p>
        </w:tc>
      </w:tr>
      <w:tr w14:paraId="2CCE14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F4C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D699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C54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80B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FEE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6FA5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50E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1BA89">
            <w:pPr>
              <w:jc w:val="center"/>
            </w:pPr>
            <w:r>
              <w:rPr>
                <w:rFonts w:ascii="宋体" w:hAnsi="宋体" w:eastAsia="宋体"/>
                <w:sz w:val="16"/>
              </w:rPr>
              <w:t>—</w:t>
            </w:r>
          </w:p>
        </w:tc>
      </w:tr>
      <w:tr w14:paraId="7083DD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5DBF3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29274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E72963">
            <w:pPr>
              <w:jc w:val="center"/>
            </w:pPr>
            <w:r>
              <w:rPr>
                <w:rFonts w:ascii="宋体" w:hAnsi="宋体" w:eastAsia="宋体"/>
                <w:sz w:val="16"/>
              </w:rPr>
              <w:t>实际完成情况</w:t>
            </w:r>
          </w:p>
        </w:tc>
      </w:tr>
      <w:tr w14:paraId="0E4B3A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1E6EA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90BC36">
            <w:pPr>
              <w:jc w:val="both"/>
            </w:pPr>
            <w:r>
              <w:rPr>
                <w:rFonts w:ascii="宋体" w:hAnsi="宋体" w:eastAsia="宋体"/>
                <w:sz w:val="16"/>
              </w:rPr>
              <w:t>走出馆门开展服务，开展“送图书进基层、进校园、进军营、进机关”等流动服务活动，把阅读活动带到群众身边，辐射更多服务群体，让图书馆公共文化服务职能均等化、便民化。准备开展“送书下乡，助力乡村文化振兴”服务活动开展“阅读推广”活动50场次，喀什地区图书馆将继续宣传，塑造全民健康向上的精神面貌。它将动员广大群众多读书，读好书，形成读书热潮，接受中外文化的熏陶，陶冶性情，丰富人文精神，培养文化人格，提高群众素养，同时宣传弘扬传承优秀传统文化，大力培育社会主义核心价值观，有效保障各族群众精神文化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229C3D">
            <w:pPr>
              <w:jc w:val="both"/>
            </w:pPr>
            <w:r>
              <w:rPr>
                <w:rFonts w:ascii="宋体" w:hAnsi="宋体" w:eastAsia="宋体"/>
                <w:sz w:val="16"/>
              </w:rPr>
              <w:t>完成50场次开展图书阅读推广活动，年服务人数15000人次，阅读推广活动参与人数3000人次，塑造全民健康向上的精神面貌。它将动员广大群众多读书，读好书，形成读书热潮，接受中外文化的熏陶，陶冶性情，丰富人文精神，培养文化人格，提高群众素养，同时宣传弘扬传承优秀传统文化，大力培育社会主义核心价值观，有效保障各族群众精神文化需求。</w:t>
            </w:r>
          </w:p>
        </w:tc>
      </w:tr>
      <w:tr w14:paraId="17F5C6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0759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5040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4D20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05EA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5E5E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69BF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75AB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95BD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EF07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D9D3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3B9A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20B1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DF3CC">
            <w:pPr>
              <w:jc w:val="center"/>
            </w:pPr>
            <w:r>
              <w:rPr>
                <w:rFonts w:ascii="宋体" w:hAnsi="宋体" w:eastAsia="宋体"/>
                <w:sz w:val="16"/>
              </w:rPr>
              <w:t>偏差原因分析及改进措施</w:t>
            </w:r>
          </w:p>
        </w:tc>
      </w:tr>
      <w:tr w14:paraId="4774AC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ADE03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27802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D2D5A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D2975">
            <w:pPr>
              <w:jc w:val="center"/>
            </w:pPr>
            <w:r>
              <w:rPr>
                <w:rFonts w:ascii="宋体" w:hAnsi="宋体" w:eastAsia="宋体"/>
                <w:sz w:val="16"/>
              </w:rPr>
              <w:t>开展图书阅读推广活动（场）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D17AA">
            <w:pPr>
              <w:jc w:val="center"/>
            </w:pPr>
            <w:r>
              <w:rPr>
                <w:rFonts w:ascii="宋体" w:hAnsi="宋体" w:eastAsia="宋体"/>
                <w:sz w:val="16"/>
              </w:rPr>
              <w:t>&gt;=50场次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9DF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D4039">
            <w:pPr>
              <w:jc w:val="center"/>
            </w:pPr>
            <w:r>
              <w:rPr>
                <w:rFonts w:ascii="宋体" w:hAnsi="宋体" w:eastAsia="宋体"/>
                <w:sz w:val="16"/>
              </w:rPr>
              <w:t>48场次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5384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9A8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386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9771B">
            <w:pPr>
              <w:jc w:val="center"/>
            </w:pPr>
            <w:r>
              <w:rPr>
                <w:rFonts w:ascii="宋体" w:hAnsi="宋体" w:eastAsia="宋体"/>
                <w:sz w:val="16"/>
              </w:rPr>
              <w:t>=50场次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45AA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4C5D9">
            <w:pPr>
              <w:jc w:val="center"/>
            </w:pPr>
          </w:p>
        </w:tc>
      </w:tr>
      <w:tr w14:paraId="1741DA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193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75E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A6C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1D3C4">
            <w:pPr>
              <w:jc w:val="center"/>
            </w:pPr>
            <w:r>
              <w:rPr>
                <w:rFonts w:ascii="宋体" w:hAnsi="宋体" w:eastAsia="宋体"/>
                <w:sz w:val="16"/>
              </w:rPr>
              <w:t>年服务人数（人次）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1C4A4">
            <w:pPr>
              <w:jc w:val="center"/>
            </w:pPr>
            <w:r>
              <w:rPr>
                <w:rFonts w:ascii="宋体" w:hAnsi="宋体" w:eastAsia="宋体"/>
                <w:sz w:val="16"/>
              </w:rPr>
              <w:t>&gt;=15000人次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812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745D6">
            <w:pPr>
              <w:jc w:val="center"/>
            </w:pPr>
            <w:r>
              <w:rPr>
                <w:rFonts w:ascii="宋体" w:hAnsi="宋体" w:eastAsia="宋体"/>
                <w:sz w:val="16"/>
              </w:rPr>
              <w:t>15000人次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B677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D1B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37B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CBD7C">
            <w:pPr>
              <w:jc w:val="center"/>
            </w:pPr>
            <w:r>
              <w:rPr>
                <w:rFonts w:ascii="宋体" w:hAnsi="宋体" w:eastAsia="宋体"/>
                <w:sz w:val="16"/>
              </w:rPr>
              <w:t>=15000人次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C200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9A865">
            <w:pPr>
              <w:jc w:val="center"/>
            </w:pPr>
          </w:p>
        </w:tc>
      </w:tr>
      <w:tr w14:paraId="23E876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E07E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204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5E3F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6347F">
            <w:pPr>
              <w:jc w:val="center"/>
            </w:pPr>
            <w:r>
              <w:rPr>
                <w:rFonts w:ascii="宋体" w:hAnsi="宋体" w:eastAsia="宋体"/>
                <w:sz w:val="16"/>
              </w:rPr>
              <w:t>图书阅读推广活动参与人数（人）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902C4">
            <w:pPr>
              <w:jc w:val="center"/>
            </w:pPr>
            <w:r>
              <w:rPr>
                <w:rFonts w:ascii="宋体" w:hAnsi="宋体" w:eastAsia="宋体"/>
                <w:sz w:val="16"/>
              </w:rPr>
              <w:t>&gt;=3000人次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95D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E6D1E">
            <w:pPr>
              <w:jc w:val="center"/>
            </w:pPr>
            <w:r>
              <w:rPr>
                <w:rFonts w:ascii="宋体" w:hAnsi="宋体" w:eastAsia="宋体"/>
                <w:sz w:val="16"/>
              </w:rPr>
              <w:t>3000人次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FBC9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A42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2A8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95291">
            <w:pPr>
              <w:jc w:val="center"/>
            </w:pPr>
            <w:r>
              <w:rPr>
                <w:rFonts w:ascii="宋体" w:hAnsi="宋体" w:eastAsia="宋体"/>
                <w:sz w:val="16"/>
              </w:rPr>
              <w:t>=3000人次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0580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36982">
            <w:pPr>
              <w:jc w:val="center"/>
            </w:pPr>
          </w:p>
        </w:tc>
      </w:tr>
      <w:tr w14:paraId="70E144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E99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1509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8C44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8A595">
            <w:pPr>
              <w:jc w:val="center"/>
            </w:pPr>
            <w:r>
              <w:rPr>
                <w:rFonts w:ascii="宋体" w:hAnsi="宋体" w:eastAsia="宋体"/>
                <w:sz w:val="16"/>
              </w:rPr>
              <w:t>图书馆阅读推广活动参与率（%）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2767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338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988CC">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0530D">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D3E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E75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B67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441B2">
            <w:pPr>
              <w:jc w:val="center"/>
            </w:pPr>
            <w:r>
              <w:rPr>
                <w:rFonts w:ascii="宋体" w:hAnsi="宋体" w:eastAsia="宋体"/>
                <w:sz w:val="16"/>
              </w:rPr>
              <w:t>12.35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D5E2B">
            <w:pPr>
              <w:jc w:val="center"/>
            </w:pPr>
            <w:r>
              <w:rPr>
                <w:rFonts w:ascii="宋体" w:hAnsi="宋体" w:eastAsia="宋体"/>
                <w:sz w:val="16"/>
              </w:rPr>
              <w:t>偏差原因：设定阅读推广活动参与率指标预期过低，改进措施：再设置指标时提高参与率指标预期。</w:t>
            </w:r>
          </w:p>
        </w:tc>
      </w:tr>
      <w:tr w14:paraId="0D67DA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8024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49A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BEBE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F242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E3FE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920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B3F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F96B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FA2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9F1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8B414">
            <w:pPr>
              <w:jc w:val="center"/>
            </w:pPr>
            <w:r>
              <w:rPr>
                <w:rFonts w:ascii="宋体" w:hAnsi="宋体" w:eastAsia="宋体"/>
                <w:sz w:val="16"/>
              </w:rPr>
              <w:t>=2024年11月30日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7EFE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1A214">
            <w:pPr>
              <w:jc w:val="center"/>
            </w:pPr>
          </w:p>
        </w:tc>
      </w:tr>
      <w:tr w14:paraId="5E15E5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BBC8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C496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8E85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3B95F">
            <w:pPr>
              <w:jc w:val="center"/>
            </w:pPr>
            <w:r>
              <w:rPr>
                <w:rFonts w:ascii="宋体" w:hAnsi="宋体" w:eastAsia="宋体"/>
                <w:sz w:val="16"/>
              </w:rPr>
              <w:t>资金节约率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1EE18">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A74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ACB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E510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5DF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C82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0F33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1461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152D9">
            <w:pPr>
              <w:jc w:val="center"/>
            </w:pPr>
          </w:p>
        </w:tc>
      </w:tr>
      <w:tr w14:paraId="22923E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C57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AD4D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8D6A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A12F4">
            <w:pPr>
              <w:jc w:val="center"/>
            </w:pPr>
            <w:r>
              <w:rPr>
                <w:rFonts w:ascii="宋体" w:hAnsi="宋体" w:eastAsia="宋体"/>
                <w:sz w:val="16"/>
              </w:rPr>
              <w:t>保障群众精神文化需求，弘扬传承中华优秀传统文化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80C4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7F9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0734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9154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5BFF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628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E179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0EC6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A71BF">
            <w:pPr>
              <w:jc w:val="center"/>
            </w:pPr>
          </w:p>
        </w:tc>
      </w:tr>
      <w:tr w14:paraId="1C4799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8A4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C4C0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D40E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5A353">
            <w:pPr>
              <w:jc w:val="center"/>
            </w:pPr>
            <w:r>
              <w:rPr>
                <w:rFonts w:ascii="宋体" w:hAnsi="宋体" w:eastAsia="宋体"/>
                <w:sz w:val="16"/>
              </w:rPr>
              <w:t>社会公众对公共文化服务满意度（%）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6873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6EA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A373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B06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CA43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931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4BE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B08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0912B">
            <w:pPr>
              <w:jc w:val="center"/>
            </w:pPr>
            <w:r>
              <w:rPr>
                <w:rFonts w:ascii="宋体" w:hAnsi="宋体" w:eastAsia="宋体"/>
                <w:sz w:val="16"/>
              </w:rPr>
              <w:t>偏差原因：设定满意度指标时预期过低，改进措施：提前了解读者市场，更加精准预测满意度。</w:t>
            </w:r>
          </w:p>
        </w:tc>
      </w:tr>
      <w:tr w14:paraId="5EB741E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CBAC1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10D9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D76AD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EC6D5">
            <w:pPr>
              <w:jc w:val="center"/>
            </w:pPr>
            <w:r>
              <w:rPr>
                <w:rFonts w:ascii="宋体" w:hAnsi="宋体" w:eastAsia="宋体"/>
                <w:sz w:val="16"/>
              </w:rPr>
              <w:t>99.35分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E250C5D"/>
        </w:tc>
      </w:tr>
    </w:tbl>
    <w:p w14:paraId="4C14E45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4EA6838">
        <w:tblPrEx>
          <w:tblCellMar>
            <w:top w:w="0" w:type="dxa"/>
            <w:left w:w="108" w:type="dxa"/>
            <w:bottom w:w="0" w:type="dxa"/>
            <w:right w:w="108" w:type="dxa"/>
          </w:tblCellMar>
        </w:tblPrEx>
        <w:tc>
          <w:tcPr>
            <w:tcW w:w="8848" w:type="dxa"/>
            <w:gridSpan w:val="14"/>
            <w:vAlign w:val="center"/>
          </w:tcPr>
          <w:p w14:paraId="0F820A4E">
            <w:pPr>
              <w:jc w:val="center"/>
            </w:pPr>
            <w:r>
              <w:rPr>
                <w:rFonts w:ascii="宋体" w:hAnsi="宋体" w:eastAsia="宋体"/>
                <w:sz w:val="24"/>
              </w:rPr>
              <w:t>项目支出绩效自评表</w:t>
            </w:r>
          </w:p>
        </w:tc>
      </w:tr>
      <w:tr w14:paraId="33446728">
        <w:tblPrEx>
          <w:tblCellMar>
            <w:top w:w="0" w:type="dxa"/>
            <w:left w:w="108" w:type="dxa"/>
            <w:bottom w:w="0" w:type="dxa"/>
            <w:right w:w="108" w:type="dxa"/>
          </w:tblCellMar>
        </w:tblPrEx>
        <w:tc>
          <w:tcPr>
            <w:tcW w:w="8848" w:type="dxa"/>
            <w:gridSpan w:val="14"/>
            <w:vAlign w:val="center"/>
          </w:tcPr>
          <w:p w14:paraId="06E43DED">
            <w:pPr>
              <w:jc w:val="center"/>
            </w:pPr>
            <w:r>
              <w:rPr>
                <w:rFonts w:ascii="宋体" w:hAnsi="宋体" w:eastAsia="宋体"/>
                <w:sz w:val="24"/>
              </w:rPr>
              <w:t>(2024年度)</w:t>
            </w:r>
          </w:p>
        </w:tc>
      </w:tr>
      <w:tr w14:paraId="6DD281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3B96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D93D72A">
            <w:pPr>
              <w:jc w:val="center"/>
            </w:pPr>
            <w:r>
              <w:rPr>
                <w:rFonts w:ascii="宋体" w:hAnsi="宋体" w:eastAsia="宋体"/>
                <w:sz w:val="16"/>
              </w:rPr>
              <w:t>中华优秀传统文化宣传推广项目</w:t>
            </w:r>
          </w:p>
        </w:tc>
      </w:tr>
      <w:tr w14:paraId="48D7AE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D20B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A09108">
            <w:pPr>
              <w:jc w:val="center"/>
            </w:pPr>
            <w:r>
              <w:rPr>
                <w:rFonts w:ascii="宋体" w:hAnsi="宋体" w:eastAsia="宋体"/>
                <w:sz w:val="16"/>
              </w:rPr>
              <w:t>喀什地区图书馆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3810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0966E4">
            <w:pPr>
              <w:jc w:val="center"/>
            </w:pPr>
            <w:r>
              <w:rPr>
                <w:rFonts w:ascii="宋体" w:hAnsi="宋体" w:eastAsia="宋体"/>
                <w:sz w:val="16"/>
              </w:rPr>
              <w:t>喀什地区图书馆</w:t>
            </w:r>
          </w:p>
        </w:tc>
      </w:tr>
      <w:tr w14:paraId="02F5DF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53AB9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91B0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15B2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EC6B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85C2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5FD8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3436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8AF89">
            <w:pPr>
              <w:jc w:val="center"/>
            </w:pPr>
            <w:r>
              <w:rPr>
                <w:rFonts w:ascii="宋体" w:hAnsi="宋体" w:eastAsia="宋体"/>
                <w:sz w:val="16"/>
              </w:rPr>
              <w:t>得分</w:t>
            </w:r>
          </w:p>
        </w:tc>
      </w:tr>
      <w:tr w14:paraId="0B2E94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DFFD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E768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CD80F">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5BDFF">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8191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CB8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3931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E8810">
            <w:pPr>
              <w:jc w:val="center"/>
            </w:pPr>
            <w:r>
              <w:rPr>
                <w:rFonts w:ascii="宋体" w:hAnsi="宋体" w:eastAsia="宋体"/>
                <w:sz w:val="16"/>
              </w:rPr>
              <w:t>10.00分</w:t>
            </w:r>
          </w:p>
        </w:tc>
      </w:tr>
      <w:tr w14:paraId="5EF90C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471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8E42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FF225">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947B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FFA58">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CFA7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152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F7DAD">
            <w:pPr>
              <w:jc w:val="center"/>
            </w:pPr>
            <w:r>
              <w:rPr>
                <w:rFonts w:ascii="宋体" w:hAnsi="宋体" w:eastAsia="宋体"/>
                <w:sz w:val="16"/>
              </w:rPr>
              <w:t>—</w:t>
            </w:r>
          </w:p>
        </w:tc>
      </w:tr>
      <w:tr w14:paraId="7D1EFB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E88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E6BC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BDB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C27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59C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CEA0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349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25B0F">
            <w:pPr>
              <w:jc w:val="center"/>
            </w:pPr>
            <w:r>
              <w:rPr>
                <w:rFonts w:ascii="宋体" w:hAnsi="宋体" w:eastAsia="宋体"/>
                <w:sz w:val="16"/>
              </w:rPr>
              <w:t>—</w:t>
            </w:r>
          </w:p>
        </w:tc>
      </w:tr>
      <w:tr w14:paraId="319A7B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CB5B3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2C3E6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185171">
            <w:pPr>
              <w:jc w:val="center"/>
            </w:pPr>
            <w:r>
              <w:rPr>
                <w:rFonts w:ascii="宋体" w:hAnsi="宋体" w:eastAsia="宋体"/>
                <w:sz w:val="16"/>
              </w:rPr>
              <w:t>实际完成情况</w:t>
            </w:r>
          </w:p>
        </w:tc>
      </w:tr>
      <w:tr w14:paraId="607C11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4C662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30BA59">
            <w:pPr>
              <w:jc w:val="both"/>
            </w:pPr>
            <w:r>
              <w:rPr>
                <w:rFonts w:ascii="宋体" w:hAnsi="宋体" w:eastAsia="宋体"/>
                <w:sz w:val="16"/>
              </w:rPr>
              <w:t>中华优秀传统文化宣传推广项目，主要包括五方面内容，经典文化阅读空间打造；传统文化展览及落地实施项目；研学活动；文创产品展示体验活动；数字资源展示体验活动，项目计划打造1个经典文化阅读空间，采购文创产品138个，并且购买国家图书馆提供的1个数字资源《图书馆奇妙夜》，举办研学活动次数1次，举办展览活动次数2次，积极向各族群众宣传推广中华优秀传统文化，夯实构建中华民族共有精神家园思想基础，让铸牢中华民族共同体意识根植喀什地区各族群众心田。</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81EE6F">
            <w:pPr>
              <w:jc w:val="both"/>
            </w:pPr>
            <w:r>
              <w:rPr>
                <w:rFonts w:ascii="宋体" w:hAnsi="宋体" w:eastAsia="宋体"/>
                <w:sz w:val="16"/>
              </w:rPr>
              <w:t>完成项目计划打造1个经典文化阅读空间，采购文创产品138个，并且购买国家图书馆提供的1个数字资源《图书馆奇妙夜》，举办研学活动次数1次，举办展览活动次数2次，积极向各族群众宣传推广中华优秀传统文化，夯实构建中华民族共有精神家园思想基础，让铸牢中华民族共同体意识根植喀什地区各族群众心田</w:t>
            </w:r>
          </w:p>
        </w:tc>
      </w:tr>
      <w:tr w14:paraId="7CDF0B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D32F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7A01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67C9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54C5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2886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DD27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EF36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3597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1660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AF8F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DE93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EEE4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17ABD">
            <w:pPr>
              <w:jc w:val="center"/>
            </w:pPr>
            <w:r>
              <w:rPr>
                <w:rFonts w:ascii="宋体" w:hAnsi="宋体" w:eastAsia="宋体"/>
                <w:sz w:val="16"/>
              </w:rPr>
              <w:t>偏差原因分析及改进措施</w:t>
            </w:r>
          </w:p>
        </w:tc>
      </w:tr>
      <w:tr w14:paraId="26E726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0E358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F8BFE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12445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1CE5C">
            <w:pPr>
              <w:jc w:val="center"/>
            </w:pPr>
            <w:r>
              <w:rPr>
                <w:rFonts w:ascii="宋体" w:hAnsi="宋体" w:eastAsia="宋体"/>
                <w:sz w:val="16"/>
              </w:rPr>
              <w:t>经典文化阅读空间打造数量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EA0C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125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885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38B8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31C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895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F255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1F26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824F1">
            <w:pPr>
              <w:jc w:val="center"/>
            </w:pPr>
          </w:p>
        </w:tc>
      </w:tr>
      <w:tr w14:paraId="3F0610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6E1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C20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A3A8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DAF50">
            <w:pPr>
              <w:jc w:val="center"/>
            </w:pPr>
            <w:r>
              <w:rPr>
                <w:rFonts w:ascii="宋体" w:hAnsi="宋体" w:eastAsia="宋体"/>
                <w:sz w:val="16"/>
              </w:rPr>
              <w:t>采购文创产品个数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E491C">
            <w:pPr>
              <w:jc w:val="center"/>
            </w:pPr>
            <w:r>
              <w:rPr>
                <w:rFonts w:ascii="宋体" w:hAnsi="宋体" w:eastAsia="宋体"/>
                <w:sz w:val="16"/>
              </w:rPr>
              <w:t>&gt;=138个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57B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356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038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F81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19E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3DB21">
            <w:pPr>
              <w:jc w:val="center"/>
            </w:pPr>
            <w:r>
              <w:rPr>
                <w:rFonts w:ascii="宋体" w:hAnsi="宋体" w:eastAsia="宋体"/>
                <w:sz w:val="16"/>
              </w:rPr>
              <w:t>=138个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9A7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310C9">
            <w:pPr>
              <w:jc w:val="center"/>
            </w:pPr>
          </w:p>
        </w:tc>
      </w:tr>
      <w:tr w14:paraId="726A17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379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EAB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ACD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437E8">
            <w:pPr>
              <w:jc w:val="center"/>
            </w:pPr>
            <w:r>
              <w:rPr>
                <w:rFonts w:ascii="宋体" w:hAnsi="宋体" w:eastAsia="宋体"/>
                <w:sz w:val="16"/>
              </w:rPr>
              <w:t>数字资源个数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90D86">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FB9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740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01A5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D03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AA9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170D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D0D1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52EFE">
            <w:pPr>
              <w:jc w:val="center"/>
            </w:pPr>
          </w:p>
        </w:tc>
      </w:tr>
      <w:tr w14:paraId="187124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F9C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B2B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9A6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95242">
            <w:pPr>
              <w:jc w:val="center"/>
            </w:pPr>
            <w:r>
              <w:rPr>
                <w:rFonts w:ascii="宋体" w:hAnsi="宋体" w:eastAsia="宋体"/>
                <w:sz w:val="16"/>
              </w:rPr>
              <w:t>举办研学活动次数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ABB3E">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708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E24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582C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0DB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F24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DAB7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67E6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055B4">
            <w:pPr>
              <w:jc w:val="center"/>
            </w:pPr>
          </w:p>
        </w:tc>
      </w:tr>
      <w:tr w14:paraId="4AF899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4FC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FD6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AB9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8DA16">
            <w:pPr>
              <w:jc w:val="center"/>
            </w:pPr>
            <w:r>
              <w:rPr>
                <w:rFonts w:ascii="宋体" w:hAnsi="宋体" w:eastAsia="宋体"/>
                <w:sz w:val="16"/>
              </w:rPr>
              <w:t>举办展览活动次数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8CF81">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478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10B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2ACC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AAD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B5C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BE275">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9B59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DFABD">
            <w:pPr>
              <w:jc w:val="center"/>
            </w:pPr>
          </w:p>
        </w:tc>
      </w:tr>
      <w:tr w14:paraId="3D6491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ABA0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C8F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841C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CDD7E">
            <w:pPr>
              <w:jc w:val="center"/>
            </w:pPr>
            <w:r>
              <w:rPr>
                <w:rFonts w:ascii="宋体" w:hAnsi="宋体" w:eastAsia="宋体"/>
                <w:sz w:val="16"/>
              </w:rPr>
              <w:t>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9811F">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B1B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692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4626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78C4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5D3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53F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5C95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287BF">
            <w:pPr>
              <w:jc w:val="center"/>
            </w:pPr>
          </w:p>
        </w:tc>
      </w:tr>
      <w:tr w14:paraId="156A0D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B40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2946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3F68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0EA9C">
            <w:pPr>
              <w:jc w:val="center"/>
            </w:pPr>
            <w:r>
              <w:rPr>
                <w:rFonts w:ascii="宋体" w:hAnsi="宋体" w:eastAsia="宋体"/>
                <w:sz w:val="16"/>
              </w:rPr>
              <w:t>文化传承宣传活动完成及时率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59CD7">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514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A79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65AA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7DA5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6E8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D92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5E9A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D3F39">
            <w:pPr>
              <w:jc w:val="center"/>
            </w:pPr>
          </w:p>
        </w:tc>
      </w:tr>
      <w:tr w14:paraId="3A4CE0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BD28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FC481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011E7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C69FF">
            <w:pPr>
              <w:jc w:val="center"/>
            </w:pPr>
            <w:r>
              <w:rPr>
                <w:rFonts w:ascii="宋体" w:hAnsi="宋体" w:eastAsia="宋体"/>
                <w:sz w:val="16"/>
              </w:rPr>
              <w:t>经典文化阅读空间打造成本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A1C38">
            <w:pPr>
              <w:jc w:val="center"/>
            </w:pPr>
            <w:r>
              <w:rPr>
                <w:rFonts w:ascii="宋体" w:hAnsi="宋体" w:eastAsia="宋体"/>
                <w:sz w:val="16"/>
              </w:rPr>
              <w:t>&lt;=2.76万元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B56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9C0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7820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108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342A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88EFD">
            <w:pPr>
              <w:jc w:val="center"/>
            </w:pPr>
            <w:r>
              <w:rPr>
                <w:rFonts w:ascii="宋体" w:hAnsi="宋体" w:eastAsia="宋体"/>
                <w:sz w:val="16"/>
              </w:rPr>
              <w:t>=2.76万元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B672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692AA">
            <w:pPr>
              <w:jc w:val="center"/>
            </w:pPr>
          </w:p>
        </w:tc>
      </w:tr>
      <w:tr w14:paraId="238049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FDA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8F4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2D0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46B8C">
            <w:pPr>
              <w:jc w:val="center"/>
            </w:pPr>
            <w:r>
              <w:rPr>
                <w:rFonts w:ascii="宋体" w:hAnsi="宋体" w:eastAsia="宋体"/>
                <w:sz w:val="16"/>
              </w:rPr>
              <w:t>传统文化展览成本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C8134">
            <w:pPr>
              <w:jc w:val="center"/>
            </w:pPr>
            <w:r>
              <w:rPr>
                <w:rFonts w:ascii="宋体" w:hAnsi="宋体" w:eastAsia="宋体"/>
                <w:sz w:val="16"/>
              </w:rPr>
              <w:t>&lt;=3.96万元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FFD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0EF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220C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24C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263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54A21">
            <w:pPr>
              <w:jc w:val="center"/>
            </w:pPr>
            <w:r>
              <w:rPr>
                <w:rFonts w:ascii="宋体" w:hAnsi="宋体" w:eastAsia="宋体"/>
                <w:sz w:val="16"/>
              </w:rPr>
              <w:t>=3.96万元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1107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85924">
            <w:pPr>
              <w:jc w:val="center"/>
            </w:pPr>
          </w:p>
        </w:tc>
      </w:tr>
      <w:tr w14:paraId="65CCF4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808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316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E82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FF16B">
            <w:pPr>
              <w:jc w:val="center"/>
            </w:pPr>
            <w:r>
              <w:rPr>
                <w:rFonts w:ascii="宋体" w:hAnsi="宋体" w:eastAsia="宋体"/>
                <w:sz w:val="16"/>
              </w:rPr>
              <w:t>研学及文创产品展示成本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79C66">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65F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6A2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ABAA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CB1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9F4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7188A">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119E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F2F43">
            <w:pPr>
              <w:jc w:val="center"/>
            </w:pPr>
          </w:p>
        </w:tc>
      </w:tr>
      <w:tr w14:paraId="5BBD5D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A6B8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F36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644F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761EB">
            <w:pPr>
              <w:jc w:val="center"/>
            </w:pPr>
            <w:r>
              <w:rPr>
                <w:rFonts w:ascii="宋体" w:hAnsi="宋体" w:eastAsia="宋体"/>
                <w:sz w:val="16"/>
              </w:rPr>
              <w:t>数字资源展示成本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C12FC">
            <w:pPr>
              <w:jc w:val="center"/>
            </w:pPr>
            <w:r>
              <w:rPr>
                <w:rFonts w:ascii="宋体" w:hAnsi="宋体" w:eastAsia="宋体"/>
                <w:sz w:val="16"/>
              </w:rPr>
              <w:t>&lt;=0.28万元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2AA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3E4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3546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04F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F00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817C4">
            <w:pPr>
              <w:jc w:val="center"/>
            </w:pPr>
            <w:r>
              <w:rPr>
                <w:rFonts w:ascii="宋体" w:hAnsi="宋体" w:eastAsia="宋体"/>
                <w:sz w:val="16"/>
              </w:rPr>
              <w:t>=0.28万元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25B7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5FB85">
            <w:pPr>
              <w:jc w:val="center"/>
            </w:pPr>
          </w:p>
        </w:tc>
      </w:tr>
      <w:tr w14:paraId="54C99A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3CC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A94D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6B08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67F30">
            <w:pPr>
              <w:jc w:val="center"/>
            </w:pPr>
            <w:r>
              <w:rPr>
                <w:rFonts w:ascii="宋体" w:hAnsi="宋体" w:eastAsia="宋体"/>
                <w:sz w:val="16"/>
              </w:rPr>
              <w:t>提高中华优秀传统文化影响力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7102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36B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251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33E0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2C5E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A46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DA1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C11B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981EF">
            <w:pPr>
              <w:jc w:val="center"/>
            </w:pPr>
          </w:p>
        </w:tc>
      </w:tr>
      <w:tr w14:paraId="1C1C5A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CC6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9602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C97D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ADD0A">
            <w:pPr>
              <w:jc w:val="center"/>
            </w:pPr>
            <w:r>
              <w:rPr>
                <w:rFonts w:ascii="宋体" w:hAnsi="宋体" w:eastAsia="宋体"/>
                <w:sz w:val="16"/>
              </w:rPr>
              <w:t>活动参与人员满意度(%)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EDB1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932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D73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903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07F8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C74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208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996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75EE6">
            <w:pPr>
              <w:jc w:val="center"/>
            </w:pPr>
            <w:r>
              <w:rPr>
                <w:rFonts w:ascii="宋体" w:hAnsi="宋体" w:eastAsia="宋体"/>
                <w:sz w:val="16"/>
              </w:rPr>
              <w:t>偏差原因：在设定满意度时预期过低，改进措施：以后事前进行市场调查，精准锁定满意度。</w:t>
            </w:r>
          </w:p>
        </w:tc>
      </w:tr>
      <w:tr w14:paraId="4885FF9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27F3D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8129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58359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5D2E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8BABDFB"/>
        </w:tc>
      </w:tr>
    </w:tbl>
    <w:p w14:paraId="25AF236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7131F58">
        <w:tblPrEx>
          <w:tblCellMar>
            <w:top w:w="0" w:type="dxa"/>
            <w:left w:w="108" w:type="dxa"/>
            <w:bottom w:w="0" w:type="dxa"/>
            <w:right w:w="108" w:type="dxa"/>
          </w:tblCellMar>
        </w:tblPrEx>
        <w:tc>
          <w:tcPr>
            <w:tcW w:w="8848" w:type="dxa"/>
            <w:gridSpan w:val="14"/>
            <w:vAlign w:val="center"/>
          </w:tcPr>
          <w:p w14:paraId="7EDB9FF6">
            <w:pPr>
              <w:jc w:val="center"/>
            </w:pPr>
            <w:r>
              <w:rPr>
                <w:rFonts w:ascii="宋体" w:hAnsi="宋体" w:eastAsia="宋体"/>
                <w:sz w:val="24"/>
              </w:rPr>
              <w:t>项目支出绩效自评表</w:t>
            </w:r>
          </w:p>
        </w:tc>
      </w:tr>
      <w:tr w14:paraId="4AC71712">
        <w:tblPrEx>
          <w:tblCellMar>
            <w:top w:w="0" w:type="dxa"/>
            <w:left w:w="108" w:type="dxa"/>
            <w:bottom w:w="0" w:type="dxa"/>
            <w:right w:w="108" w:type="dxa"/>
          </w:tblCellMar>
        </w:tblPrEx>
        <w:tc>
          <w:tcPr>
            <w:tcW w:w="8848" w:type="dxa"/>
            <w:gridSpan w:val="14"/>
            <w:vAlign w:val="center"/>
          </w:tcPr>
          <w:p w14:paraId="146ABC73">
            <w:pPr>
              <w:jc w:val="center"/>
            </w:pPr>
            <w:r>
              <w:rPr>
                <w:rFonts w:ascii="宋体" w:hAnsi="宋体" w:eastAsia="宋体"/>
                <w:sz w:val="24"/>
              </w:rPr>
              <w:t>(2024年度)</w:t>
            </w:r>
          </w:p>
        </w:tc>
      </w:tr>
      <w:tr w14:paraId="3AC5FA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6187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5693F25">
            <w:pPr>
              <w:jc w:val="center"/>
            </w:pPr>
            <w:r>
              <w:rPr>
                <w:rFonts w:ascii="宋体" w:hAnsi="宋体" w:eastAsia="宋体"/>
                <w:sz w:val="16"/>
              </w:rPr>
              <w:t>办公场所搬迁租赁项目</w:t>
            </w:r>
          </w:p>
        </w:tc>
      </w:tr>
      <w:tr w14:paraId="76D0F0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14F4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F1140A">
            <w:pPr>
              <w:jc w:val="center"/>
            </w:pPr>
            <w:r>
              <w:rPr>
                <w:rFonts w:ascii="宋体" w:hAnsi="宋体" w:eastAsia="宋体"/>
                <w:sz w:val="16"/>
              </w:rPr>
              <w:t>喀什地区图书馆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D3D5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B9E9A4">
            <w:pPr>
              <w:jc w:val="center"/>
            </w:pPr>
            <w:r>
              <w:rPr>
                <w:rFonts w:ascii="宋体" w:hAnsi="宋体" w:eastAsia="宋体"/>
                <w:sz w:val="16"/>
              </w:rPr>
              <w:t>喀什地区图书馆</w:t>
            </w:r>
          </w:p>
        </w:tc>
      </w:tr>
      <w:tr w14:paraId="70F295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20B94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4B84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1C46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50DB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DBD4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6948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54C5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FB4E9">
            <w:pPr>
              <w:jc w:val="center"/>
            </w:pPr>
            <w:r>
              <w:rPr>
                <w:rFonts w:ascii="宋体" w:hAnsi="宋体" w:eastAsia="宋体"/>
                <w:sz w:val="16"/>
              </w:rPr>
              <w:t>得分</w:t>
            </w:r>
          </w:p>
        </w:tc>
      </w:tr>
      <w:tr w14:paraId="4BAE27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659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AA6C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62B92">
            <w:pPr>
              <w:jc w:val="center"/>
            </w:pPr>
            <w:r>
              <w:rPr>
                <w:rFonts w:ascii="宋体" w:hAnsi="宋体" w:eastAsia="宋体"/>
                <w:sz w:val="16"/>
              </w:rPr>
              <w:t>3.08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ED951">
            <w:pPr>
              <w:jc w:val="center"/>
            </w:pPr>
            <w:r>
              <w:rPr>
                <w:rFonts w:ascii="宋体" w:hAnsi="宋体" w:eastAsia="宋体"/>
                <w:sz w:val="16"/>
              </w:rPr>
              <w:t>3.08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DFF0D">
            <w:pPr>
              <w:jc w:val="center"/>
            </w:pPr>
            <w:r>
              <w:rPr>
                <w:rFonts w:ascii="宋体" w:hAnsi="宋体" w:eastAsia="宋体"/>
                <w:sz w:val="16"/>
              </w:rPr>
              <w:t>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191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AC9F1">
            <w:pPr>
              <w:jc w:val="center"/>
            </w:pPr>
            <w:r>
              <w:rPr>
                <w:rFonts w:ascii="宋体" w:hAnsi="宋体" w:eastAsia="宋体"/>
                <w:sz w:val="16"/>
              </w:rPr>
              <w:t>88.3%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B7757">
            <w:pPr>
              <w:jc w:val="center"/>
            </w:pPr>
            <w:r>
              <w:rPr>
                <w:rFonts w:ascii="宋体" w:hAnsi="宋体" w:eastAsia="宋体"/>
                <w:sz w:val="16"/>
              </w:rPr>
              <w:t>7.08分</w:t>
            </w:r>
          </w:p>
        </w:tc>
      </w:tr>
      <w:tr w14:paraId="75F894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DE38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A184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6C30C">
            <w:pPr>
              <w:jc w:val="center"/>
            </w:pPr>
            <w:r>
              <w:rPr>
                <w:rFonts w:ascii="宋体" w:hAnsi="宋体" w:eastAsia="宋体"/>
                <w:sz w:val="16"/>
              </w:rPr>
              <w:t>3.08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64C4B">
            <w:pPr>
              <w:jc w:val="center"/>
            </w:pPr>
            <w:r>
              <w:rPr>
                <w:rFonts w:ascii="宋体" w:hAnsi="宋体" w:eastAsia="宋体"/>
                <w:sz w:val="16"/>
              </w:rPr>
              <w:t>3.08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EFD17">
            <w:pPr>
              <w:jc w:val="center"/>
            </w:pPr>
            <w:r>
              <w:rPr>
                <w:rFonts w:ascii="宋体" w:hAnsi="宋体" w:eastAsia="宋体"/>
                <w:sz w:val="16"/>
              </w:rPr>
              <w:t>2.72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9705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17E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2CBDA">
            <w:pPr>
              <w:jc w:val="center"/>
            </w:pPr>
            <w:r>
              <w:rPr>
                <w:rFonts w:ascii="宋体" w:hAnsi="宋体" w:eastAsia="宋体"/>
                <w:sz w:val="16"/>
              </w:rPr>
              <w:t>—</w:t>
            </w:r>
          </w:p>
        </w:tc>
      </w:tr>
      <w:tr w14:paraId="343CB4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D76C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D582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742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C05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C6F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F350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662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12008">
            <w:pPr>
              <w:jc w:val="center"/>
            </w:pPr>
            <w:r>
              <w:rPr>
                <w:rFonts w:ascii="宋体" w:hAnsi="宋体" w:eastAsia="宋体"/>
                <w:sz w:val="16"/>
              </w:rPr>
              <w:t>—</w:t>
            </w:r>
          </w:p>
        </w:tc>
      </w:tr>
      <w:tr w14:paraId="303F59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E5F82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3B59A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BF548B">
            <w:pPr>
              <w:jc w:val="center"/>
            </w:pPr>
            <w:r>
              <w:rPr>
                <w:rFonts w:ascii="宋体" w:hAnsi="宋体" w:eastAsia="宋体"/>
                <w:sz w:val="16"/>
              </w:rPr>
              <w:t>实际完成情况</w:t>
            </w:r>
          </w:p>
        </w:tc>
      </w:tr>
      <w:tr w14:paraId="30A485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C893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0BEEEB">
            <w:pPr>
              <w:jc w:val="both"/>
            </w:pPr>
            <w:r>
              <w:rPr>
                <w:rFonts w:ascii="宋体" w:hAnsi="宋体" w:eastAsia="宋体"/>
                <w:sz w:val="16"/>
              </w:rPr>
              <w:t>本项目主要用于为读者服务，搬到临时场馆后可以更好地为读者服务，提供借阅场所，搬迁临时场馆1个，搬迁临时场馆面积670平方米。搬迁成本2万元，房租1.08万元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ECF00A">
            <w:pPr>
              <w:jc w:val="both"/>
            </w:pPr>
            <w:r>
              <w:rPr>
                <w:rFonts w:ascii="宋体" w:hAnsi="宋体" w:eastAsia="宋体"/>
                <w:sz w:val="16"/>
              </w:rPr>
              <w:t>截至2024年12月31日，办公场所搬迁租赁项目已实施完毕，已在科技广场租赁临时场馆，场馆面积为670平方米，其中搬迁成本为2万元，房租为1.08万元，该项目的实施为本单位提供了临时办公场所，方便业务工作的开展。</w:t>
            </w:r>
          </w:p>
        </w:tc>
      </w:tr>
      <w:tr w14:paraId="6D9E33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1ED2B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D564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FB0F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2670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9705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00E6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1300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D399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297E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640F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5959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7BB4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DAE7C">
            <w:pPr>
              <w:jc w:val="center"/>
            </w:pPr>
            <w:r>
              <w:rPr>
                <w:rFonts w:ascii="宋体" w:hAnsi="宋体" w:eastAsia="宋体"/>
                <w:sz w:val="16"/>
              </w:rPr>
              <w:t>偏差原因分析及改进措施</w:t>
            </w:r>
          </w:p>
        </w:tc>
      </w:tr>
      <w:tr w14:paraId="23FB19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A74C0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21284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7D07C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23396">
            <w:pPr>
              <w:jc w:val="center"/>
            </w:pPr>
            <w:r>
              <w:rPr>
                <w:rFonts w:ascii="宋体" w:hAnsi="宋体" w:eastAsia="宋体"/>
                <w:sz w:val="16"/>
              </w:rPr>
              <w:t>搬迁次数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726B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191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A7F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9B8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C9B2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6F9F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0D2F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DE9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AE0B7">
            <w:pPr>
              <w:jc w:val="center"/>
            </w:pPr>
          </w:p>
        </w:tc>
      </w:tr>
      <w:tr w14:paraId="764BD9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0A5B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1D4E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C39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9D93F">
            <w:pPr>
              <w:jc w:val="center"/>
            </w:pPr>
            <w:r>
              <w:rPr>
                <w:rFonts w:ascii="宋体" w:hAnsi="宋体" w:eastAsia="宋体"/>
                <w:sz w:val="16"/>
              </w:rPr>
              <w:t>房屋租赁面积（平方米）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63CD0">
            <w:pPr>
              <w:jc w:val="center"/>
            </w:pPr>
            <w:r>
              <w:rPr>
                <w:rFonts w:ascii="宋体" w:hAnsi="宋体" w:eastAsia="宋体"/>
                <w:sz w:val="16"/>
              </w:rPr>
              <w:t>&gt;=670平方米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563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C51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968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B24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053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7D03A">
            <w:pPr>
              <w:jc w:val="center"/>
            </w:pPr>
            <w:r>
              <w:rPr>
                <w:rFonts w:ascii="宋体" w:hAnsi="宋体" w:eastAsia="宋体"/>
                <w:sz w:val="16"/>
              </w:rPr>
              <w:t>=670平方米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FDA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4AFB3">
            <w:pPr>
              <w:jc w:val="center"/>
            </w:pPr>
          </w:p>
        </w:tc>
      </w:tr>
      <w:tr w14:paraId="48DC9D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BDB5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400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280A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82617">
            <w:pPr>
              <w:jc w:val="center"/>
            </w:pPr>
            <w:r>
              <w:rPr>
                <w:rFonts w:ascii="宋体" w:hAnsi="宋体" w:eastAsia="宋体"/>
                <w:sz w:val="16"/>
              </w:rPr>
              <w:t>搬迁验收合格率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5E6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CC9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A5B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17E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22EF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F572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826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997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0B7F6">
            <w:pPr>
              <w:jc w:val="center"/>
            </w:pPr>
          </w:p>
        </w:tc>
      </w:tr>
      <w:tr w14:paraId="7E2574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421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4BA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259F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19C64">
            <w:pPr>
              <w:jc w:val="center"/>
            </w:pPr>
            <w:r>
              <w:rPr>
                <w:rFonts w:ascii="宋体" w:hAnsi="宋体" w:eastAsia="宋体"/>
                <w:sz w:val="16"/>
              </w:rPr>
              <w:t>项目完成时限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77B6B">
            <w:pPr>
              <w:jc w:val="center"/>
            </w:pPr>
            <w:r>
              <w:rPr>
                <w:rFonts w:ascii="宋体" w:hAnsi="宋体" w:eastAsia="宋体"/>
                <w:sz w:val="16"/>
              </w:rPr>
              <w:t>&lt;=2个月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E85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415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89A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325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902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EFCAF">
            <w:pPr>
              <w:jc w:val="center"/>
            </w:pPr>
            <w:r>
              <w:rPr>
                <w:rFonts w:ascii="宋体" w:hAnsi="宋体" w:eastAsia="宋体"/>
                <w:sz w:val="16"/>
              </w:rPr>
              <w:t>=1个月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871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D277F">
            <w:pPr>
              <w:jc w:val="center"/>
            </w:pPr>
          </w:p>
        </w:tc>
      </w:tr>
      <w:tr w14:paraId="58473C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972C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1B5A5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BD6AC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104BD">
            <w:pPr>
              <w:jc w:val="center"/>
            </w:pPr>
            <w:r>
              <w:rPr>
                <w:rFonts w:ascii="宋体" w:hAnsi="宋体" w:eastAsia="宋体"/>
                <w:sz w:val="16"/>
              </w:rPr>
              <w:t>租赁房屋成本（万元）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F8BFD">
            <w:pPr>
              <w:jc w:val="center"/>
            </w:pPr>
            <w:r>
              <w:rPr>
                <w:rFonts w:ascii="宋体" w:hAnsi="宋体" w:eastAsia="宋体"/>
                <w:sz w:val="16"/>
              </w:rPr>
              <w:t>&lt;=1.08万元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9DE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EA7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28D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F98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6204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92570">
            <w:pPr>
              <w:jc w:val="center"/>
            </w:pPr>
            <w:r>
              <w:rPr>
                <w:rFonts w:ascii="宋体" w:hAnsi="宋体" w:eastAsia="宋体"/>
                <w:sz w:val="16"/>
              </w:rPr>
              <w:t>=0.72万元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FB251">
            <w:pPr>
              <w:jc w:val="center"/>
            </w:pPr>
            <w:r>
              <w:rPr>
                <w:rFonts w:ascii="宋体" w:hAnsi="宋体" w:eastAsia="宋体"/>
                <w:sz w:val="16"/>
              </w:rPr>
              <w:t>1.67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29979">
            <w:pPr>
              <w:jc w:val="center"/>
            </w:pPr>
            <w:r>
              <w:rPr>
                <w:rFonts w:ascii="宋体" w:hAnsi="宋体" w:eastAsia="宋体"/>
                <w:sz w:val="16"/>
              </w:rPr>
              <w:t>偏差原因：资金申请时间与资金下达时间存在偏差，以实际发生为准；改进措施:合理做好资金预算，避免资金浪费。</w:t>
            </w:r>
          </w:p>
        </w:tc>
      </w:tr>
      <w:tr w14:paraId="68F1E6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C00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ECB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7B18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01D97">
            <w:pPr>
              <w:jc w:val="center"/>
            </w:pPr>
            <w:r>
              <w:rPr>
                <w:rFonts w:ascii="宋体" w:hAnsi="宋体" w:eastAsia="宋体"/>
                <w:sz w:val="16"/>
              </w:rPr>
              <w:t>场馆搬迁成本（万元）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4F9FC">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CD6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CA9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7BD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24C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F3D9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8F8A2">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B82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03972">
            <w:pPr>
              <w:jc w:val="center"/>
            </w:pPr>
          </w:p>
        </w:tc>
      </w:tr>
      <w:tr w14:paraId="6F1EAB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D40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61A2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6031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83222">
            <w:pPr>
              <w:jc w:val="center"/>
            </w:pPr>
            <w:r>
              <w:rPr>
                <w:rFonts w:ascii="宋体" w:hAnsi="宋体" w:eastAsia="宋体"/>
                <w:sz w:val="16"/>
              </w:rPr>
              <w:t>临时场馆使用率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37B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248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A2F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81EA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5816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2D1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EAE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D99A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A6290">
            <w:pPr>
              <w:jc w:val="center"/>
            </w:pPr>
          </w:p>
        </w:tc>
      </w:tr>
      <w:tr w14:paraId="3B3FF3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AF2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73BA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FD50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495D5">
            <w:pPr>
              <w:jc w:val="center"/>
            </w:pPr>
            <w:r>
              <w:rPr>
                <w:rFonts w:ascii="宋体" w:hAnsi="宋体" w:eastAsia="宋体"/>
                <w:sz w:val="16"/>
              </w:rPr>
              <w:t>读者满意度(%)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EBCB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8EA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313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995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4F61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CCA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AE7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6B9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4C56F">
            <w:pPr>
              <w:jc w:val="center"/>
            </w:pPr>
            <w:r>
              <w:rPr>
                <w:rFonts w:ascii="宋体" w:hAnsi="宋体" w:eastAsia="宋体"/>
                <w:sz w:val="16"/>
              </w:rPr>
              <w:t>偏差原因：设置满意度指标时预期过低，改进措施：提前做满意度调查，精准预测指标</w:t>
            </w:r>
          </w:p>
        </w:tc>
      </w:tr>
      <w:tr w14:paraId="0C2C45A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184D3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8382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B2166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FB2FA">
            <w:pPr>
              <w:jc w:val="center"/>
            </w:pPr>
            <w:r>
              <w:rPr>
                <w:rFonts w:ascii="宋体" w:hAnsi="宋体" w:eastAsia="宋体"/>
                <w:sz w:val="16"/>
              </w:rPr>
              <w:t>88.75分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57626C0"/>
        </w:tc>
      </w:tr>
    </w:tbl>
    <w:p w14:paraId="54DD4498">
      <w:r>
        <w:br w:type="page"/>
      </w:r>
    </w:p>
    <w:p w14:paraId="56389A6C">
      <w:pPr>
        <w:spacing w:line="640" w:lineRule="exact"/>
        <w:ind w:firstLine="640"/>
        <w:jc w:val="both"/>
        <w:outlineLvl w:val="2"/>
      </w:pPr>
      <w:r>
        <w:rPr>
          <w:rFonts w:ascii="黑体" w:hAnsi="黑体" w:eastAsia="黑体"/>
          <w:sz w:val="32"/>
        </w:rPr>
        <w:t>十二、其他需说明的事项</w:t>
      </w:r>
    </w:p>
    <w:p w14:paraId="2B482921">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项目1个，全年预算数10.00万元，全年执行数10.00万元。</w:t>
      </w:r>
      <w:bookmarkStart w:id="0" w:name="_GoBack"/>
      <w:bookmarkEnd w:id="0"/>
    </w:p>
    <w:p w14:paraId="4352C0A7">
      <w:r>
        <w:br w:type="page"/>
      </w:r>
    </w:p>
    <w:p w14:paraId="78EB255C">
      <w:pPr>
        <w:spacing w:line="240" w:lineRule="auto"/>
        <w:jc w:val="center"/>
        <w:outlineLvl w:val="1"/>
      </w:pPr>
      <w:r>
        <w:rPr>
          <w:rFonts w:ascii="黑体" w:hAnsi="黑体" w:eastAsia="黑体"/>
          <w:sz w:val="32"/>
        </w:rPr>
        <w:t>第三部分 专业名词解释</w:t>
      </w:r>
    </w:p>
    <w:p w14:paraId="5997AD2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0C8690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67D5CF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6DF453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74765E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01B96B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71DF99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55306C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ED535B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AA905F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392307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45D7D6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8B2CEB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A4B1FE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07D5164">
      <w:r>
        <w:br w:type="page"/>
      </w:r>
    </w:p>
    <w:p w14:paraId="16AF4913">
      <w:pPr>
        <w:spacing w:line="240" w:lineRule="auto"/>
        <w:jc w:val="center"/>
        <w:outlineLvl w:val="1"/>
      </w:pPr>
      <w:r>
        <w:rPr>
          <w:rFonts w:ascii="黑体" w:hAnsi="黑体" w:eastAsia="黑体"/>
          <w:sz w:val="32"/>
        </w:rPr>
        <w:t>第四部分 部门决算报表（见附表）</w:t>
      </w:r>
    </w:p>
    <w:p w14:paraId="341344E2">
      <w:pPr>
        <w:spacing w:line="240" w:lineRule="auto"/>
        <w:ind w:firstLine="640"/>
        <w:jc w:val="both"/>
      </w:pPr>
      <w:r>
        <w:rPr>
          <w:rFonts w:ascii="仿宋_GB2312" w:hAnsi="仿宋_GB2312" w:eastAsia="仿宋_GB2312"/>
          <w:b w:val="0"/>
          <w:sz w:val="32"/>
        </w:rPr>
        <w:t>一、《收入支出决算总表》</w:t>
      </w:r>
    </w:p>
    <w:p w14:paraId="7CC2C78B">
      <w:pPr>
        <w:spacing w:line="240" w:lineRule="auto"/>
        <w:ind w:firstLine="640"/>
        <w:jc w:val="both"/>
      </w:pPr>
      <w:r>
        <w:rPr>
          <w:rFonts w:ascii="仿宋_GB2312" w:hAnsi="仿宋_GB2312" w:eastAsia="仿宋_GB2312"/>
          <w:b w:val="0"/>
          <w:sz w:val="32"/>
        </w:rPr>
        <w:t>二、《收入决算表》</w:t>
      </w:r>
    </w:p>
    <w:p w14:paraId="1DDCEFFB">
      <w:pPr>
        <w:spacing w:line="240" w:lineRule="auto"/>
        <w:ind w:firstLine="640"/>
        <w:jc w:val="both"/>
      </w:pPr>
      <w:r>
        <w:rPr>
          <w:rFonts w:ascii="仿宋_GB2312" w:hAnsi="仿宋_GB2312" w:eastAsia="仿宋_GB2312"/>
          <w:b w:val="0"/>
          <w:sz w:val="32"/>
        </w:rPr>
        <w:t>三、《支出决算表》</w:t>
      </w:r>
    </w:p>
    <w:p w14:paraId="6A2073C9">
      <w:pPr>
        <w:spacing w:line="240" w:lineRule="auto"/>
        <w:ind w:firstLine="640"/>
        <w:jc w:val="both"/>
      </w:pPr>
      <w:r>
        <w:rPr>
          <w:rFonts w:ascii="仿宋_GB2312" w:hAnsi="仿宋_GB2312" w:eastAsia="仿宋_GB2312"/>
          <w:b w:val="0"/>
          <w:sz w:val="32"/>
        </w:rPr>
        <w:t>四、《财政拨款收入支出决算总表》</w:t>
      </w:r>
    </w:p>
    <w:p w14:paraId="6B4EDE86">
      <w:pPr>
        <w:spacing w:line="240" w:lineRule="auto"/>
        <w:ind w:firstLine="640"/>
        <w:jc w:val="both"/>
      </w:pPr>
      <w:r>
        <w:rPr>
          <w:rFonts w:ascii="仿宋_GB2312" w:hAnsi="仿宋_GB2312" w:eastAsia="仿宋_GB2312"/>
          <w:b w:val="0"/>
          <w:sz w:val="32"/>
        </w:rPr>
        <w:t>五、《一般公共预算财政拨款支出决算表》</w:t>
      </w:r>
    </w:p>
    <w:p w14:paraId="4579B6FB">
      <w:pPr>
        <w:spacing w:line="240" w:lineRule="auto"/>
        <w:ind w:firstLine="640"/>
        <w:jc w:val="both"/>
      </w:pPr>
      <w:r>
        <w:rPr>
          <w:rFonts w:ascii="仿宋_GB2312" w:hAnsi="仿宋_GB2312" w:eastAsia="仿宋_GB2312"/>
          <w:b w:val="0"/>
          <w:sz w:val="32"/>
        </w:rPr>
        <w:t>六、《一般公共预算财政拨款基本支出决算表》</w:t>
      </w:r>
    </w:p>
    <w:p w14:paraId="11D657B3">
      <w:pPr>
        <w:spacing w:line="240" w:lineRule="auto"/>
        <w:ind w:firstLine="640"/>
        <w:jc w:val="both"/>
      </w:pPr>
      <w:r>
        <w:rPr>
          <w:rFonts w:ascii="仿宋_GB2312" w:hAnsi="仿宋_GB2312" w:eastAsia="仿宋_GB2312"/>
          <w:b w:val="0"/>
          <w:sz w:val="32"/>
        </w:rPr>
        <w:t>七、《政府性基金预算财政拨款收入支出决算表》</w:t>
      </w:r>
    </w:p>
    <w:p w14:paraId="3258BE8D">
      <w:pPr>
        <w:spacing w:line="240" w:lineRule="auto"/>
        <w:ind w:firstLine="640"/>
        <w:jc w:val="both"/>
      </w:pPr>
      <w:r>
        <w:rPr>
          <w:rFonts w:ascii="仿宋_GB2312" w:hAnsi="仿宋_GB2312" w:eastAsia="仿宋_GB2312"/>
          <w:b w:val="0"/>
          <w:sz w:val="32"/>
        </w:rPr>
        <w:t>八、《国有资本经营预算财政拨款收入支出决算表》</w:t>
      </w:r>
    </w:p>
    <w:p w14:paraId="415352BC">
      <w:pPr>
        <w:spacing w:line="240" w:lineRule="auto"/>
        <w:ind w:firstLine="640"/>
        <w:jc w:val="both"/>
      </w:pPr>
      <w:r>
        <w:rPr>
          <w:rFonts w:ascii="仿宋_GB2312" w:hAnsi="仿宋_GB2312" w:eastAsia="仿宋_GB2312"/>
          <w:b w:val="0"/>
          <w:sz w:val="32"/>
        </w:rPr>
        <w:t>九、《财政拨款“三公”经费支出决算表》</w:t>
      </w:r>
    </w:p>
    <w:p w14:paraId="32BC8C93">
      <w:pPr>
        <w:spacing w:line="240" w:lineRule="auto"/>
        <w:ind w:firstLine="640"/>
        <w:jc w:val="both"/>
      </w:pPr>
    </w:p>
    <w:p w14:paraId="47EB3C4A">
      <w:pPr>
        <w:spacing w:line="240" w:lineRule="auto"/>
        <w:ind w:firstLine="640"/>
        <w:jc w:val="both"/>
      </w:pPr>
    </w:p>
    <w:p w14:paraId="421E310D">
      <w:pPr>
        <w:spacing w:line="240" w:lineRule="auto"/>
        <w:ind w:firstLine="640"/>
        <w:jc w:val="both"/>
      </w:pPr>
    </w:p>
    <w:p w14:paraId="4A102B1A">
      <w:pPr>
        <w:spacing w:line="240" w:lineRule="auto"/>
        <w:ind w:firstLine="640"/>
        <w:jc w:val="both"/>
      </w:pPr>
    </w:p>
    <w:p w14:paraId="1AB78FB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697FB53-D035-4FA1-9746-71B090F1EBD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8A299692-F45F-485A-AB64-871C295F3487}"/>
  </w:font>
  <w:font w:name="方正小标宋_GBK">
    <w:panose1 w:val="02000000000000000000"/>
    <w:charset w:val="86"/>
    <w:family w:val="script"/>
    <w:pitch w:val="default"/>
    <w:sig w:usb0="A00002BF" w:usb1="38CF7CFA" w:usb2="00082016" w:usb3="00000000" w:csb0="00040001" w:csb1="00000000"/>
    <w:embedRegular r:id="rId3" w:fontKey="{9A8A2566-8F66-4DB8-AE25-A4E8781BE921}"/>
  </w:font>
  <w:font w:name="楷体_GB2312">
    <w:panose1 w:val="02010609030101010101"/>
    <w:charset w:val="86"/>
    <w:family w:val="auto"/>
    <w:pitch w:val="default"/>
    <w:sig w:usb0="00000001" w:usb1="080E0000" w:usb2="00000000" w:usb3="00000000" w:csb0="00040000" w:csb1="00000000"/>
    <w:embedRegular r:id="rId4" w:fontKey="{E2B6272C-3D63-43DD-8001-62A21CDD61BB}"/>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C3826FE"/>
    <w:rsid w:val="2D1136DF"/>
    <w:rsid w:val="2DAE0E44"/>
    <w:rsid w:val="2FD27414"/>
    <w:rsid w:val="313F1D52"/>
    <w:rsid w:val="318029AB"/>
    <w:rsid w:val="31C63837"/>
    <w:rsid w:val="326F0A17"/>
    <w:rsid w:val="3277581B"/>
    <w:rsid w:val="366247E9"/>
    <w:rsid w:val="38006E2C"/>
    <w:rsid w:val="3914510A"/>
    <w:rsid w:val="3B1220C9"/>
    <w:rsid w:val="3D5275AC"/>
    <w:rsid w:val="3EA7725F"/>
    <w:rsid w:val="3EC014A1"/>
    <w:rsid w:val="40834692"/>
    <w:rsid w:val="41007425"/>
    <w:rsid w:val="423A32B2"/>
    <w:rsid w:val="423C0CB4"/>
    <w:rsid w:val="427B5743"/>
    <w:rsid w:val="42E64542"/>
    <w:rsid w:val="464B7E04"/>
    <w:rsid w:val="464F7E64"/>
    <w:rsid w:val="46901EEE"/>
    <w:rsid w:val="469C74D2"/>
    <w:rsid w:val="47445515"/>
    <w:rsid w:val="4ADF69EB"/>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5645</Words>
  <Characters>6470</Characters>
  <Lines>0</Lines>
  <Paragraphs>0</Paragraphs>
  <TotalTime>9</TotalTime>
  <ScaleCrop>false</ScaleCrop>
  <LinksUpToDate>false</LinksUpToDate>
  <CharactersWithSpaces>6480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2025-09-28T11:52:30Z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