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喀什地区文物局2024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B377B24">
      <w:r>
        <w:br w:type="page"/>
      </w:r>
    </w:p>
    <w:p w14:paraId="717F71C1">
      <w:pPr>
        <w:spacing w:line="640" w:lineRule="exact"/>
        <w:jc w:val="center"/>
        <w:outlineLvl w:val="1"/>
      </w:pPr>
      <w:r>
        <w:rPr>
          <w:rFonts w:ascii="黑体" w:hAnsi="黑体" w:eastAsia="黑体"/>
          <w:sz w:val="32"/>
        </w:rPr>
        <w:t>第一部分 部门概况</w:t>
      </w:r>
    </w:p>
    <w:p w14:paraId="4719B318">
      <w:pPr>
        <w:spacing w:line="640" w:lineRule="exact"/>
        <w:ind w:firstLine="640"/>
        <w:jc w:val="both"/>
        <w:outlineLvl w:val="2"/>
      </w:pPr>
      <w:r>
        <w:rPr>
          <w:rFonts w:ascii="黑体" w:hAnsi="黑体" w:eastAsia="黑体"/>
          <w:sz w:val="32"/>
        </w:rPr>
        <w:t>一、主要职能</w:t>
      </w:r>
    </w:p>
    <w:p w14:paraId="207A2A5B">
      <w:pPr>
        <w:spacing w:line="580" w:lineRule="exact"/>
        <w:ind w:firstLine="640"/>
        <w:jc w:val="both"/>
        <w:rPr>
          <w:rFonts w:hint="eastAsia" w:ascii="仿宋_GB2312" w:hAnsi="仿宋_GB2312" w:eastAsia="仿宋_GB2312"/>
          <w:sz w:val="32"/>
        </w:rPr>
      </w:pPr>
      <w:r>
        <w:rPr>
          <w:rFonts w:hint="eastAsia" w:ascii="仿宋_GB2312" w:hAnsi="仿宋_GB2312" w:eastAsia="仿宋_GB2312"/>
          <w:sz w:val="32"/>
        </w:rPr>
        <w:t>（一）贯彻执行文物、博物馆事业发展方面的法法规和方针政策：起草有关地方性法规和规章草案，拟订全地区文物、博物馆事业发展规划，并组织实施。</w:t>
      </w:r>
    </w:p>
    <w:p w14:paraId="67E0C619">
      <w:pPr>
        <w:spacing w:line="580" w:lineRule="exact"/>
        <w:ind w:firstLine="640"/>
        <w:jc w:val="both"/>
        <w:rPr>
          <w:rFonts w:hint="eastAsia" w:ascii="仿宋_GB2312" w:hAnsi="仿宋_GB2312" w:eastAsia="仿宋_GB2312"/>
          <w:sz w:val="32"/>
        </w:rPr>
      </w:pPr>
      <w:r>
        <w:rPr>
          <w:rFonts w:hint="eastAsia" w:ascii="仿宋_GB2312" w:hAnsi="仿宋_GB2312" w:eastAsia="仿宋_GB2312"/>
          <w:sz w:val="32"/>
        </w:rPr>
        <w:t>（二）协调指导全地区文物保护利用工作，组织开展文物资源调查和文物保护宣传工作。</w:t>
      </w:r>
    </w:p>
    <w:p w14:paraId="6DFC93BA">
      <w:pPr>
        <w:spacing w:line="580" w:lineRule="exact"/>
        <w:ind w:firstLine="640"/>
        <w:jc w:val="both"/>
        <w:rPr>
          <w:rFonts w:hint="eastAsia" w:ascii="仿宋_GB2312" w:hAnsi="仿宋_GB2312" w:eastAsia="仿宋_GB2312"/>
          <w:sz w:val="32"/>
        </w:rPr>
      </w:pPr>
      <w:r>
        <w:rPr>
          <w:rFonts w:hint="eastAsia" w:ascii="仿宋_GB2312" w:hAnsi="仿宋_GB2312" w:eastAsia="仿宋_GB2312"/>
          <w:sz w:val="32"/>
        </w:rPr>
        <w:t>（三）指导全地区不可移动文物保护和考古工作。组织、协调重大不可移动文物保护项目、考古项目的实施。负责自治区级以上文物保护单位的审核、申报工作。负责世界文化遗产申报和保护管理的有关工作。</w:t>
      </w:r>
    </w:p>
    <w:p w14:paraId="614BAD47">
      <w:pPr>
        <w:spacing w:line="580" w:lineRule="exact"/>
        <w:ind w:firstLine="640"/>
        <w:jc w:val="both"/>
        <w:rPr>
          <w:rFonts w:hint="eastAsia" w:ascii="仿宋_GB2312" w:hAnsi="仿宋_GB2312" w:eastAsia="仿宋_GB2312"/>
          <w:sz w:val="32"/>
        </w:rPr>
      </w:pPr>
      <w:r>
        <w:rPr>
          <w:rFonts w:hint="eastAsia" w:ascii="仿宋_GB2312" w:hAnsi="仿宋_GB2312" w:eastAsia="仿宋_GB2312"/>
          <w:sz w:val="32"/>
        </w:rPr>
        <w:t>（四）负责推动完善文物和博物馆公共服务体系建设，指导全地区博物馆及馆藏文物工作，协调博物馆间的交流与协作。指导民间收藏文物的管理服务。负责文物进出境的审核、报批工作。</w:t>
      </w:r>
    </w:p>
    <w:p w14:paraId="69C8975F">
      <w:pPr>
        <w:spacing w:line="580" w:lineRule="exact"/>
        <w:ind w:firstLine="640"/>
        <w:jc w:val="both"/>
        <w:rPr>
          <w:rFonts w:hint="eastAsia" w:ascii="仿宋_GB2312" w:hAnsi="仿宋_GB2312" w:eastAsia="仿宋_GB2312"/>
          <w:sz w:val="32"/>
        </w:rPr>
      </w:pPr>
      <w:r>
        <w:rPr>
          <w:rFonts w:hint="eastAsia" w:ascii="仿宋_GB2312" w:hAnsi="仿宋_GB2312" w:eastAsia="仿宋_GB2312"/>
          <w:sz w:val="32"/>
        </w:rPr>
        <w:t>（五）指导革命文物保护管理利用工作，组织开展革命文物研究、展示和传播。</w:t>
      </w:r>
    </w:p>
    <w:p w14:paraId="7FB55146">
      <w:pPr>
        <w:spacing w:line="580" w:lineRule="exact"/>
        <w:ind w:firstLine="640"/>
        <w:jc w:val="both"/>
        <w:rPr>
          <w:rFonts w:hint="eastAsia" w:ascii="仿宋_GB2312" w:hAnsi="仿宋_GB2312" w:eastAsia="仿宋_GB2312"/>
          <w:sz w:val="32"/>
        </w:rPr>
      </w:pPr>
      <w:r>
        <w:rPr>
          <w:rFonts w:hint="eastAsia" w:ascii="仿宋_GB2312" w:hAnsi="仿宋_GB2312" w:eastAsia="仿宋_GB2312"/>
          <w:sz w:val="32"/>
        </w:rPr>
        <w:t>（六）履行文物行政执法督查职责，指导文物和博物馆安全监督管理工作。依法组织查处和督办文物违法重大案件。协同有关部门查处重大文物犯罪案件和安全事故。</w:t>
      </w:r>
    </w:p>
    <w:p w14:paraId="07CD6775">
      <w:pPr>
        <w:spacing w:line="580" w:lineRule="exact"/>
        <w:ind w:firstLine="640"/>
        <w:jc w:val="both"/>
        <w:rPr>
          <w:rFonts w:hint="eastAsia" w:ascii="仿宋_GB2312" w:hAnsi="仿宋_GB2312" w:eastAsia="仿宋_GB2312"/>
          <w:sz w:val="32"/>
        </w:rPr>
      </w:pPr>
      <w:r>
        <w:rPr>
          <w:rFonts w:hint="eastAsia" w:ascii="仿宋_GB2312" w:hAnsi="仿宋_GB2312" w:eastAsia="仿宋_GB2312"/>
          <w:sz w:val="32"/>
        </w:rPr>
        <w:t>（七）负责组织指导文物科研创新工作。推动文物保护科技成果转化和应用。负责文物信息化、标准化工作。负责文物人才队伍建设工作。</w:t>
      </w:r>
    </w:p>
    <w:p w14:paraId="4E8F9883">
      <w:pPr>
        <w:spacing w:line="580" w:lineRule="exact"/>
        <w:ind w:firstLine="640"/>
        <w:jc w:val="both"/>
        <w:rPr>
          <w:rFonts w:hint="eastAsia" w:ascii="仿宋_GB2312" w:hAnsi="仿宋_GB2312" w:eastAsia="仿宋_GB2312"/>
          <w:sz w:val="32"/>
        </w:rPr>
      </w:pPr>
      <w:r>
        <w:rPr>
          <w:rFonts w:hint="eastAsia" w:ascii="仿宋_GB2312" w:hAnsi="仿宋_GB2312" w:eastAsia="仿宋_GB2312"/>
          <w:sz w:val="32"/>
        </w:rPr>
        <w:t>（八）配合自治区文物局做好文物对外和对港澳台交流台作以及传播、展示工作。配合做好流失文物追索返还的有关工作。</w:t>
      </w:r>
    </w:p>
    <w:p w14:paraId="62E82A46">
      <w:pPr>
        <w:spacing w:line="580" w:lineRule="exact"/>
        <w:ind w:firstLine="640"/>
        <w:jc w:val="both"/>
        <w:rPr>
          <w:rFonts w:hint="eastAsia" w:ascii="仿宋_GB2312" w:hAnsi="仿宋_GB2312" w:eastAsia="仿宋_GB2312"/>
          <w:sz w:val="32"/>
        </w:rPr>
      </w:pPr>
      <w:r>
        <w:rPr>
          <w:rFonts w:hint="eastAsia" w:ascii="仿宋_GB2312" w:hAnsi="仿宋_GB2312" w:eastAsia="仿宋_GB2312"/>
          <w:sz w:val="32"/>
        </w:rPr>
        <w:t>（九）负责文物和博物馆有关审核和申报工作。</w:t>
      </w:r>
    </w:p>
    <w:p w14:paraId="2C37445F">
      <w:pPr>
        <w:spacing w:line="580" w:lineRule="exact"/>
        <w:ind w:firstLine="640"/>
        <w:jc w:val="both"/>
      </w:pPr>
      <w:r>
        <w:rPr>
          <w:rFonts w:hint="eastAsia" w:ascii="仿宋_GB2312" w:hAnsi="仿宋_GB2312" w:eastAsia="仿宋_GB2312"/>
          <w:sz w:val="32"/>
        </w:rPr>
        <w:t>（十）完成地委、行署交办的其他任务。</w:t>
      </w:r>
    </w:p>
    <w:p w14:paraId="17DA13DC">
      <w:pPr>
        <w:spacing w:line="640" w:lineRule="exact"/>
        <w:ind w:firstLine="640"/>
        <w:jc w:val="both"/>
        <w:outlineLvl w:val="2"/>
      </w:pPr>
      <w:r>
        <w:rPr>
          <w:rFonts w:ascii="黑体" w:hAnsi="黑体" w:eastAsia="黑体"/>
          <w:sz w:val="32"/>
        </w:rPr>
        <w:t>二、机构设置及人员情况</w:t>
      </w:r>
    </w:p>
    <w:p w14:paraId="1E06BDC2">
      <w:pPr>
        <w:spacing w:line="580" w:lineRule="exact"/>
        <w:ind w:firstLine="640"/>
        <w:jc w:val="both"/>
      </w:pPr>
      <w:r>
        <w:rPr>
          <w:rFonts w:ascii="仿宋_GB2312" w:hAnsi="仿宋_GB2312" w:eastAsia="仿宋_GB2312"/>
          <w:sz w:val="32"/>
        </w:rPr>
        <w:t>喀什地区文物局2024年度，实有人数43人，其中：在职人员25人，增加2人；离休人员0人，增加0人；退休人员18人,增加2人。</w:t>
      </w:r>
    </w:p>
    <w:p w14:paraId="3F4DF436">
      <w:pPr>
        <w:spacing w:line="580" w:lineRule="exact"/>
        <w:ind w:firstLine="640"/>
        <w:jc w:val="both"/>
      </w:pPr>
      <w:r>
        <w:rPr>
          <w:rFonts w:ascii="仿宋_GB2312" w:hAnsi="仿宋_GB2312" w:eastAsia="仿宋_GB2312"/>
          <w:sz w:val="32"/>
        </w:rPr>
        <w:t>喀什地区文物局无下属预算单位，下设</w:t>
      </w:r>
      <w:r>
        <w:rPr>
          <w:rFonts w:hint="eastAsia" w:ascii="仿宋_GB2312" w:hAnsi="仿宋_GB2312" w:eastAsia="仿宋_GB2312"/>
          <w:sz w:val="32"/>
          <w:lang w:val="en-US" w:eastAsia="zh-CN"/>
        </w:rPr>
        <w:t>3</w:t>
      </w:r>
      <w:r>
        <w:rPr>
          <w:rFonts w:ascii="仿宋_GB2312" w:hAnsi="仿宋_GB2312" w:eastAsia="仿宋_GB2312"/>
          <w:sz w:val="32"/>
        </w:rPr>
        <w:t>个科室，分别是：</w:t>
      </w:r>
      <w:r>
        <w:rPr>
          <w:rFonts w:hint="eastAsia" w:ascii="仿宋_GB2312" w:hAnsi="仿宋_GB2312" w:eastAsia="仿宋_GB2312"/>
          <w:sz w:val="32"/>
        </w:rPr>
        <w:t>综合科、文物保护科、科教交流科</w:t>
      </w:r>
      <w:r>
        <w:rPr>
          <w:rFonts w:ascii="仿宋_GB2312" w:hAnsi="仿宋_GB2312" w:eastAsia="仿宋_GB2312"/>
          <w:sz w:val="32"/>
        </w:rPr>
        <w:t>。</w:t>
      </w:r>
    </w:p>
    <w:p w14:paraId="6B7972CB">
      <w:r>
        <w:br w:type="page"/>
      </w:r>
    </w:p>
    <w:p w14:paraId="5833E2E1">
      <w:pPr>
        <w:spacing w:line="240" w:lineRule="auto"/>
        <w:jc w:val="center"/>
        <w:outlineLvl w:val="1"/>
      </w:pPr>
      <w:r>
        <w:rPr>
          <w:rFonts w:ascii="黑体" w:hAnsi="黑体" w:eastAsia="黑体"/>
          <w:sz w:val="32"/>
        </w:rPr>
        <w:t>第二部分 部门决算情况说明</w:t>
      </w:r>
    </w:p>
    <w:p w14:paraId="766EECC9">
      <w:pPr>
        <w:spacing w:line="640" w:lineRule="exact"/>
        <w:ind w:firstLine="640"/>
        <w:jc w:val="both"/>
        <w:outlineLvl w:val="2"/>
      </w:pPr>
      <w:r>
        <w:rPr>
          <w:rFonts w:ascii="黑体" w:hAnsi="黑体" w:eastAsia="黑体"/>
          <w:sz w:val="32"/>
        </w:rPr>
        <w:t>一、收入支出决算总体情况说明</w:t>
      </w:r>
    </w:p>
    <w:p w14:paraId="1AE8ABE5">
      <w:pPr>
        <w:spacing w:line="580" w:lineRule="exact"/>
        <w:ind w:firstLine="640"/>
        <w:jc w:val="both"/>
      </w:pPr>
      <w:r>
        <w:rPr>
          <w:rFonts w:ascii="仿宋_GB2312" w:hAnsi="仿宋_GB2312" w:eastAsia="仿宋_GB2312"/>
          <w:b/>
          <w:sz w:val="32"/>
        </w:rPr>
        <w:t>2024年度收入总计1,208.83万元，</w:t>
      </w:r>
      <w:r>
        <w:rPr>
          <w:rFonts w:ascii="仿宋_GB2312" w:hAnsi="仿宋_GB2312" w:eastAsia="仿宋_GB2312"/>
          <w:b w:val="0"/>
          <w:sz w:val="32"/>
        </w:rPr>
        <w:t>其中：本年收入合计1,196.50万元，使用非财政拨款结余（含专用结余）0.00万元，年初结转和结余12.32万元。</w:t>
      </w:r>
    </w:p>
    <w:p w14:paraId="3BECA1AB">
      <w:pPr>
        <w:spacing w:line="580" w:lineRule="exact"/>
        <w:ind w:firstLine="640"/>
        <w:jc w:val="both"/>
      </w:pPr>
      <w:r>
        <w:rPr>
          <w:rFonts w:ascii="仿宋_GB2312" w:hAnsi="仿宋_GB2312" w:eastAsia="仿宋_GB2312"/>
          <w:b/>
          <w:sz w:val="32"/>
        </w:rPr>
        <w:t>2024年度支出总计1,208.83万元，</w:t>
      </w:r>
      <w:r>
        <w:rPr>
          <w:rFonts w:ascii="仿宋_GB2312" w:hAnsi="仿宋_GB2312" w:eastAsia="仿宋_GB2312"/>
          <w:b w:val="0"/>
          <w:sz w:val="32"/>
        </w:rPr>
        <w:t>其中：本年支出合计1,208.31万元，结余分配0.00万元，年末结转和结余0.51万元。</w:t>
      </w:r>
    </w:p>
    <w:p w14:paraId="69B7474F">
      <w:pPr>
        <w:spacing w:line="580" w:lineRule="exact"/>
        <w:ind w:firstLine="640"/>
        <w:jc w:val="both"/>
      </w:pPr>
      <w:r>
        <w:rPr>
          <w:rFonts w:ascii="仿宋_GB2312" w:hAnsi="仿宋_GB2312" w:eastAsia="仿宋_GB2312"/>
          <w:b w:val="0"/>
          <w:sz w:val="32"/>
        </w:rPr>
        <w:t>收入支出总体与上年相比，增加378.27万元，增长45.54%，主要原因是：本年增加2024年国家文物保护资金项目、喀什地区第四次全国文物普查项目、大道之行山东近代历史文化巡展项目。本年在职人员增加，在职人员工资调增、社保、公积金基数调增，人员经费增加。</w:t>
      </w:r>
    </w:p>
    <w:p w14:paraId="7DC4C1FB">
      <w:pPr>
        <w:spacing w:line="640" w:lineRule="exact"/>
        <w:ind w:firstLine="640"/>
        <w:jc w:val="both"/>
        <w:outlineLvl w:val="2"/>
      </w:pPr>
      <w:r>
        <w:rPr>
          <w:rFonts w:ascii="黑体" w:hAnsi="黑体" w:eastAsia="黑体"/>
          <w:sz w:val="32"/>
        </w:rPr>
        <w:t>二、收入决算情况说明</w:t>
      </w:r>
    </w:p>
    <w:p w14:paraId="65D8BA7C">
      <w:pPr>
        <w:spacing w:line="580" w:lineRule="exact"/>
        <w:ind w:firstLine="640"/>
        <w:jc w:val="both"/>
      </w:pPr>
      <w:r>
        <w:rPr>
          <w:rFonts w:ascii="仿宋_GB2312" w:hAnsi="仿宋_GB2312" w:eastAsia="仿宋_GB2312"/>
          <w:b/>
          <w:sz w:val="32"/>
        </w:rPr>
        <w:t>本年收入1,196.50万元，</w:t>
      </w:r>
      <w:r>
        <w:rPr>
          <w:rFonts w:ascii="仿宋_GB2312" w:hAnsi="仿宋_GB2312" w:eastAsia="仿宋_GB2312"/>
          <w:b w:val="0"/>
          <w:sz w:val="32"/>
        </w:rPr>
        <w:t>其中：财政拨款收入1,159.00万元，占96.87%；上级补助收入0.00万元，占0.00%；事业收入0.00万元，占0.00%；经营收入0.00万元，占0.00%；附属单位上缴收入0.00万元，占0.00%；其他收入37.50万元，占3.13%。</w:t>
      </w:r>
    </w:p>
    <w:p w14:paraId="73FBD4E9">
      <w:pPr>
        <w:spacing w:line="640" w:lineRule="exact"/>
        <w:ind w:firstLine="640"/>
        <w:jc w:val="both"/>
        <w:outlineLvl w:val="2"/>
      </w:pPr>
      <w:r>
        <w:rPr>
          <w:rFonts w:ascii="黑体" w:hAnsi="黑体" w:eastAsia="黑体"/>
          <w:sz w:val="32"/>
        </w:rPr>
        <w:t>三、支出决算情况说明</w:t>
      </w:r>
    </w:p>
    <w:p w14:paraId="40138B96">
      <w:pPr>
        <w:spacing w:line="580" w:lineRule="exact"/>
        <w:ind w:firstLine="640"/>
        <w:jc w:val="both"/>
      </w:pPr>
      <w:r>
        <w:rPr>
          <w:rFonts w:ascii="仿宋_GB2312" w:hAnsi="仿宋_GB2312" w:eastAsia="仿宋_GB2312"/>
          <w:b/>
          <w:sz w:val="32"/>
        </w:rPr>
        <w:t>本年支出1,208.31万元，</w:t>
      </w:r>
      <w:r>
        <w:rPr>
          <w:rFonts w:ascii="仿宋_GB2312" w:hAnsi="仿宋_GB2312" w:eastAsia="仿宋_GB2312"/>
          <w:b w:val="0"/>
          <w:sz w:val="32"/>
        </w:rPr>
        <w:t>其中：基本支出566.58万元，占46.89%；项目支出641.74万元，占53.11%；上缴上级支出0.00万元，占0.00%；经营支出0.00万元，占0.00%；对附属单位补助支出0.00万元，占0.00%。</w:t>
      </w:r>
    </w:p>
    <w:p w14:paraId="5EAC66BB">
      <w:pPr>
        <w:spacing w:line="640" w:lineRule="exact"/>
        <w:ind w:firstLine="640"/>
        <w:jc w:val="both"/>
        <w:outlineLvl w:val="2"/>
      </w:pPr>
      <w:r>
        <w:rPr>
          <w:rFonts w:ascii="黑体" w:hAnsi="黑体" w:eastAsia="黑体"/>
          <w:sz w:val="32"/>
        </w:rPr>
        <w:t>四、财政拨款收入支出决算总体情况说明</w:t>
      </w:r>
    </w:p>
    <w:p w14:paraId="7FC9A4DA">
      <w:pPr>
        <w:spacing w:line="580" w:lineRule="exact"/>
        <w:ind w:firstLine="640"/>
        <w:jc w:val="both"/>
      </w:pPr>
      <w:r>
        <w:rPr>
          <w:rFonts w:ascii="仿宋_GB2312" w:hAnsi="仿宋_GB2312" w:eastAsia="仿宋_GB2312"/>
          <w:b/>
          <w:sz w:val="32"/>
        </w:rPr>
        <w:t>2024年度财政拨款收入总计1,159.00万元，</w:t>
      </w:r>
      <w:r>
        <w:rPr>
          <w:rFonts w:ascii="仿宋_GB2312" w:hAnsi="仿宋_GB2312" w:eastAsia="仿宋_GB2312"/>
          <w:b w:val="0"/>
          <w:sz w:val="32"/>
        </w:rPr>
        <w:t>其中：年初财政拨款结转和结余0.00万元，本年财政拨款收入1,159.00万元。</w:t>
      </w:r>
      <w:r>
        <w:rPr>
          <w:rFonts w:ascii="仿宋_GB2312" w:hAnsi="仿宋_GB2312" w:eastAsia="仿宋_GB2312"/>
          <w:b/>
          <w:sz w:val="32"/>
        </w:rPr>
        <w:t>财政拨款支出总计1,159.00万元，</w:t>
      </w:r>
      <w:r>
        <w:rPr>
          <w:rFonts w:ascii="仿宋_GB2312" w:hAnsi="仿宋_GB2312" w:eastAsia="仿宋_GB2312"/>
          <w:b w:val="0"/>
          <w:sz w:val="32"/>
        </w:rPr>
        <w:t>其中：年末财政拨款结转和结余0.00万元，本年财政拨款支出1,159.00万元。</w:t>
      </w:r>
    </w:p>
    <w:p w14:paraId="7F59644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386.43万元，增长50.02%，主要原因是：本年增加国家文物保护资金（喀什地区博物馆数字化项目）、第四次全国文物普查项目经费。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1,054.26万元，决算数1,159.00万元，预决算差异率9.93%，主要原因是：年中追加第四次全国文物普查项目经费；本年在职人员增加，年中追加人员经费及人员工资、社保、公积金基数调增部分资金，导致预决算存在差异。</w:t>
      </w:r>
    </w:p>
    <w:p w14:paraId="23360981">
      <w:pPr>
        <w:spacing w:line="640" w:lineRule="exact"/>
        <w:ind w:firstLine="640"/>
        <w:jc w:val="both"/>
        <w:outlineLvl w:val="2"/>
      </w:pPr>
      <w:r>
        <w:rPr>
          <w:rFonts w:ascii="黑体" w:hAnsi="黑体" w:eastAsia="黑体"/>
          <w:sz w:val="32"/>
        </w:rPr>
        <w:t>五、一般公共预算财政拨款支出决算情况说明</w:t>
      </w:r>
    </w:p>
    <w:p w14:paraId="1EADFDD3">
      <w:pPr>
        <w:spacing w:line="640" w:lineRule="exact"/>
        <w:ind w:firstLine="640"/>
        <w:jc w:val="both"/>
        <w:outlineLvl w:val="3"/>
      </w:pPr>
      <w:r>
        <w:rPr>
          <w:rFonts w:ascii="楷体_GB2312" w:hAnsi="楷体_GB2312" w:eastAsia="楷体_GB2312"/>
          <w:b/>
          <w:sz w:val="32"/>
        </w:rPr>
        <w:t>（一）一般公共预算财政拨款支出决算总体情况</w:t>
      </w:r>
    </w:p>
    <w:p w14:paraId="3CCB83D6">
      <w:pPr>
        <w:spacing w:line="580" w:lineRule="exact"/>
        <w:ind w:firstLine="640"/>
        <w:jc w:val="both"/>
      </w:pPr>
      <w:r>
        <w:rPr>
          <w:rFonts w:ascii="仿宋_GB2312" w:hAnsi="仿宋_GB2312" w:eastAsia="仿宋_GB2312"/>
          <w:b/>
          <w:sz w:val="32"/>
        </w:rPr>
        <w:t>2024年度一般公共预算财政拨款支出1,159.00万元，</w:t>
      </w:r>
      <w:r>
        <w:rPr>
          <w:rFonts w:ascii="仿宋_GB2312" w:hAnsi="仿宋_GB2312" w:eastAsia="仿宋_GB2312"/>
          <w:b w:val="0"/>
          <w:sz w:val="32"/>
        </w:rPr>
        <w:t>占本年支出合计的95.92%。</w:t>
      </w:r>
      <w:r>
        <w:rPr>
          <w:rFonts w:ascii="仿宋_GB2312" w:hAnsi="仿宋_GB2312" w:eastAsia="仿宋_GB2312"/>
          <w:b/>
          <w:sz w:val="32"/>
        </w:rPr>
        <w:t>与上年相比，</w:t>
      </w:r>
      <w:r>
        <w:rPr>
          <w:rFonts w:ascii="仿宋_GB2312" w:hAnsi="仿宋_GB2312" w:eastAsia="仿宋_GB2312"/>
          <w:b w:val="0"/>
          <w:sz w:val="32"/>
        </w:rPr>
        <w:t>增加386.43万元，增长50.02%，主要原因是：本年增加国家文物保护资金（喀什地区博物馆数字化项目）、第四次全国文物普查项目经费。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1,054.26万元，决算数1,159.00万元，预决算差异率9.93%，主要原因是：年中追加第四次全国文物普查项目经费；本年在职人员增加，年中追加人员经费及人员工资、社保、公积金基数调增部分资金，导致预决算存在差异。</w:t>
      </w:r>
    </w:p>
    <w:p w14:paraId="7F9831B8">
      <w:pPr>
        <w:spacing w:line="640" w:lineRule="exact"/>
        <w:ind w:firstLine="640"/>
        <w:jc w:val="both"/>
        <w:outlineLvl w:val="3"/>
      </w:pPr>
      <w:r>
        <w:rPr>
          <w:rFonts w:ascii="楷体_GB2312" w:hAnsi="楷体_GB2312" w:eastAsia="楷体_GB2312"/>
          <w:b/>
          <w:sz w:val="32"/>
        </w:rPr>
        <w:t>（二）一般公共预算财政拨款支出决算结构情况</w:t>
      </w:r>
    </w:p>
    <w:p w14:paraId="10D9388B">
      <w:pPr>
        <w:spacing w:line="580" w:lineRule="exact"/>
        <w:ind w:firstLine="640"/>
        <w:jc w:val="both"/>
      </w:pPr>
      <w:r>
        <w:rPr>
          <w:rFonts w:ascii="仿宋_GB2312" w:hAnsi="仿宋_GB2312" w:eastAsia="仿宋_GB2312"/>
          <w:b w:val="0"/>
          <w:sz w:val="32"/>
        </w:rPr>
        <w:t>1.文化旅游体育与传媒支出(类)1,016.22万元,占87.68%。</w:t>
      </w:r>
    </w:p>
    <w:p w14:paraId="72CAF161">
      <w:pPr>
        <w:spacing w:line="580" w:lineRule="exact"/>
        <w:ind w:firstLine="640"/>
        <w:jc w:val="both"/>
      </w:pPr>
      <w:r>
        <w:rPr>
          <w:rFonts w:ascii="仿宋_GB2312" w:hAnsi="仿宋_GB2312" w:eastAsia="仿宋_GB2312"/>
          <w:b w:val="0"/>
          <w:sz w:val="32"/>
        </w:rPr>
        <w:t>2.社会保障和就业支出(类)88.19万元,占7.61%。</w:t>
      </w:r>
    </w:p>
    <w:p w14:paraId="62D27A21">
      <w:pPr>
        <w:spacing w:line="580" w:lineRule="exact"/>
        <w:ind w:firstLine="640"/>
        <w:jc w:val="both"/>
      </w:pPr>
      <w:r>
        <w:rPr>
          <w:rFonts w:ascii="仿宋_GB2312" w:hAnsi="仿宋_GB2312" w:eastAsia="仿宋_GB2312"/>
          <w:b w:val="0"/>
          <w:sz w:val="32"/>
        </w:rPr>
        <w:t>3.卫生健康支出(类)19.08万元,占1.65%。</w:t>
      </w:r>
    </w:p>
    <w:p w14:paraId="466D5BEE">
      <w:pPr>
        <w:spacing w:line="580" w:lineRule="exact"/>
        <w:ind w:firstLine="640"/>
        <w:jc w:val="both"/>
      </w:pPr>
      <w:r>
        <w:rPr>
          <w:rFonts w:ascii="仿宋_GB2312" w:hAnsi="仿宋_GB2312" w:eastAsia="仿宋_GB2312"/>
          <w:b w:val="0"/>
          <w:sz w:val="32"/>
        </w:rPr>
        <w:t>4.住房保障支出(类)35.51万元,占3.06%。</w:t>
      </w:r>
    </w:p>
    <w:p w14:paraId="58DF0346">
      <w:pPr>
        <w:spacing w:line="640" w:lineRule="exact"/>
        <w:ind w:firstLine="640"/>
        <w:jc w:val="both"/>
        <w:outlineLvl w:val="3"/>
      </w:pPr>
      <w:r>
        <w:rPr>
          <w:rFonts w:ascii="楷体_GB2312" w:hAnsi="楷体_GB2312" w:eastAsia="楷体_GB2312"/>
          <w:b/>
          <w:sz w:val="32"/>
        </w:rPr>
        <w:t>（三）一般公共预算财政拨款支出决算具体情况</w:t>
      </w:r>
    </w:p>
    <w:p w14:paraId="77BBC0B5">
      <w:pPr>
        <w:spacing w:line="580" w:lineRule="exact"/>
        <w:ind w:firstLine="640"/>
        <w:jc w:val="both"/>
      </w:pPr>
      <w:r>
        <w:rPr>
          <w:rFonts w:ascii="仿宋_GB2312" w:hAnsi="仿宋_GB2312" w:eastAsia="仿宋_GB2312"/>
          <w:b w:val="0"/>
          <w:sz w:val="32"/>
        </w:rPr>
        <w:t>1.文化旅游体育与传媒支出(类)文物(款)行政运行(项):支出决算数为423.79万元，比上年决算增加26.06万元，增长6.55%,主要原因是：本年新增在职人员，</w:t>
      </w:r>
      <w:r>
        <w:rPr>
          <w:rFonts w:hint="eastAsia" w:ascii="仿宋_GB2312" w:hAnsi="仿宋_GB2312" w:eastAsia="仿宋_GB2312"/>
          <w:b w:val="0"/>
          <w:sz w:val="32"/>
          <w:lang w:val="en-US" w:eastAsia="zh-CN"/>
        </w:rPr>
        <w:t>在职人员工资基数调增，</w:t>
      </w:r>
      <w:r>
        <w:rPr>
          <w:rFonts w:ascii="仿宋_GB2312" w:hAnsi="仿宋_GB2312" w:eastAsia="仿宋_GB2312"/>
          <w:b w:val="0"/>
          <w:sz w:val="32"/>
        </w:rPr>
        <w:t>人员经费增加，导致经费较上年有所增加。</w:t>
      </w:r>
    </w:p>
    <w:p w14:paraId="5FB9401E">
      <w:pPr>
        <w:spacing w:line="580" w:lineRule="exact"/>
        <w:ind w:firstLine="640"/>
        <w:jc w:val="both"/>
      </w:pPr>
      <w:r>
        <w:rPr>
          <w:rFonts w:ascii="仿宋_GB2312" w:hAnsi="仿宋_GB2312" w:eastAsia="仿宋_GB2312"/>
          <w:b w:val="0"/>
          <w:sz w:val="32"/>
        </w:rPr>
        <w:t>2.文化旅游体育与传媒支出(类)文物(款)一般行政管理事务(项):支出决算数为10.00万元，比上年决算减少7.50万元，下降42.86%,主要原因是：本年基层工作人员更换工作点，由大村变更为中村，导致工作经费减少。</w:t>
      </w:r>
    </w:p>
    <w:p w14:paraId="5E00E6BF">
      <w:pPr>
        <w:spacing w:line="580" w:lineRule="exact"/>
        <w:ind w:firstLine="640"/>
        <w:jc w:val="both"/>
      </w:pPr>
      <w:r>
        <w:rPr>
          <w:rFonts w:ascii="仿宋_GB2312" w:hAnsi="仿宋_GB2312" w:eastAsia="仿宋_GB2312"/>
          <w:b w:val="0"/>
          <w:sz w:val="32"/>
        </w:rPr>
        <w:t>3.文化旅游体育与传媒支出(类)文物(款)文物保护(项):支出决算数为287.48万元，比上年决算增加287.48万元，增长100.00%,主要原因是：本年增加国家文物保护资金（喀什地区博物馆数字化项目）。</w:t>
      </w:r>
    </w:p>
    <w:p w14:paraId="4D6BAE16">
      <w:pPr>
        <w:spacing w:line="580" w:lineRule="exact"/>
        <w:ind w:firstLine="640"/>
        <w:jc w:val="both"/>
      </w:pPr>
      <w:r>
        <w:rPr>
          <w:rFonts w:ascii="仿宋_GB2312" w:hAnsi="仿宋_GB2312" w:eastAsia="仿宋_GB2312"/>
          <w:b w:val="0"/>
          <w:sz w:val="32"/>
        </w:rPr>
        <w:t>4.文化旅游体育与传媒支出(类)文物(款)博物馆(项):支出决算数为241.38万元，比上年决算减少15.52万元，下降6.04%,主要原因是：本年减少博物馆免费开放补助资金项目资金，导致此</w:t>
      </w:r>
      <w:r>
        <w:rPr>
          <w:rFonts w:hint="eastAsia" w:ascii="仿宋_GB2312" w:hAnsi="仿宋_GB2312" w:eastAsia="仿宋_GB2312"/>
          <w:b w:val="0"/>
          <w:sz w:val="32"/>
          <w:lang w:eastAsia="zh-CN"/>
        </w:rPr>
        <w:t>项目经费</w:t>
      </w:r>
      <w:r>
        <w:rPr>
          <w:rFonts w:ascii="仿宋_GB2312" w:hAnsi="仿宋_GB2312" w:eastAsia="仿宋_GB2312"/>
          <w:b w:val="0"/>
          <w:sz w:val="32"/>
        </w:rPr>
        <w:t>减少。</w:t>
      </w:r>
    </w:p>
    <w:p w14:paraId="78935BC1">
      <w:pPr>
        <w:spacing w:line="580" w:lineRule="exact"/>
        <w:ind w:firstLine="640"/>
        <w:jc w:val="both"/>
      </w:pPr>
      <w:r>
        <w:rPr>
          <w:rFonts w:ascii="仿宋_GB2312" w:hAnsi="仿宋_GB2312" w:eastAsia="仿宋_GB2312"/>
          <w:b w:val="0"/>
          <w:sz w:val="32"/>
        </w:rPr>
        <w:t>5.文化旅游体育与传媒支出(类)文物(款)其他文物支出(项):支出决算数为53.56万元，比上年决算增加53.56万元，增长100.00%,主要原因是：本年增加第四次全国文物普查项目经费。</w:t>
      </w:r>
    </w:p>
    <w:p w14:paraId="31EC1C15">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6.社会保障和就业支出(类)行政事业单位养老支出(款)行政单位离退休(项):支出决算数为23.18万元，比上年决算增加7.17万元，增长44.78%,主要原因是：本年退休人员增加，退休费支出增加。</w:t>
      </w:r>
    </w:p>
    <w:p w14:paraId="6F67CC1D">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41.30万元，比上年决算增加4.70万元，增长12.84%,主要原因是：本年在职人员增加，养老保险缴费较上年增加。</w:t>
      </w:r>
    </w:p>
    <w:p w14:paraId="2E9C4C43">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8.社会保障和就业支出(类)行政事业单位养老支出(款)机关事业单位职业年金缴费支出(项):支出决算数为23.70万元，比上年决算增加23.70万元，增长100.00%,主要原因是：本年新增退休人员，职业年金缴费支出增加。</w:t>
      </w:r>
    </w:p>
    <w:p w14:paraId="2736F964">
      <w:pPr>
        <w:spacing w:line="580" w:lineRule="exact"/>
        <w:ind w:firstLine="640"/>
        <w:jc w:val="both"/>
      </w:pPr>
      <w:r>
        <w:rPr>
          <w:rFonts w:ascii="仿宋_GB2312" w:hAnsi="仿宋_GB2312" w:eastAsia="仿宋_GB2312"/>
          <w:b w:val="0"/>
          <w:sz w:val="32"/>
        </w:rPr>
        <w:t>9.卫生健康支出(类)行政事业单位医疗(款)行政单位医疗(项):支出决算数为17.55万元，比上年决算增加1.53万元，增长9.55%,主要原因是：本年在职人员增加，行政单位医疗支出较上年增加。</w:t>
      </w:r>
    </w:p>
    <w:p w14:paraId="4CD06BCE">
      <w:pPr>
        <w:spacing w:line="580" w:lineRule="exact"/>
        <w:ind w:firstLine="640"/>
        <w:jc w:val="both"/>
      </w:pPr>
      <w:r>
        <w:rPr>
          <w:rFonts w:ascii="仿宋_GB2312" w:hAnsi="仿宋_GB2312" w:eastAsia="仿宋_GB2312"/>
          <w:b w:val="0"/>
          <w:sz w:val="32"/>
        </w:rPr>
        <w:t>10.卫生健康支出(类)行政事业单位医疗(款)公务员医疗补助(项):支出决算数为1.52万元，比上年决算增加0.22万元，增长16.92%,主要原因是：本年在职人员增加，公务员医疗补助较上年增加。</w:t>
      </w:r>
    </w:p>
    <w:p w14:paraId="1D673F4E">
      <w:pPr>
        <w:spacing w:line="580" w:lineRule="exact"/>
        <w:ind w:firstLine="640"/>
        <w:jc w:val="both"/>
      </w:pPr>
      <w:r>
        <w:rPr>
          <w:rFonts w:ascii="仿宋_GB2312" w:hAnsi="仿宋_GB2312" w:eastAsia="仿宋_GB2312"/>
          <w:b w:val="0"/>
          <w:sz w:val="32"/>
        </w:rPr>
        <w:t>11.住房保障支出(类)住房改革支出(款)住房公积金(项):支出决算数为35.51万元，比上年决算增加5.00万元，增长16.39%,主要原因是：本年在职人员增加，住房公积金支出较上年增加。</w:t>
      </w:r>
    </w:p>
    <w:p w14:paraId="40654DD4">
      <w:pPr>
        <w:spacing w:line="640" w:lineRule="exact"/>
        <w:ind w:firstLine="640"/>
        <w:jc w:val="both"/>
        <w:outlineLvl w:val="2"/>
      </w:pPr>
      <w:r>
        <w:rPr>
          <w:rFonts w:ascii="黑体" w:hAnsi="黑体" w:eastAsia="黑体"/>
          <w:sz w:val="32"/>
        </w:rPr>
        <w:t>六、一般公共预算财政拨款基本支出决算情况说明</w:t>
      </w:r>
    </w:p>
    <w:p w14:paraId="02037A4E">
      <w:pPr>
        <w:spacing w:line="580" w:lineRule="exact"/>
        <w:ind w:firstLine="640"/>
        <w:jc w:val="both"/>
      </w:pPr>
      <w:r>
        <w:rPr>
          <w:rFonts w:ascii="仿宋_GB2312" w:hAnsi="仿宋_GB2312" w:eastAsia="仿宋_GB2312"/>
          <w:b w:val="0"/>
          <w:sz w:val="32"/>
        </w:rPr>
        <w:t>2024年度一般公共预算财政拨款基本支出566.58万元，其中：</w:t>
      </w:r>
      <w:r>
        <w:rPr>
          <w:rFonts w:ascii="仿宋_GB2312" w:hAnsi="仿宋_GB2312" w:eastAsia="仿宋_GB2312"/>
          <w:b/>
          <w:sz w:val="32"/>
        </w:rPr>
        <w:t>人员经费506.90万元，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w:t>
      </w:r>
    </w:p>
    <w:p w14:paraId="496A8D6D">
      <w:pPr>
        <w:spacing w:line="580" w:lineRule="exact"/>
        <w:ind w:firstLine="640"/>
        <w:jc w:val="both"/>
      </w:pPr>
      <w:r>
        <w:rPr>
          <w:rFonts w:ascii="仿宋_GB2312" w:hAnsi="仿宋_GB2312" w:eastAsia="仿宋_GB2312"/>
          <w:b/>
          <w:sz w:val="32"/>
        </w:rPr>
        <w:t>公用经费59.67万元，</w:t>
      </w:r>
      <w:r>
        <w:rPr>
          <w:rFonts w:ascii="仿宋_GB2312" w:hAnsi="仿宋_GB2312" w:eastAsia="仿宋_GB2312"/>
          <w:b w:val="0"/>
          <w:sz w:val="32"/>
        </w:rPr>
        <w:t>包括：办公费、印刷费、手续费、水费、电费、邮电费、取暖费、差旅费、维修（护）费、专用材料费、工会经费、公务用车运行维护费、其他交通费用、其他商品和服务支出。</w:t>
      </w:r>
    </w:p>
    <w:p w14:paraId="40EF0A76">
      <w:pPr>
        <w:spacing w:line="640" w:lineRule="exact"/>
        <w:ind w:firstLine="640"/>
        <w:jc w:val="both"/>
        <w:outlineLvl w:val="2"/>
      </w:pPr>
      <w:r>
        <w:rPr>
          <w:rFonts w:ascii="黑体" w:hAnsi="黑体" w:eastAsia="黑体"/>
          <w:sz w:val="32"/>
        </w:rPr>
        <w:t>七、政府性基金预算财政拨款收入支出决算情况说明</w:t>
      </w:r>
    </w:p>
    <w:p w14:paraId="45BA91AC">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34ABD785">
      <w:pPr>
        <w:spacing w:line="640" w:lineRule="exact"/>
        <w:ind w:firstLine="640"/>
        <w:jc w:val="both"/>
        <w:outlineLvl w:val="2"/>
      </w:pPr>
      <w:r>
        <w:rPr>
          <w:rFonts w:ascii="黑体" w:hAnsi="黑体" w:eastAsia="黑体"/>
          <w:sz w:val="32"/>
        </w:rPr>
        <w:t>八、国有资本经营预算财政拨款收入支出决算情况说明</w:t>
      </w:r>
    </w:p>
    <w:p w14:paraId="4E689AE3">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54C300D8">
      <w:pPr>
        <w:spacing w:line="640" w:lineRule="exact"/>
        <w:ind w:firstLine="640"/>
        <w:jc w:val="both"/>
        <w:outlineLvl w:val="2"/>
      </w:pPr>
      <w:r>
        <w:rPr>
          <w:rFonts w:ascii="黑体" w:hAnsi="黑体" w:eastAsia="黑体"/>
          <w:sz w:val="32"/>
        </w:rPr>
        <w:t>九、财政拨款“三公”经费支出决算情况说明</w:t>
      </w:r>
    </w:p>
    <w:p w14:paraId="47A33611">
      <w:pPr>
        <w:spacing w:line="580" w:lineRule="exact"/>
        <w:ind w:firstLine="640"/>
        <w:jc w:val="both"/>
      </w:pPr>
      <w:r>
        <w:rPr>
          <w:rFonts w:ascii="仿宋_GB2312" w:hAnsi="仿宋_GB2312" w:eastAsia="仿宋_GB2312"/>
          <w:b/>
          <w:sz w:val="32"/>
        </w:rPr>
        <w:t>2024年度财政拨款“三公”经费支出1.30万元，</w:t>
      </w:r>
      <w:r>
        <w:rPr>
          <w:rFonts w:ascii="仿宋_GB2312" w:hAnsi="仿宋_GB2312" w:eastAsia="仿宋_GB2312"/>
          <w:b w:val="0"/>
          <w:sz w:val="32"/>
        </w:rPr>
        <w:t>比上年增加0.00万元，增长0.00%，主要原因是：本部门“三公”经费与上年一致无变化。其中：因公出国（境）费支出0.00万元，占0.00%，比上年增加0.00万元，增长0.00%，主要原因是：2023年与2024年均未安排因公出国（境）费支出。公务用车购置及运行维护费支出1.30万元，占100.00%，比上年增加0.00万元，增长0.00%，主要原因是：本部门公务用车运行维护费与上年一致无变化。公务接待费支出0.00万元，占0.00%，比上年增加0.00万元，增长0.00%，主要原因是：2023年与2024年均未安排公务接待费支出。</w:t>
      </w:r>
    </w:p>
    <w:p w14:paraId="39BC111E">
      <w:pPr>
        <w:spacing w:line="580" w:lineRule="exact"/>
        <w:ind w:firstLine="640"/>
        <w:jc w:val="both"/>
      </w:pPr>
      <w:r>
        <w:rPr>
          <w:rFonts w:ascii="仿宋_GB2312" w:hAnsi="仿宋_GB2312" w:eastAsia="仿宋_GB2312"/>
          <w:b/>
          <w:sz w:val="32"/>
        </w:rPr>
        <w:t>具体情况如下：</w:t>
      </w:r>
    </w:p>
    <w:p w14:paraId="0AFBF709">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51869C4A">
      <w:pPr>
        <w:spacing w:line="580" w:lineRule="exact"/>
        <w:ind w:firstLine="640"/>
        <w:jc w:val="both"/>
      </w:pPr>
      <w:r>
        <w:rPr>
          <w:rFonts w:ascii="仿宋_GB2312" w:hAnsi="仿宋_GB2312" w:eastAsia="仿宋_GB2312"/>
          <w:b w:val="0"/>
          <w:sz w:val="32"/>
        </w:rPr>
        <w:t>公务用车购置及运行维护费1.30万元，其中：公务用车购置费0.00万元，公务用车运行维护费1.30万元。公务用车运行维护费开支内容包括车辆加油费、维修费、保险费、审车费、过路费等。公务用车购置数0辆，公务用车保有量1辆。国有资产占用情况中固定资产车辆1辆，与公务用车保有量差异原因是：本部门固定资产车辆与公务用车保有量一致无差异。</w:t>
      </w:r>
    </w:p>
    <w:p w14:paraId="34037AC8">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536060C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1.30万元，决算数1.30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1.30万元，决算数1.30万元，预决算差异率0.00%，主要原因是：严格按照预算执行，预决算无差异。公务接待费全年预算数0.00万元，决算数0.00万元，预决算差异率0.00%，主要原因是：本部门无公务接待费。</w:t>
      </w:r>
    </w:p>
    <w:p w14:paraId="7CD4F2CB">
      <w:pPr>
        <w:spacing w:line="640" w:lineRule="exact"/>
        <w:ind w:firstLine="640"/>
        <w:jc w:val="both"/>
        <w:outlineLvl w:val="2"/>
      </w:pPr>
      <w:r>
        <w:rPr>
          <w:rFonts w:ascii="黑体" w:hAnsi="黑体" w:eastAsia="黑体"/>
          <w:sz w:val="32"/>
        </w:rPr>
        <w:t>十、其他重要事项的情况说明</w:t>
      </w:r>
    </w:p>
    <w:p w14:paraId="6DB7830C">
      <w:pPr>
        <w:spacing w:line="640" w:lineRule="exact"/>
        <w:ind w:firstLine="640"/>
        <w:jc w:val="both"/>
        <w:outlineLvl w:val="3"/>
      </w:pPr>
      <w:r>
        <w:rPr>
          <w:rFonts w:ascii="楷体_GB2312" w:hAnsi="楷体_GB2312" w:eastAsia="楷体_GB2312"/>
          <w:b/>
          <w:sz w:val="32"/>
        </w:rPr>
        <w:t>（一）机关运行经费及公用经费支出情况</w:t>
      </w:r>
    </w:p>
    <w:p w14:paraId="33589F0D">
      <w:pPr>
        <w:spacing w:line="580" w:lineRule="exact"/>
        <w:ind w:firstLine="640"/>
        <w:jc w:val="both"/>
      </w:pPr>
      <w:r>
        <w:rPr>
          <w:rFonts w:ascii="仿宋_GB2312" w:hAnsi="仿宋_GB2312" w:eastAsia="仿宋_GB2312"/>
          <w:b w:val="0"/>
          <w:sz w:val="32"/>
        </w:rPr>
        <w:t>2024年度喀什地区文物局（事业单位）公用经费支出59.67万元，比上年增加8.85万元，增长17.41%，主要原因是：本年在职人员增加，办公经费增加，暖气费收费标准提高，导致公用经费增加。</w:t>
      </w:r>
    </w:p>
    <w:p w14:paraId="4316B65C">
      <w:pPr>
        <w:spacing w:line="640" w:lineRule="exact"/>
        <w:ind w:firstLine="640"/>
        <w:jc w:val="both"/>
        <w:outlineLvl w:val="3"/>
      </w:pPr>
      <w:r>
        <w:rPr>
          <w:rFonts w:ascii="楷体_GB2312" w:hAnsi="楷体_GB2312" w:eastAsia="楷体_GB2312"/>
          <w:b/>
          <w:sz w:val="32"/>
        </w:rPr>
        <w:t>（二）政府采购情况</w:t>
      </w:r>
    </w:p>
    <w:p w14:paraId="03B25BC9">
      <w:pPr>
        <w:spacing w:line="580" w:lineRule="exact"/>
        <w:ind w:firstLine="640"/>
        <w:jc w:val="both"/>
      </w:pPr>
      <w:r>
        <w:rPr>
          <w:rFonts w:ascii="仿宋_GB2312" w:hAnsi="仿宋_GB2312" w:eastAsia="仿宋_GB2312"/>
          <w:b w:val="0"/>
          <w:sz w:val="32"/>
        </w:rPr>
        <w:t>2024年度政府采购支出总额342.87万元，其中：政府采购货物支出37.12万元、政府采购工程支出4.10万元、政府采购服务支出301.65万元。</w:t>
      </w:r>
    </w:p>
    <w:p w14:paraId="4D8272E3">
      <w:pPr>
        <w:spacing w:line="580" w:lineRule="exact"/>
        <w:ind w:firstLine="640"/>
        <w:jc w:val="both"/>
      </w:pPr>
      <w:r>
        <w:rPr>
          <w:rFonts w:ascii="仿宋_GB2312" w:hAnsi="仿宋_GB2312" w:eastAsia="仿宋_GB2312"/>
          <w:b w:val="0"/>
          <w:sz w:val="32"/>
        </w:rPr>
        <w:t>授予中小企业合同金额342.87万元，占政府采购支出总额的100.00%，其中：授予小微企业合同金额342.87万元，占政府采购支出总额的100.00%。</w:t>
      </w:r>
    </w:p>
    <w:p w14:paraId="3DBD5986">
      <w:pPr>
        <w:spacing w:line="640" w:lineRule="exact"/>
        <w:ind w:firstLine="640"/>
        <w:jc w:val="both"/>
        <w:outlineLvl w:val="3"/>
      </w:pPr>
      <w:r>
        <w:rPr>
          <w:rFonts w:ascii="楷体_GB2312" w:hAnsi="楷体_GB2312" w:eastAsia="楷体_GB2312"/>
          <w:b/>
          <w:sz w:val="32"/>
        </w:rPr>
        <w:t>（三）国有资产占用情况说明</w:t>
      </w:r>
    </w:p>
    <w:p w14:paraId="30740551">
      <w:pPr>
        <w:spacing w:line="580" w:lineRule="exact"/>
        <w:ind w:firstLine="640"/>
        <w:jc w:val="both"/>
      </w:pPr>
      <w:r>
        <w:rPr>
          <w:rFonts w:ascii="仿宋_GB2312" w:hAnsi="仿宋_GB2312" w:eastAsia="仿宋_GB2312"/>
          <w:b w:val="0"/>
          <w:sz w:val="32"/>
        </w:rPr>
        <w:t>截至2024年12月31日，房屋0.00平方米，价值0.00万元。车辆1辆，价值11.98万元，其中：副部（省）级及以上领导用车0辆、主要负责人用车0辆、机要通信用车0辆、应急保障用车0辆、执法执勤用车0辆、特种专业技术用车0辆、离退休干部服务用车0辆、其他用车1辆，其他用车主要是：单位公务用车。单价100万元（含）以上设备（不含车辆）0台（套）。</w:t>
      </w:r>
    </w:p>
    <w:p w14:paraId="727B0E13">
      <w:pPr>
        <w:spacing w:line="640" w:lineRule="exact"/>
        <w:ind w:firstLine="640"/>
        <w:jc w:val="both"/>
        <w:outlineLvl w:val="2"/>
      </w:pPr>
      <w:r>
        <w:rPr>
          <w:rFonts w:ascii="黑体" w:hAnsi="黑体" w:eastAsia="黑体"/>
          <w:sz w:val="32"/>
        </w:rPr>
        <w:t>十一、预算绩效的情况说明</w:t>
      </w:r>
    </w:p>
    <w:p w14:paraId="645699BF">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根据预算绩效管理要求，本部门2024年度预算绩效管理形成整体支出绩效自评表1个，全年预算总额1,339.38万元，实际执行总额1,208.30万元；预算绩效评价项目</w:t>
      </w:r>
      <w:r>
        <w:rPr>
          <w:rFonts w:hint="eastAsia" w:ascii="仿宋_GB2312" w:hAnsi="仿宋_GB2312" w:eastAsia="仿宋_GB2312"/>
          <w:b w:val="0"/>
          <w:sz w:val="32"/>
          <w:lang w:val="en-US" w:eastAsia="zh-CN"/>
        </w:rPr>
        <w:t>7</w:t>
      </w:r>
      <w:r>
        <w:rPr>
          <w:rFonts w:ascii="仿宋_GB2312" w:hAnsi="仿宋_GB2312" w:eastAsia="仿宋_GB2312"/>
          <w:b w:val="0"/>
          <w:sz w:val="32"/>
        </w:rPr>
        <w:t>个，全年预算数7</w:t>
      </w:r>
      <w:r>
        <w:rPr>
          <w:rFonts w:hint="eastAsia" w:ascii="仿宋_GB2312" w:hAnsi="仿宋_GB2312" w:eastAsia="仿宋_GB2312"/>
          <w:b w:val="0"/>
          <w:sz w:val="32"/>
          <w:lang w:val="en-US" w:eastAsia="zh-CN"/>
        </w:rPr>
        <w:t>5</w:t>
      </w:r>
      <w:r>
        <w:rPr>
          <w:rFonts w:ascii="仿宋_GB2312" w:hAnsi="仿宋_GB2312" w:eastAsia="仿宋_GB2312"/>
          <w:b w:val="0"/>
          <w:sz w:val="32"/>
        </w:rPr>
        <w:t>6.22万元，全年执行数6</w:t>
      </w:r>
      <w:r>
        <w:rPr>
          <w:rFonts w:hint="eastAsia" w:ascii="仿宋_GB2312" w:hAnsi="仿宋_GB2312" w:eastAsia="仿宋_GB2312"/>
          <w:b w:val="0"/>
          <w:sz w:val="32"/>
          <w:lang w:val="en-US" w:eastAsia="zh-CN"/>
        </w:rPr>
        <w:t>2</w:t>
      </w:r>
      <w:r>
        <w:rPr>
          <w:rFonts w:ascii="仿宋_GB2312" w:hAnsi="仿宋_GB2312" w:eastAsia="仿宋_GB2312"/>
          <w:b w:val="0"/>
          <w:sz w:val="32"/>
        </w:rPr>
        <w:t>9.40万元。预算绩效管理取得的成效：一是加强预算绩效目标管理工作。能明确预算项目绩效目标编制要求，分类别建立科学合理、细化量化、可比可测预算绩效指标体系，突出结果导向，重点考核实绩；二</w:t>
      </w:r>
      <w:r>
        <w:rPr>
          <w:rFonts w:hint="eastAsia" w:ascii="仿宋_GB2312" w:hAnsi="仿宋_GB2312" w:eastAsia="仿宋_GB2312"/>
          <w:b w:val="0"/>
          <w:sz w:val="32"/>
          <w:lang w:eastAsia="zh-CN"/>
        </w:rPr>
        <w:t>是</w:t>
      </w:r>
      <w:r>
        <w:rPr>
          <w:rFonts w:ascii="仿宋_GB2312" w:hAnsi="仿宋_GB2312" w:eastAsia="仿宋_GB2312"/>
          <w:b w:val="0"/>
          <w:sz w:val="32"/>
        </w:rPr>
        <w:t>加强绩效业务学习及培训，提高业务人员绩效管理意识，进一步加强预算绩效管理工作，优化项目支出绩效指标体系，完善预算绩效管理制度，有效推动我单位下一年度预算绩效管理工作常态化、规范化；三是通过强化专业培训、学习考察、业务交流等措施，能帮助和促进本部门现有人员提高绩效管理业务水平、实际工作能力。发现的问题及原因：一是部分业务人员绩效管理意识有待增强，未能全面深入认识理解绩效管理工作的意义；二是绩效管理经验不足，预算绩效管理工作有待进一步落实；三是绩效指标的明确性、可衡量性、相关性还需进一步提升。预算精细化管理还需完善，预算编制管理水平仍有进一步提升的空间。下一步改进措施：一是完善绩效指标，提高整体绩效目标质量。提升预算精细化管理水平；二是继续完善预算绩效管理相关工作制度，建立全过程预算绩效管理链条，有效贯彻落实全面实施绩效管理的精神。具体附部门整体支出绩效自评表，项目支出绩效自评表和部门评价报告。</w:t>
      </w:r>
    </w:p>
    <w:p w14:paraId="7C55DEA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21436E7">
        <w:tblPrEx>
          <w:tblCellMar>
            <w:top w:w="0" w:type="dxa"/>
            <w:left w:w="108" w:type="dxa"/>
            <w:bottom w:w="0" w:type="dxa"/>
            <w:right w:w="108" w:type="dxa"/>
          </w:tblCellMar>
        </w:tblPrEx>
        <w:tc>
          <w:tcPr>
            <w:tcW w:w="8847" w:type="dxa"/>
            <w:gridSpan w:val="9"/>
            <w:vAlign w:val="center"/>
          </w:tcPr>
          <w:p w14:paraId="57994F67">
            <w:pPr>
              <w:jc w:val="center"/>
            </w:pPr>
            <w:r>
              <w:rPr>
                <w:rFonts w:ascii="宋体" w:hAnsi="宋体" w:eastAsia="宋体"/>
                <w:sz w:val="24"/>
              </w:rPr>
              <w:t>部门整体支出绩效自评表</w:t>
            </w:r>
          </w:p>
        </w:tc>
      </w:tr>
      <w:tr w14:paraId="26CCF214">
        <w:tblPrEx>
          <w:tblCellMar>
            <w:top w:w="0" w:type="dxa"/>
            <w:left w:w="108" w:type="dxa"/>
            <w:bottom w:w="0" w:type="dxa"/>
            <w:right w:w="108" w:type="dxa"/>
          </w:tblCellMar>
        </w:tblPrEx>
        <w:tc>
          <w:tcPr>
            <w:tcW w:w="8847" w:type="dxa"/>
            <w:gridSpan w:val="9"/>
            <w:vAlign w:val="center"/>
          </w:tcPr>
          <w:p w14:paraId="20B305FC">
            <w:pPr>
              <w:jc w:val="center"/>
            </w:pPr>
            <w:r>
              <w:rPr>
                <w:rFonts w:ascii="宋体" w:hAnsi="宋体" w:eastAsia="宋体"/>
                <w:sz w:val="24"/>
              </w:rPr>
              <w:t>（2024年度）</w:t>
            </w:r>
          </w:p>
        </w:tc>
      </w:tr>
      <w:tr w14:paraId="4965488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A6548">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3E5667C">
            <w:pPr>
              <w:jc w:val="center"/>
            </w:pPr>
            <w:r>
              <w:rPr>
                <w:rFonts w:ascii="宋体" w:hAnsi="宋体" w:eastAsia="宋体"/>
                <w:sz w:val="16"/>
              </w:rPr>
              <w:t>喀什地区文物局</w:t>
            </w:r>
          </w:p>
        </w:tc>
      </w:tr>
      <w:tr w14:paraId="52EB641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5084EE">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893CA">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3C88B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232D3F">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3256AE">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5A97E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2131A7">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99C63">
            <w:pPr>
              <w:jc w:val="center"/>
            </w:pPr>
            <w:r>
              <w:rPr>
                <w:rFonts w:ascii="宋体" w:hAnsi="宋体" w:eastAsia="宋体"/>
                <w:sz w:val="16"/>
              </w:rPr>
              <w:t>得分</w:t>
            </w:r>
          </w:p>
        </w:tc>
      </w:tr>
      <w:tr w14:paraId="3B83CAE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62B43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1A80E6">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4CC110">
            <w:pPr>
              <w:jc w:val="center"/>
            </w:pPr>
            <w:r>
              <w:rPr>
                <w:rFonts w:ascii="宋体" w:hAnsi="宋体" w:eastAsia="宋体"/>
                <w:sz w:val="16"/>
              </w:rPr>
              <w:t>1,054.26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5A857E">
            <w:pPr>
              <w:jc w:val="center"/>
            </w:pPr>
            <w:r>
              <w:rPr>
                <w:rFonts w:ascii="宋体" w:hAnsi="宋体" w:eastAsia="宋体"/>
                <w:sz w:val="16"/>
              </w:rPr>
              <w:t>1,339.38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ABE409">
            <w:pPr>
              <w:jc w:val="center"/>
            </w:pPr>
            <w:r>
              <w:rPr>
                <w:rFonts w:ascii="宋体" w:hAnsi="宋体" w:eastAsia="宋体"/>
                <w:sz w:val="16"/>
              </w:rPr>
              <w:t>1,208.30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5CDD3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0B05F7">
            <w:pPr>
              <w:jc w:val="center"/>
            </w:pPr>
            <w:r>
              <w:rPr>
                <w:rFonts w:ascii="宋体" w:hAnsi="宋体" w:eastAsia="宋体"/>
                <w:sz w:val="16"/>
              </w:rPr>
              <w:t>90.21%</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4C0D9">
            <w:pPr>
              <w:jc w:val="center"/>
            </w:pPr>
            <w:r>
              <w:rPr>
                <w:rFonts w:ascii="宋体" w:hAnsi="宋体" w:eastAsia="宋体"/>
                <w:sz w:val="16"/>
              </w:rPr>
              <w:t>9.02</w:t>
            </w:r>
          </w:p>
        </w:tc>
      </w:tr>
      <w:tr w14:paraId="278E0E2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BBA86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A0549">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8E7940">
            <w:pPr>
              <w:jc w:val="center"/>
            </w:pPr>
            <w:r>
              <w:rPr>
                <w:rFonts w:ascii="宋体" w:hAnsi="宋体" w:eastAsia="宋体"/>
                <w:sz w:val="16"/>
              </w:rPr>
              <w:t>541.48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8E8C76">
            <w:pPr>
              <w:jc w:val="center"/>
            </w:pPr>
            <w:r>
              <w:rPr>
                <w:rFonts w:ascii="宋体" w:hAnsi="宋体" w:eastAsia="宋体"/>
                <w:sz w:val="16"/>
              </w:rPr>
              <w:t>570.29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0B093D">
            <w:pPr>
              <w:jc w:val="center"/>
            </w:pPr>
            <w:r>
              <w:rPr>
                <w:rFonts w:ascii="宋体" w:hAnsi="宋体" w:eastAsia="宋体"/>
                <w:sz w:val="16"/>
              </w:rPr>
              <w:t>554.88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26B7A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9F7DA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08690">
            <w:pPr>
              <w:jc w:val="center"/>
            </w:pPr>
            <w:r>
              <w:rPr>
                <w:rFonts w:ascii="宋体" w:hAnsi="宋体" w:eastAsia="宋体"/>
                <w:sz w:val="16"/>
              </w:rPr>
              <w:t>—</w:t>
            </w:r>
          </w:p>
        </w:tc>
      </w:tr>
      <w:tr w14:paraId="62589D5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A902D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B9EF29">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4996A6">
            <w:pPr>
              <w:jc w:val="center"/>
            </w:pPr>
            <w:r>
              <w:rPr>
                <w:rFonts w:ascii="宋体" w:hAnsi="宋体" w:eastAsia="宋体"/>
                <w:sz w:val="16"/>
              </w:rPr>
              <w:t>512.78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1C56BA">
            <w:pPr>
              <w:jc w:val="center"/>
            </w:pPr>
            <w:r>
              <w:rPr>
                <w:rFonts w:ascii="宋体" w:hAnsi="宋体" w:eastAsia="宋体"/>
                <w:sz w:val="16"/>
              </w:rPr>
              <w:t>649.27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5F7A20">
            <w:pPr>
              <w:jc w:val="center"/>
            </w:pPr>
            <w:r>
              <w:rPr>
                <w:rFonts w:ascii="宋体" w:hAnsi="宋体" w:eastAsia="宋体"/>
                <w:sz w:val="16"/>
              </w:rPr>
              <w:t>604.11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0B5C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AFA00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91AA4">
            <w:pPr>
              <w:jc w:val="center"/>
            </w:pPr>
            <w:r>
              <w:rPr>
                <w:rFonts w:ascii="宋体" w:hAnsi="宋体" w:eastAsia="宋体"/>
                <w:sz w:val="16"/>
              </w:rPr>
              <w:t>—</w:t>
            </w:r>
          </w:p>
        </w:tc>
      </w:tr>
      <w:tr w14:paraId="1B97241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1C7EB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DE71A">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5801F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C48792">
            <w:pPr>
              <w:jc w:val="center"/>
            </w:pPr>
            <w:r>
              <w:rPr>
                <w:rFonts w:ascii="宋体" w:hAnsi="宋体" w:eastAsia="宋体"/>
                <w:sz w:val="16"/>
              </w:rPr>
              <w:t>119.82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C65880">
            <w:pPr>
              <w:jc w:val="center"/>
            </w:pPr>
            <w:r>
              <w:rPr>
                <w:rFonts w:ascii="宋体" w:hAnsi="宋体" w:eastAsia="宋体"/>
                <w:sz w:val="16"/>
              </w:rPr>
              <w:t>49.31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A1AAA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3E25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9DF79">
            <w:pPr>
              <w:jc w:val="center"/>
            </w:pPr>
            <w:r>
              <w:rPr>
                <w:rFonts w:ascii="宋体" w:hAnsi="宋体" w:eastAsia="宋体"/>
                <w:sz w:val="16"/>
              </w:rPr>
              <w:t>—</w:t>
            </w:r>
          </w:p>
        </w:tc>
      </w:tr>
      <w:tr w14:paraId="0058BFE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31346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D869763">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69BCAE">
            <w:pPr>
              <w:jc w:val="center"/>
            </w:pPr>
            <w:r>
              <w:rPr>
                <w:rFonts w:ascii="宋体" w:hAnsi="宋体" w:eastAsia="宋体"/>
                <w:sz w:val="16"/>
              </w:rPr>
              <w:t>实际完成情况</w:t>
            </w:r>
          </w:p>
        </w:tc>
      </w:tr>
      <w:tr w14:paraId="61A6542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A765F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779944D">
            <w:pPr>
              <w:jc w:val="both"/>
            </w:pPr>
            <w:r>
              <w:rPr>
                <w:rFonts w:ascii="宋体" w:hAnsi="宋体" w:eastAsia="宋体"/>
                <w:sz w:val="16"/>
              </w:rPr>
              <w:t>（1）加强文物安全管理，加大文物安全检查力度，提高安全防范能力，降低文物安全事故发生率；</w:t>
            </w:r>
            <w:r>
              <w:rPr>
                <w:rFonts w:ascii="宋体" w:hAnsi="宋体" w:eastAsia="宋体"/>
                <w:sz w:val="16"/>
              </w:rPr>
              <w:br w:type="textWrapping"/>
            </w:r>
            <w:r>
              <w:rPr>
                <w:rFonts w:ascii="宋体" w:hAnsi="宋体" w:eastAsia="宋体"/>
                <w:sz w:val="16"/>
              </w:rPr>
              <w:t>（2）加大文物保护力度，验收重大项目工程，推动文物保护利用，让文物“活”起来；</w:t>
            </w:r>
            <w:r>
              <w:rPr>
                <w:rFonts w:ascii="宋体" w:hAnsi="宋体" w:eastAsia="宋体"/>
                <w:sz w:val="16"/>
              </w:rPr>
              <w:br w:type="textWrapping"/>
            </w:r>
            <w:r>
              <w:rPr>
                <w:rFonts w:ascii="宋体" w:hAnsi="宋体" w:eastAsia="宋体"/>
                <w:sz w:val="16"/>
              </w:rPr>
              <w:t>（3）通过举办展览、流动博物馆，研发文创产品等渠道做好文物宣传展示，提高博物馆免费开放水平。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35F549">
            <w:pPr>
              <w:jc w:val="both"/>
            </w:pPr>
            <w:r>
              <w:rPr>
                <w:rFonts w:ascii="宋体" w:hAnsi="宋体" w:eastAsia="宋体"/>
                <w:sz w:val="16"/>
              </w:rPr>
              <w:t>2024年组织开展了2次安全检查工作，与县市文物管理部门签订安全责任书，推动各级文博单位安全责任人公告公示全覆盖；推进文物保护单位“两线”划定、保护标志牌树立、记录档案编制整理等工作；开展了30场次的流动博物馆，发布了50条的抖音宣传视频和50条的公众号宣传，制作推出线上文物展览、文物故事、历史知识视频，同时举办了临展，研发文创产品等渠道做好文物宣传展示，提高博物馆免费开放水平；大大加</w:t>
            </w:r>
            <w:r>
              <w:rPr>
                <w:rFonts w:hint="eastAsia" w:ascii="宋体" w:hAnsi="宋体"/>
                <w:sz w:val="16"/>
                <w:lang w:eastAsia="zh-CN"/>
              </w:rPr>
              <w:t>强</w:t>
            </w:r>
            <w:r>
              <w:rPr>
                <w:rFonts w:ascii="宋体" w:hAnsi="宋体" w:eastAsia="宋体"/>
                <w:sz w:val="16"/>
              </w:rPr>
              <w:t>了文物安全管理，加大文物安全检查力度，宣传安全检查的重要性，提高安全防范意识。</w:t>
            </w:r>
          </w:p>
        </w:tc>
      </w:tr>
      <w:tr w14:paraId="5E4D88B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942A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1E01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C2952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C254F">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F5461E">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51840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A715A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72BCD">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067DF1">
            <w:pPr>
              <w:jc w:val="center"/>
            </w:pPr>
            <w:r>
              <w:rPr>
                <w:rFonts w:ascii="宋体" w:hAnsi="宋体" w:eastAsia="宋体"/>
                <w:sz w:val="16"/>
              </w:rPr>
              <w:t>得分</w:t>
            </w:r>
          </w:p>
        </w:tc>
      </w:tr>
      <w:tr w14:paraId="51D4C11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A9C185">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CF2BB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946EE">
            <w:pPr>
              <w:jc w:val="center"/>
            </w:pPr>
            <w:r>
              <w:rPr>
                <w:rFonts w:ascii="宋体" w:hAnsi="宋体" w:eastAsia="宋体"/>
                <w:sz w:val="16"/>
              </w:rPr>
              <w:t>公众号宣传条数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D3207">
            <w:pPr>
              <w:jc w:val="center"/>
            </w:pPr>
            <w:r>
              <w:rPr>
                <w:rFonts w:ascii="宋体" w:hAnsi="宋体" w:eastAsia="宋体"/>
                <w:sz w:val="16"/>
              </w:rPr>
              <w:t>&gt;=50条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587EE7">
            <w:pPr>
              <w:jc w:val="center"/>
            </w:pPr>
            <w:r>
              <w:rPr>
                <w:rFonts w:ascii="宋体" w:hAnsi="宋体" w:eastAsia="宋体"/>
                <w:sz w:val="16"/>
              </w:rPr>
              <w:t>喀什地区博物馆（文物局）2024年工作计划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D72A09">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B78CD3">
            <w:pPr>
              <w:jc w:val="center"/>
            </w:pPr>
            <w:r>
              <w:rPr>
                <w:rFonts w:ascii="宋体" w:hAnsi="宋体" w:eastAsia="宋体"/>
                <w:sz w:val="16"/>
              </w:rPr>
              <w:t>50条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E1A97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557F38">
            <w:pPr>
              <w:jc w:val="center"/>
            </w:pPr>
            <w:r>
              <w:rPr>
                <w:rFonts w:ascii="宋体" w:hAnsi="宋体" w:eastAsia="宋体"/>
                <w:sz w:val="16"/>
              </w:rPr>
              <w:t>18</w:t>
            </w:r>
          </w:p>
        </w:tc>
      </w:tr>
      <w:tr w14:paraId="0F01B8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D08B3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1B40E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61DF3">
            <w:pPr>
              <w:jc w:val="center"/>
            </w:pPr>
            <w:r>
              <w:rPr>
                <w:rFonts w:ascii="宋体" w:hAnsi="宋体" w:eastAsia="宋体"/>
                <w:sz w:val="16"/>
              </w:rPr>
              <w:t>开展流动博物馆次数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651FC6">
            <w:pPr>
              <w:jc w:val="center"/>
            </w:pPr>
            <w:r>
              <w:rPr>
                <w:rFonts w:ascii="宋体" w:hAnsi="宋体" w:eastAsia="宋体"/>
                <w:sz w:val="16"/>
              </w:rPr>
              <w:t>&gt;=30场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8B6E6E">
            <w:pPr>
              <w:jc w:val="center"/>
            </w:pPr>
            <w:r>
              <w:rPr>
                <w:rFonts w:ascii="宋体" w:hAnsi="宋体" w:eastAsia="宋体"/>
                <w:sz w:val="16"/>
              </w:rPr>
              <w:t>喀什地区博物馆（文物局）2024年工作计划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D6060B">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AE33D5">
            <w:pPr>
              <w:jc w:val="center"/>
            </w:pPr>
            <w:r>
              <w:rPr>
                <w:rFonts w:ascii="宋体" w:hAnsi="宋体" w:eastAsia="宋体"/>
                <w:sz w:val="16"/>
              </w:rPr>
              <w:t>30场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3B6E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5D6332">
            <w:pPr>
              <w:jc w:val="center"/>
            </w:pPr>
            <w:r>
              <w:rPr>
                <w:rFonts w:ascii="宋体" w:hAnsi="宋体" w:eastAsia="宋体"/>
                <w:sz w:val="16"/>
              </w:rPr>
              <w:t>18</w:t>
            </w:r>
          </w:p>
        </w:tc>
      </w:tr>
      <w:tr w14:paraId="4F682EE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88DBD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E0C46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B72C1">
            <w:pPr>
              <w:jc w:val="center"/>
            </w:pPr>
            <w:r>
              <w:rPr>
                <w:rFonts w:ascii="宋体" w:hAnsi="宋体" w:eastAsia="宋体"/>
                <w:sz w:val="16"/>
              </w:rPr>
              <w:t>安全检查次数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92FA98">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496EC9">
            <w:pPr>
              <w:jc w:val="center"/>
            </w:pPr>
            <w:r>
              <w:rPr>
                <w:rFonts w:ascii="宋体" w:hAnsi="宋体" w:eastAsia="宋体"/>
                <w:sz w:val="16"/>
              </w:rPr>
              <w:t>喀什地区博物馆（文物局）202</w:t>
            </w:r>
            <w:r>
              <w:rPr>
                <w:rFonts w:hint="eastAsia" w:ascii="宋体" w:hAnsi="宋体"/>
                <w:sz w:val="16"/>
                <w:lang w:val="en-US" w:eastAsia="zh-CN"/>
              </w:rPr>
              <w:t>4</w:t>
            </w:r>
            <w:r>
              <w:rPr>
                <w:rFonts w:ascii="宋体" w:hAnsi="宋体" w:eastAsia="宋体"/>
                <w:sz w:val="16"/>
              </w:rPr>
              <w:t>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95358A">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4DE3B">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E04D6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AF5B57">
            <w:pPr>
              <w:jc w:val="center"/>
            </w:pPr>
            <w:r>
              <w:rPr>
                <w:rFonts w:ascii="宋体" w:hAnsi="宋体" w:eastAsia="宋体"/>
                <w:sz w:val="16"/>
              </w:rPr>
              <w:t>18</w:t>
            </w:r>
          </w:p>
        </w:tc>
      </w:tr>
      <w:tr w14:paraId="4B0458F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7551D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12B28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BE288A">
            <w:pPr>
              <w:jc w:val="center"/>
            </w:pPr>
            <w:r>
              <w:rPr>
                <w:rFonts w:ascii="宋体" w:hAnsi="宋体" w:eastAsia="宋体"/>
                <w:sz w:val="16"/>
              </w:rPr>
              <w:t>抖音宣传条数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875C84">
            <w:pPr>
              <w:jc w:val="center"/>
            </w:pPr>
            <w:r>
              <w:rPr>
                <w:rFonts w:ascii="宋体" w:hAnsi="宋体" w:eastAsia="宋体"/>
                <w:sz w:val="16"/>
              </w:rPr>
              <w:t>&gt;=50条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319E33">
            <w:pPr>
              <w:jc w:val="center"/>
            </w:pPr>
            <w:r>
              <w:rPr>
                <w:rFonts w:ascii="宋体" w:hAnsi="宋体" w:eastAsia="宋体"/>
                <w:sz w:val="16"/>
              </w:rPr>
              <w:t>喀什地区博物馆（文物局）2024年工作计划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341F14">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463284">
            <w:pPr>
              <w:jc w:val="center"/>
            </w:pPr>
            <w:r>
              <w:rPr>
                <w:rFonts w:ascii="宋体" w:hAnsi="宋体" w:eastAsia="宋体"/>
                <w:sz w:val="16"/>
              </w:rPr>
              <w:t>50条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F5473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C4B31">
            <w:pPr>
              <w:jc w:val="center"/>
            </w:pPr>
            <w:r>
              <w:rPr>
                <w:rFonts w:ascii="宋体" w:hAnsi="宋体" w:eastAsia="宋体"/>
                <w:sz w:val="16"/>
              </w:rPr>
              <w:t>18</w:t>
            </w:r>
          </w:p>
        </w:tc>
      </w:tr>
      <w:tr w14:paraId="08B1104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1473B">
            <w:pPr>
              <w:jc w:val="center"/>
            </w:pPr>
            <w:r>
              <w:rPr>
                <w:rFonts w:ascii="宋体" w:hAnsi="宋体" w:eastAsia="宋体"/>
                <w:sz w:val="16"/>
              </w:rPr>
              <w:t>服务对象满意度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C5513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125FE8">
            <w:pPr>
              <w:jc w:val="center"/>
            </w:pPr>
            <w:r>
              <w:rPr>
                <w:rFonts w:ascii="宋体" w:hAnsi="宋体" w:eastAsia="宋体"/>
                <w:sz w:val="16"/>
              </w:rPr>
              <w:t>游客对博物馆服务水平满意度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0BA38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78FEB2">
            <w:pPr>
              <w:jc w:val="center"/>
            </w:pPr>
            <w:r>
              <w:rPr>
                <w:rFonts w:ascii="宋体" w:hAnsi="宋体" w:eastAsia="宋体"/>
                <w:sz w:val="16"/>
              </w:rPr>
              <w:t>喀什地区博物馆（文物局）2024年工作计划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21D7EB">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B57977">
            <w:pPr>
              <w:jc w:val="center"/>
            </w:pPr>
            <w:r>
              <w:rPr>
                <w:rFonts w:ascii="宋体" w:hAnsi="宋体" w:eastAsia="宋体"/>
                <w:sz w:val="16"/>
              </w:rPr>
              <w:t>95.9%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7AF10">
            <w:pPr>
              <w:jc w:val="center"/>
            </w:pPr>
            <w:r>
              <w:rPr>
                <w:rFonts w:ascii="宋体" w:hAnsi="宋体" w:eastAsia="宋体"/>
                <w:sz w:val="16"/>
              </w:rPr>
              <w:t>100.95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A1505D">
            <w:pPr>
              <w:jc w:val="center"/>
            </w:pPr>
            <w:r>
              <w:rPr>
                <w:rFonts w:ascii="宋体" w:hAnsi="宋体" w:eastAsia="宋体"/>
                <w:sz w:val="16"/>
              </w:rPr>
              <w:t>18</w:t>
            </w:r>
          </w:p>
        </w:tc>
      </w:tr>
    </w:tbl>
    <w:p w14:paraId="2047FFB2">
      <w:r>
        <w:br w:type="page"/>
      </w:r>
    </w:p>
    <w:tbl>
      <w:tblPr>
        <w:tblStyle w:val="9"/>
        <w:tblW w:w="0" w:type="auto"/>
        <w:tblInd w:w="0" w:type="dxa"/>
        <w:tblLayout w:type="autofit"/>
        <w:tblCellMar>
          <w:top w:w="0" w:type="dxa"/>
          <w:left w:w="108" w:type="dxa"/>
          <w:bottom w:w="0" w:type="dxa"/>
          <w:right w:w="108" w:type="dxa"/>
        </w:tblCellMar>
      </w:tblPr>
      <w:tblGrid>
        <w:gridCol w:w="630"/>
        <w:gridCol w:w="625"/>
        <w:gridCol w:w="625"/>
        <w:gridCol w:w="696"/>
        <w:gridCol w:w="696"/>
        <w:gridCol w:w="625"/>
        <w:gridCol w:w="632"/>
        <w:gridCol w:w="627"/>
        <w:gridCol w:w="625"/>
        <w:gridCol w:w="625"/>
        <w:gridCol w:w="776"/>
        <w:gridCol w:w="632"/>
        <w:gridCol w:w="617"/>
        <w:gridCol w:w="629"/>
      </w:tblGrid>
      <w:tr w14:paraId="46A5588B">
        <w:tblPrEx>
          <w:tblCellMar>
            <w:top w:w="0" w:type="dxa"/>
            <w:left w:w="108" w:type="dxa"/>
            <w:bottom w:w="0" w:type="dxa"/>
            <w:right w:w="108" w:type="dxa"/>
          </w:tblCellMar>
        </w:tblPrEx>
        <w:tc>
          <w:tcPr>
            <w:tcW w:w="8848" w:type="dxa"/>
            <w:gridSpan w:val="14"/>
            <w:vAlign w:val="center"/>
          </w:tcPr>
          <w:p w14:paraId="3FF84375">
            <w:pPr>
              <w:jc w:val="center"/>
            </w:pPr>
            <w:r>
              <w:rPr>
                <w:rFonts w:ascii="宋体" w:hAnsi="宋体" w:eastAsia="宋体"/>
                <w:sz w:val="24"/>
              </w:rPr>
              <w:t>项目支出绩效自评表</w:t>
            </w:r>
          </w:p>
        </w:tc>
      </w:tr>
      <w:tr w14:paraId="43E49298">
        <w:tblPrEx>
          <w:tblCellMar>
            <w:top w:w="0" w:type="dxa"/>
            <w:left w:w="108" w:type="dxa"/>
            <w:bottom w:w="0" w:type="dxa"/>
            <w:right w:w="108" w:type="dxa"/>
          </w:tblCellMar>
        </w:tblPrEx>
        <w:tc>
          <w:tcPr>
            <w:tcW w:w="8848" w:type="dxa"/>
            <w:gridSpan w:val="14"/>
            <w:vAlign w:val="center"/>
          </w:tcPr>
          <w:p w14:paraId="4FE3DF36">
            <w:pPr>
              <w:jc w:val="center"/>
            </w:pPr>
            <w:r>
              <w:rPr>
                <w:rFonts w:ascii="宋体" w:hAnsi="宋体" w:eastAsia="宋体"/>
                <w:sz w:val="24"/>
              </w:rPr>
              <w:t>(2024年度)</w:t>
            </w:r>
          </w:p>
        </w:tc>
      </w:tr>
      <w:tr w14:paraId="0F9CB6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E277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29D9E3D">
            <w:pPr>
              <w:jc w:val="center"/>
            </w:pPr>
            <w:r>
              <w:rPr>
                <w:rFonts w:ascii="宋体" w:hAnsi="宋体" w:eastAsia="宋体"/>
                <w:sz w:val="16"/>
              </w:rPr>
              <w:t>2024年博物馆免费开放补助资金项目</w:t>
            </w:r>
          </w:p>
        </w:tc>
      </w:tr>
      <w:tr w14:paraId="0CB370B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B1DA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1EDE1C">
            <w:pPr>
              <w:jc w:val="center"/>
            </w:pPr>
            <w:r>
              <w:rPr>
                <w:rFonts w:hint="eastAsia" w:ascii="宋体" w:hAnsi="宋体" w:eastAsia="宋体"/>
                <w:sz w:val="16"/>
              </w:rPr>
              <w:t>新疆维吾尔自治区喀什地区文化广播电视和旅游局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EA6A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22D41E">
            <w:pPr>
              <w:jc w:val="center"/>
            </w:pPr>
            <w:r>
              <w:rPr>
                <w:rFonts w:ascii="宋体" w:hAnsi="宋体" w:eastAsia="宋体"/>
                <w:sz w:val="16"/>
              </w:rPr>
              <w:t>喀什地区文物局</w:t>
            </w:r>
          </w:p>
        </w:tc>
      </w:tr>
      <w:tr w14:paraId="504A524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E3AC4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5303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14B0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83DB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E647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CB07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9AD2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0E45C">
            <w:pPr>
              <w:jc w:val="center"/>
            </w:pPr>
            <w:r>
              <w:rPr>
                <w:rFonts w:ascii="宋体" w:hAnsi="宋体" w:eastAsia="宋体"/>
                <w:sz w:val="16"/>
              </w:rPr>
              <w:t>得分</w:t>
            </w:r>
          </w:p>
        </w:tc>
      </w:tr>
      <w:tr w14:paraId="6C89E2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7FF6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45B3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6BEB5">
            <w:pPr>
              <w:jc w:val="center"/>
            </w:pPr>
            <w:r>
              <w:rPr>
                <w:rFonts w:ascii="宋体" w:hAnsi="宋体" w:eastAsia="宋体"/>
                <w:sz w:val="16"/>
              </w:rPr>
              <w:t>250.00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32072">
            <w:pPr>
              <w:jc w:val="center"/>
            </w:pPr>
            <w:r>
              <w:rPr>
                <w:rFonts w:ascii="宋体" w:hAnsi="宋体" w:eastAsia="宋体"/>
                <w:sz w:val="16"/>
              </w:rPr>
              <w:t>250.00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A63A1">
            <w:pPr>
              <w:jc w:val="center"/>
            </w:pPr>
            <w:r>
              <w:rPr>
                <w:rFonts w:ascii="宋体" w:hAnsi="宋体" w:eastAsia="宋体"/>
                <w:sz w:val="16"/>
              </w:rPr>
              <w:t>241.38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C0A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B6E75">
            <w:pPr>
              <w:jc w:val="center"/>
            </w:pPr>
            <w:r>
              <w:rPr>
                <w:rFonts w:ascii="宋体" w:hAnsi="宋体" w:eastAsia="宋体"/>
                <w:sz w:val="16"/>
              </w:rPr>
              <w:t>96.6%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2605D">
            <w:pPr>
              <w:jc w:val="center"/>
            </w:pPr>
            <w:r>
              <w:rPr>
                <w:rFonts w:ascii="宋体" w:hAnsi="宋体" w:eastAsia="宋体"/>
                <w:sz w:val="16"/>
              </w:rPr>
              <w:t>9.</w:t>
            </w:r>
            <w:r>
              <w:rPr>
                <w:rFonts w:hint="eastAsia" w:ascii="宋体" w:hAnsi="宋体"/>
                <w:sz w:val="16"/>
                <w:lang w:val="en-US" w:eastAsia="zh-CN"/>
              </w:rPr>
              <w:t>7</w:t>
            </w:r>
            <w:r>
              <w:rPr>
                <w:rFonts w:ascii="宋体" w:hAnsi="宋体" w:eastAsia="宋体"/>
                <w:sz w:val="16"/>
              </w:rPr>
              <w:t>分</w:t>
            </w:r>
          </w:p>
        </w:tc>
      </w:tr>
      <w:tr w14:paraId="734B9F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D9C0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0122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5818C">
            <w:pPr>
              <w:jc w:val="center"/>
            </w:pPr>
            <w:r>
              <w:rPr>
                <w:rFonts w:ascii="宋体" w:hAnsi="宋体" w:eastAsia="宋体"/>
                <w:sz w:val="16"/>
              </w:rPr>
              <w:t>250.00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C576A">
            <w:pPr>
              <w:jc w:val="center"/>
            </w:pPr>
            <w:r>
              <w:rPr>
                <w:rFonts w:ascii="宋体" w:hAnsi="宋体" w:eastAsia="宋体"/>
                <w:sz w:val="16"/>
              </w:rPr>
              <w:t>250.00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E44E4">
            <w:pPr>
              <w:jc w:val="center"/>
            </w:pPr>
            <w:r>
              <w:rPr>
                <w:rFonts w:ascii="宋体" w:hAnsi="宋体" w:eastAsia="宋体"/>
                <w:sz w:val="16"/>
              </w:rPr>
              <w:t>241.38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A9E0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DEB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36DBC">
            <w:pPr>
              <w:jc w:val="center"/>
            </w:pPr>
            <w:r>
              <w:rPr>
                <w:rFonts w:ascii="宋体" w:hAnsi="宋体" w:eastAsia="宋体"/>
                <w:sz w:val="16"/>
              </w:rPr>
              <w:t>—</w:t>
            </w:r>
          </w:p>
        </w:tc>
      </w:tr>
      <w:tr w14:paraId="1A2ED0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7885E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62F1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1B9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6B1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8104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5B49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3FA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82468">
            <w:pPr>
              <w:jc w:val="center"/>
            </w:pPr>
            <w:r>
              <w:rPr>
                <w:rFonts w:ascii="宋体" w:hAnsi="宋体" w:eastAsia="宋体"/>
                <w:sz w:val="16"/>
              </w:rPr>
              <w:t>—</w:t>
            </w:r>
          </w:p>
        </w:tc>
      </w:tr>
      <w:tr w14:paraId="561D56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3AEB8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61F3C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1E6A7D">
            <w:pPr>
              <w:jc w:val="center"/>
            </w:pPr>
            <w:r>
              <w:rPr>
                <w:rFonts w:ascii="宋体" w:hAnsi="宋体" w:eastAsia="宋体"/>
                <w:sz w:val="16"/>
              </w:rPr>
              <w:t>实际完成情况</w:t>
            </w:r>
          </w:p>
        </w:tc>
      </w:tr>
      <w:tr w14:paraId="7E8EEE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08636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17C146">
            <w:pPr>
              <w:jc w:val="both"/>
            </w:pPr>
            <w:r>
              <w:rPr>
                <w:rFonts w:ascii="宋体" w:hAnsi="宋体" w:eastAsia="宋体"/>
                <w:sz w:val="16"/>
              </w:rPr>
              <w:t>2023年博物馆免费开放补助资金共250万元，其中上级转移支付资金250万元，其他资金0。博物馆免费开放项目的实施有利于博物馆展览服务能力和服务质量的提升。该项目通过接待游客、提供免费讲解，开展社教活动等，来达到提高公共文化服务能力和服务水平，促进博物馆事业可持续发展的目的。该项目的实施，保障了博</w:t>
            </w:r>
            <w:r>
              <w:rPr>
                <w:rFonts w:hint="eastAsia" w:ascii="宋体" w:hAnsi="宋体"/>
                <w:sz w:val="16"/>
                <w:lang w:eastAsia="zh-CN"/>
              </w:rPr>
              <w:t>物馆</w:t>
            </w:r>
            <w:r>
              <w:rPr>
                <w:rFonts w:ascii="宋体" w:hAnsi="宋体" w:eastAsia="宋体"/>
                <w:sz w:val="16"/>
              </w:rPr>
              <w:t>的日常运转及运作，同时也更好</w:t>
            </w:r>
            <w:r>
              <w:rPr>
                <w:rFonts w:hint="eastAsia" w:ascii="宋体" w:hAnsi="宋体"/>
                <w:sz w:val="16"/>
                <w:lang w:eastAsia="zh-CN"/>
              </w:rPr>
              <w:t>地</w:t>
            </w:r>
            <w:r>
              <w:rPr>
                <w:rFonts w:ascii="宋体" w:hAnsi="宋体" w:eastAsia="宋体"/>
                <w:sz w:val="16"/>
              </w:rPr>
              <w:t>展示了文物，体现了历史底蕴。博物馆每天开馆时间为8个小时，每年免费开放时间315天，博物馆每年提供免费讲解次数2205场次，每年接待游客超100000人次，达到的效益是逐步提高游客参观博物馆服务能力，持续免费开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565E54">
            <w:pPr>
              <w:jc w:val="both"/>
            </w:pPr>
            <w:r>
              <w:rPr>
                <w:rFonts w:ascii="宋体" w:hAnsi="宋体" w:eastAsia="宋体"/>
                <w:sz w:val="16"/>
              </w:rPr>
              <w:t>2024年博物馆免费开放补助资金共250万元，截至2024年12月31日前共计支出241.38万元。喀什地区博物馆2024年每天开馆时间为8小时，免费开放时间315天，提供免费讲解次数2205场次，接待游客超100000人次，该项目的实施有利于博物馆展览服务能力和服务质量的提升，通过接待游客、提供免费讲解，开展社教活动等，来达到提高公共文化服务能力和服务水平，促进博物馆事业可持续发展的目的，保障了博</w:t>
            </w:r>
            <w:r>
              <w:rPr>
                <w:rFonts w:hint="eastAsia" w:ascii="宋体" w:hAnsi="宋体"/>
                <w:sz w:val="16"/>
                <w:lang w:eastAsia="zh-CN"/>
              </w:rPr>
              <w:t>物馆</w:t>
            </w:r>
            <w:r>
              <w:rPr>
                <w:rFonts w:ascii="宋体" w:hAnsi="宋体" w:eastAsia="宋体"/>
                <w:sz w:val="16"/>
              </w:rPr>
              <w:t>的日常运转及运作，同时也更好</w:t>
            </w:r>
            <w:r>
              <w:rPr>
                <w:rFonts w:hint="eastAsia" w:ascii="宋体" w:hAnsi="宋体"/>
                <w:sz w:val="16"/>
                <w:lang w:eastAsia="zh-CN"/>
              </w:rPr>
              <w:t>地</w:t>
            </w:r>
            <w:r>
              <w:rPr>
                <w:rFonts w:ascii="宋体" w:hAnsi="宋体" w:eastAsia="宋体"/>
                <w:sz w:val="16"/>
              </w:rPr>
              <w:t>展示了文物，体现了历史底蕴。</w:t>
            </w:r>
          </w:p>
        </w:tc>
      </w:tr>
      <w:tr w14:paraId="77D47E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3F46B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1FF9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04CE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F140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B687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8285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7AF0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50B9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5B53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292A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87C0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3144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F900C">
            <w:pPr>
              <w:jc w:val="center"/>
            </w:pPr>
            <w:r>
              <w:rPr>
                <w:rFonts w:ascii="宋体" w:hAnsi="宋体" w:eastAsia="宋体"/>
                <w:sz w:val="16"/>
              </w:rPr>
              <w:t>偏差原因分析及改进措施</w:t>
            </w:r>
          </w:p>
        </w:tc>
      </w:tr>
      <w:tr w14:paraId="75B5F9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2A23E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6A153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7BC02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6FC60">
            <w:pPr>
              <w:jc w:val="center"/>
            </w:pPr>
            <w:r>
              <w:rPr>
                <w:rFonts w:ascii="宋体" w:hAnsi="宋体" w:eastAsia="宋体"/>
                <w:sz w:val="16"/>
              </w:rPr>
              <w:t>安排运行的博物馆（家）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45F9B">
            <w:pPr>
              <w:jc w:val="center"/>
            </w:pPr>
            <w:r>
              <w:rPr>
                <w:rFonts w:ascii="宋体" w:hAnsi="宋体" w:eastAsia="宋体"/>
                <w:sz w:val="16"/>
              </w:rPr>
              <w:t>&gt;=1家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A52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5AA31">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BEFE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D85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D1A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2AE8A">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0E3B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0FB9E">
            <w:pPr>
              <w:jc w:val="center"/>
            </w:pPr>
          </w:p>
        </w:tc>
      </w:tr>
      <w:tr w14:paraId="428A85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188D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DDD4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0235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1E413">
            <w:pPr>
              <w:jc w:val="center"/>
            </w:pPr>
            <w:r>
              <w:rPr>
                <w:rFonts w:ascii="宋体" w:hAnsi="宋体" w:eastAsia="宋体"/>
                <w:sz w:val="16"/>
              </w:rPr>
              <w:t>免费开放天数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82B1F">
            <w:pPr>
              <w:jc w:val="center"/>
            </w:pPr>
            <w:r>
              <w:rPr>
                <w:rFonts w:ascii="宋体" w:hAnsi="宋体" w:eastAsia="宋体"/>
                <w:sz w:val="16"/>
              </w:rPr>
              <w:t>&gt;=315天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813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B9424">
            <w:pPr>
              <w:jc w:val="center"/>
            </w:pPr>
            <w:r>
              <w:rPr>
                <w:rFonts w:ascii="宋体" w:hAnsi="宋体" w:eastAsia="宋体"/>
                <w:sz w:val="16"/>
              </w:rPr>
              <w:t>300天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7944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EAD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B07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B7C87">
            <w:pPr>
              <w:jc w:val="center"/>
            </w:pPr>
            <w:r>
              <w:rPr>
                <w:rFonts w:ascii="宋体" w:hAnsi="宋体" w:eastAsia="宋体"/>
                <w:sz w:val="16"/>
              </w:rPr>
              <w:t>=315天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07DC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9F439">
            <w:pPr>
              <w:jc w:val="center"/>
            </w:pPr>
          </w:p>
        </w:tc>
      </w:tr>
      <w:tr w14:paraId="6444E3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B27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254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909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C5D53">
            <w:pPr>
              <w:jc w:val="center"/>
            </w:pPr>
            <w:r>
              <w:rPr>
                <w:rFonts w:ascii="宋体" w:hAnsi="宋体" w:eastAsia="宋体"/>
                <w:sz w:val="16"/>
              </w:rPr>
              <w:t>免费讲解次数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8F810">
            <w:pPr>
              <w:jc w:val="center"/>
            </w:pPr>
            <w:r>
              <w:rPr>
                <w:rFonts w:ascii="宋体" w:hAnsi="宋体" w:eastAsia="宋体"/>
                <w:sz w:val="16"/>
              </w:rPr>
              <w:t>&gt;=2205次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429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63C77">
            <w:pPr>
              <w:jc w:val="center"/>
            </w:pPr>
            <w:r>
              <w:rPr>
                <w:rFonts w:ascii="宋体" w:hAnsi="宋体" w:eastAsia="宋体"/>
                <w:sz w:val="16"/>
              </w:rPr>
              <w:t>1000次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1A68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5DA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F04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6B8CA">
            <w:pPr>
              <w:jc w:val="center"/>
            </w:pPr>
            <w:r>
              <w:rPr>
                <w:rFonts w:ascii="宋体" w:hAnsi="宋体" w:eastAsia="宋体"/>
                <w:sz w:val="16"/>
              </w:rPr>
              <w:t>=2205次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3D96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F76FE">
            <w:pPr>
              <w:jc w:val="center"/>
            </w:pPr>
          </w:p>
        </w:tc>
      </w:tr>
      <w:tr w14:paraId="07A461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51D6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D958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F907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6A5EE">
            <w:pPr>
              <w:jc w:val="center"/>
            </w:pPr>
            <w:r>
              <w:rPr>
                <w:rFonts w:ascii="宋体" w:hAnsi="宋体" w:eastAsia="宋体"/>
                <w:sz w:val="16"/>
              </w:rPr>
              <w:t>博物馆正常运转率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76F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CEB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579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22EC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0FCD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793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B5C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013A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04330">
            <w:pPr>
              <w:jc w:val="center"/>
            </w:pPr>
          </w:p>
        </w:tc>
      </w:tr>
      <w:tr w14:paraId="558CD8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843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E57D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D2BC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3E8D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0DB96">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D6A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8CB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F72C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D66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C30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9D49A">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5D4F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5E9EA">
            <w:pPr>
              <w:jc w:val="center"/>
            </w:pPr>
          </w:p>
        </w:tc>
      </w:tr>
      <w:tr w14:paraId="58DED3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A43BB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DB83D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D1692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B80DB">
            <w:pPr>
              <w:jc w:val="center"/>
            </w:pPr>
            <w:r>
              <w:rPr>
                <w:rFonts w:ascii="宋体" w:hAnsi="宋体" w:eastAsia="宋体"/>
                <w:sz w:val="16"/>
              </w:rPr>
              <w:t>博物馆水费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301B3">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C64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7E3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DD7C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372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E5F0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A490E">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4C68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21D42">
            <w:pPr>
              <w:jc w:val="center"/>
            </w:pPr>
          </w:p>
        </w:tc>
      </w:tr>
      <w:tr w14:paraId="6547F0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6682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40EC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192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5943F">
            <w:pPr>
              <w:jc w:val="center"/>
            </w:pPr>
            <w:r>
              <w:rPr>
                <w:rFonts w:ascii="宋体" w:hAnsi="宋体" w:eastAsia="宋体"/>
                <w:sz w:val="16"/>
              </w:rPr>
              <w:t>博物馆电费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05DA2">
            <w:pPr>
              <w:jc w:val="center"/>
            </w:pPr>
            <w:r>
              <w:rPr>
                <w:rFonts w:ascii="宋体" w:hAnsi="宋体" w:eastAsia="宋体"/>
                <w:sz w:val="16"/>
              </w:rPr>
              <w:t>&lt;=40万元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C6A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609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1C77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BE0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A1C2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DEB75">
            <w:pPr>
              <w:jc w:val="center"/>
            </w:pPr>
            <w:r>
              <w:rPr>
                <w:rFonts w:ascii="宋体" w:hAnsi="宋体" w:eastAsia="宋体"/>
                <w:sz w:val="16"/>
              </w:rPr>
              <w: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F6E5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29220">
            <w:pPr>
              <w:jc w:val="center"/>
            </w:pPr>
          </w:p>
        </w:tc>
      </w:tr>
      <w:tr w14:paraId="309322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71B5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F9DB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E334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BE44B">
            <w:pPr>
              <w:jc w:val="center"/>
            </w:pPr>
            <w:r>
              <w:rPr>
                <w:rFonts w:ascii="宋体" w:hAnsi="宋体" w:eastAsia="宋体"/>
                <w:sz w:val="16"/>
              </w:rPr>
              <w:t>博物馆日常运转经费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15A47">
            <w:pPr>
              <w:jc w:val="center"/>
            </w:pPr>
            <w:r>
              <w:rPr>
                <w:rFonts w:ascii="宋体" w:hAnsi="宋体" w:eastAsia="宋体"/>
                <w:sz w:val="16"/>
              </w:rPr>
              <w:t>&lt;=200万元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ED0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7D1F1">
            <w:pPr>
              <w:jc w:val="center"/>
            </w:pPr>
            <w:r>
              <w:rPr>
                <w:rFonts w:ascii="宋体" w:hAnsi="宋体" w:eastAsia="宋体"/>
                <w:sz w:val="16"/>
              </w:rPr>
              <w:t>153.5万元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A4FB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9B1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731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6BF7E">
            <w:pPr>
              <w:jc w:val="center"/>
            </w:pPr>
            <w:r>
              <w:rPr>
                <w:rFonts w:ascii="宋体" w:hAnsi="宋体" w:eastAsia="宋体"/>
                <w:sz w:val="16"/>
              </w:rPr>
              <w:t>=191.38万元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E9F6C">
            <w:pPr>
              <w:jc w:val="center"/>
            </w:pPr>
            <w:r>
              <w:rPr>
                <w:rFonts w:ascii="宋体" w:hAnsi="宋体" w:eastAsia="宋体"/>
                <w:sz w:val="16"/>
              </w:rPr>
              <w:t>7.14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0EA9E">
            <w:pPr>
              <w:jc w:val="center"/>
            </w:pPr>
            <w:r>
              <w:rPr>
                <w:rFonts w:ascii="宋体" w:hAnsi="宋体" w:eastAsia="宋体"/>
                <w:sz w:val="16"/>
              </w:rPr>
              <w:t>偏差原因：讲解员休产假，领取生育津贴，导致博物馆日常运转经费未支付完毕，导致该运转经费未使用完毕，资金结转到25年使用；改进措施：提前规划，以便于合理做好预算。</w:t>
            </w:r>
          </w:p>
        </w:tc>
      </w:tr>
      <w:tr w14:paraId="4D169C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BBBD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B452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48CD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5B7E1">
            <w:pPr>
              <w:jc w:val="center"/>
            </w:pPr>
            <w:r>
              <w:rPr>
                <w:rFonts w:ascii="宋体" w:hAnsi="宋体" w:eastAsia="宋体"/>
                <w:sz w:val="16"/>
              </w:rPr>
              <w:t>充分发挥博物馆宣传教育阵地作用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275B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71D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A821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8B15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9C33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EBB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FBCE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292A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AC785">
            <w:pPr>
              <w:jc w:val="center"/>
            </w:pPr>
          </w:p>
        </w:tc>
      </w:tr>
      <w:tr w14:paraId="2CBA11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9ABC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2DFA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4F91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A2BE6">
            <w:pPr>
              <w:jc w:val="center"/>
            </w:pPr>
            <w:r>
              <w:rPr>
                <w:rFonts w:ascii="宋体" w:hAnsi="宋体" w:eastAsia="宋体"/>
                <w:sz w:val="16"/>
              </w:rPr>
              <w:t>参观人员满意度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0EDA8">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CEF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11222">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9A0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9BAC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0D0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4B8D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0AC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387DD">
            <w:pPr>
              <w:jc w:val="center"/>
            </w:pPr>
            <w:r>
              <w:rPr>
                <w:rFonts w:ascii="宋体" w:hAnsi="宋体" w:eastAsia="宋体"/>
                <w:sz w:val="16"/>
              </w:rPr>
              <w:t>偏差原因：年初指标设置过高，导致该指标存在偏差；改进措施：合理设置年初指标。</w:t>
            </w:r>
          </w:p>
        </w:tc>
      </w:tr>
      <w:tr w14:paraId="6A5A1A7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DC4D6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DEF4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54409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237D0">
            <w:pPr>
              <w:jc w:val="center"/>
            </w:pPr>
            <w:r>
              <w:rPr>
                <w:rFonts w:ascii="宋体" w:hAnsi="宋体" w:eastAsia="宋体"/>
                <w:sz w:val="16"/>
              </w:rPr>
              <w:t>98.28分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0A4EEF3"/>
        </w:tc>
      </w:tr>
    </w:tbl>
    <w:p w14:paraId="08263B8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17F15353">
        <w:tc>
          <w:tcPr>
            <w:tcW w:w="8848" w:type="dxa"/>
            <w:gridSpan w:val="14"/>
            <w:vAlign w:val="center"/>
          </w:tcPr>
          <w:p w14:paraId="5C17A71F">
            <w:pPr>
              <w:jc w:val="center"/>
            </w:pPr>
            <w:r>
              <w:rPr>
                <w:rFonts w:ascii="宋体" w:hAnsi="宋体" w:eastAsia="宋体"/>
                <w:sz w:val="24"/>
              </w:rPr>
              <w:t>项目支出绩效自评表</w:t>
            </w:r>
          </w:p>
        </w:tc>
      </w:tr>
      <w:tr w14:paraId="46C11BEE">
        <w:tblPrEx>
          <w:tblCellMar>
            <w:top w:w="0" w:type="dxa"/>
            <w:left w:w="108" w:type="dxa"/>
            <w:bottom w:w="0" w:type="dxa"/>
            <w:right w:w="108" w:type="dxa"/>
          </w:tblCellMar>
        </w:tblPrEx>
        <w:tc>
          <w:tcPr>
            <w:tcW w:w="8848" w:type="dxa"/>
            <w:gridSpan w:val="14"/>
            <w:vAlign w:val="center"/>
          </w:tcPr>
          <w:p w14:paraId="5E5FA2F6">
            <w:pPr>
              <w:jc w:val="center"/>
            </w:pPr>
            <w:r>
              <w:rPr>
                <w:rFonts w:ascii="宋体" w:hAnsi="宋体" w:eastAsia="宋体"/>
                <w:sz w:val="24"/>
              </w:rPr>
              <w:t>(2024年度)</w:t>
            </w:r>
          </w:p>
        </w:tc>
      </w:tr>
      <w:tr w14:paraId="3E6F4D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F3E1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C2D90CF">
            <w:pPr>
              <w:jc w:val="center"/>
            </w:pPr>
            <w:r>
              <w:rPr>
                <w:rFonts w:ascii="宋体" w:hAnsi="宋体" w:eastAsia="宋体"/>
                <w:sz w:val="16"/>
              </w:rPr>
              <w:t>2024年国家文物保护资金项目</w:t>
            </w:r>
          </w:p>
        </w:tc>
      </w:tr>
      <w:tr w14:paraId="2B17F1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2B79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309C88">
            <w:pPr>
              <w:jc w:val="center"/>
            </w:pPr>
            <w:r>
              <w:rPr>
                <w:rFonts w:hint="eastAsia" w:ascii="宋体" w:hAnsi="宋体" w:eastAsia="宋体"/>
                <w:sz w:val="16"/>
              </w:rPr>
              <w:t>新疆维吾尔自治区喀什地区文化广播电视和旅游局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FD0A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C6A318">
            <w:pPr>
              <w:jc w:val="center"/>
            </w:pPr>
            <w:r>
              <w:rPr>
                <w:rFonts w:ascii="宋体" w:hAnsi="宋体" w:eastAsia="宋体"/>
                <w:sz w:val="16"/>
              </w:rPr>
              <w:t>喀什地区文物局</w:t>
            </w:r>
          </w:p>
        </w:tc>
      </w:tr>
      <w:tr w14:paraId="04537F4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9F5F3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4CF9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58D8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7FA9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5FF4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2913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2093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56DA2">
            <w:pPr>
              <w:jc w:val="center"/>
            </w:pPr>
            <w:r>
              <w:rPr>
                <w:rFonts w:ascii="宋体" w:hAnsi="宋体" w:eastAsia="宋体"/>
                <w:sz w:val="16"/>
              </w:rPr>
              <w:t>得分</w:t>
            </w:r>
          </w:p>
        </w:tc>
      </w:tr>
      <w:tr w14:paraId="2A11C9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C2FDD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E531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53079">
            <w:pPr>
              <w:jc w:val="center"/>
            </w:pPr>
            <w:r>
              <w:rPr>
                <w:rFonts w:ascii="宋体" w:hAnsi="宋体" w:eastAsia="宋体"/>
                <w:sz w:val="16"/>
              </w:rPr>
              <w:t>290.00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916E3">
            <w:pPr>
              <w:jc w:val="center"/>
            </w:pPr>
            <w:r>
              <w:rPr>
                <w:rFonts w:ascii="宋体" w:hAnsi="宋体" w:eastAsia="宋体"/>
                <w:sz w:val="16"/>
              </w:rPr>
              <w:t>290.00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6C7AD">
            <w:pPr>
              <w:jc w:val="center"/>
            </w:pPr>
            <w:r>
              <w:rPr>
                <w:rFonts w:ascii="宋体" w:hAnsi="宋体" w:eastAsia="宋体"/>
                <w:sz w:val="16"/>
              </w:rPr>
              <w:t>287.48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DE8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CECA6">
            <w:pPr>
              <w:jc w:val="center"/>
            </w:pPr>
            <w:r>
              <w:rPr>
                <w:rFonts w:ascii="宋体" w:hAnsi="宋体" w:eastAsia="宋体"/>
                <w:sz w:val="16"/>
              </w:rPr>
              <w:t>99.1%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27DF9">
            <w:pPr>
              <w:jc w:val="center"/>
            </w:pPr>
            <w:r>
              <w:rPr>
                <w:rFonts w:ascii="宋体" w:hAnsi="宋体" w:eastAsia="宋体"/>
                <w:sz w:val="16"/>
              </w:rPr>
              <w:t>9.</w:t>
            </w:r>
            <w:r>
              <w:rPr>
                <w:rFonts w:hint="eastAsia" w:ascii="宋体" w:hAnsi="宋体"/>
                <w:sz w:val="16"/>
                <w:lang w:val="en-US" w:eastAsia="zh-CN"/>
              </w:rPr>
              <w:t>9</w:t>
            </w:r>
            <w:r>
              <w:rPr>
                <w:rFonts w:ascii="宋体" w:hAnsi="宋体" w:eastAsia="宋体"/>
                <w:sz w:val="16"/>
              </w:rPr>
              <w:t>分</w:t>
            </w:r>
          </w:p>
        </w:tc>
      </w:tr>
      <w:tr w14:paraId="068B23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F78F1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473B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E8F4D">
            <w:pPr>
              <w:jc w:val="center"/>
            </w:pPr>
            <w:r>
              <w:rPr>
                <w:rFonts w:ascii="宋体" w:hAnsi="宋体" w:eastAsia="宋体"/>
                <w:sz w:val="16"/>
              </w:rPr>
              <w:t>290.00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ABFF2">
            <w:pPr>
              <w:jc w:val="center"/>
            </w:pPr>
            <w:r>
              <w:rPr>
                <w:rFonts w:ascii="宋体" w:hAnsi="宋体" w:eastAsia="宋体"/>
                <w:sz w:val="16"/>
              </w:rPr>
              <w:t>290.00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0C935">
            <w:pPr>
              <w:jc w:val="center"/>
            </w:pPr>
            <w:r>
              <w:rPr>
                <w:rFonts w:ascii="宋体" w:hAnsi="宋体" w:eastAsia="宋体"/>
                <w:sz w:val="16"/>
              </w:rPr>
              <w:t>287.48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BFAF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B45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CF9D3">
            <w:pPr>
              <w:jc w:val="center"/>
            </w:pPr>
            <w:r>
              <w:rPr>
                <w:rFonts w:ascii="宋体" w:hAnsi="宋体" w:eastAsia="宋体"/>
                <w:sz w:val="16"/>
              </w:rPr>
              <w:t>—</w:t>
            </w:r>
          </w:p>
        </w:tc>
      </w:tr>
      <w:tr w14:paraId="5577E1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948D1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07B5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BDF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C6B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253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888A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D7E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AEDA0">
            <w:pPr>
              <w:jc w:val="center"/>
            </w:pPr>
            <w:r>
              <w:rPr>
                <w:rFonts w:ascii="宋体" w:hAnsi="宋体" w:eastAsia="宋体"/>
                <w:sz w:val="16"/>
              </w:rPr>
              <w:t>—</w:t>
            </w:r>
          </w:p>
        </w:tc>
      </w:tr>
      <w:tr w14:paraId="5A9325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3B661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DBDCA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E6D1CC">
            <w:pPr>
              <w:jc w:val="center"/>
            </w:pPr>
            <w:r>
              <w:rPr>
                <w:rFonts w:ascii="宋体" w:hAnsi="宋体" w:eastAsia="宋体"/>
                <w:sz w:val="16"/>
              </w:rPr>
              <w:t>实际完成情况</w:t>
            </w:r>
          </w:p>
        </w:tc>
      </w:tr>
      <w:tr w14:paraId="3D01EB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CB12B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A4F3A5">
            <w:pPr>
              <w:jc w:val="both"/>
            </w:pPr>
            <w:r>
              <w:rPr>
                <w:rFonts w:ascii="宋体" w:hAnsi="宋体" w:eastAsia="宋体"/>
                <w:sz w:val="16"/>
              </w:rPr>
              <w:t>根据喀什地区博物馆文物数字化保护的需求，针对馆内珍贵文物数量多、文物数字化程度不高、数字化公众服务开展有限的情况，开展文物数字化保护建设。通过一系列数字化保护措施，如数字化内容采集，数字化内容加工，基于互联网、移动互联网的软件开发，提高喀什地区博物馆文物数字化保护水平，提升喀什地区博物馆公众服务水平，最终实现文物保护、文化传播、旅游服务相结合的全面、协调、有序发展的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5DE887">
            <w:pPr>
              <w:jc w:val="both"/>
            </w:pPr>
            <w:r>
              <w:rPr>
                <w:rFonts w:ascii="宋体" w:hAnsi="宋体" w:eastAsia="宋体"/>
                <w:sz w:val="16"/>
              </w:rPr>
              <w:t>2024年国家文物保护资金项目经费共计290万元，截至2024年12月31日前共计支出287.48万元。2024年国家文物保护资金项目建立了1套文物数字化展示应用系统、1套博物馆虚拟布展系统、1套沉浸式互动体验系统及其他相关数字化建设，该项目的实施对馆内珍贵文物数量多、文物数字化程度不高、数字化公众服务开展有限的情况进行了改善，对提高喀什地区博物馆文物数字化保护水平，提升喀什地区博物馆公众服务水平有了质的提升，实现了文物保护、文化传播、旅游服务相结合的全面、协调、有序发展的目标。</w:t>
            </w:r>
          </w:p>
        </w:tc>
      </w:tr>
      <w:tr w14:paraId="270EA9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44B75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BF44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C146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AA36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C140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D8D4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3DB5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7E9C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176C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E36E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43D7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07FB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D366A">
            <w:pPr>
              <w:jc w:val="center"/>
            </w:pPr>
            <w:r>
              <w:rPr>
                <w:rFonts w:ascii="宋体" w:hAnsi="宋体" w:eastAsia="宋体"/>
                <w:sz w:val="16"/>
              </w:rPr>
              <w:t>偏差原因分析及改进措施</w:t>
            </w:r>
          </w:p>
        </w:tc>
      </w:tr>
      <w:tr w14:paraId="2D2F975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A15A3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26B39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AE5DD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D24C9">
            <w:pPr>
              <w:jc w:val="center"/>
            </w:pPr>
            <w:r>
              <w:rPr>
                <w:rFonts w:ascii="宋体" w:hAnsi="宋体" w:eastAsia="宋体"/>
                <w:sz w:val="16"/>
              </w:rPr>
              <w:t>文物数字化展示应用系统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FCA13">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905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82A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6AF2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411F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87AF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57A7A">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09AF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C2DE6">
            <w:pPr>
              <w:jc w:val="center"/>
            </w:pPr>
          </w:p>
        </w:tc>
      </w:tr>
      <w:tr w14:paraId="5E93BC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64C3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F60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25F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065DB">
            <w:pPr>
              <w:jc w:val="center"/>
            </w:pPr>
            <w:r>
              <w:rPr>
                <w:rFonts w:ascii="宋体" w:hAnsi="宋体" w:eastAsia="宋体"/>
                <w:sz w:val="16"/>
              </w:rPr>
              <w:t>博物馆虚拟布展系统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DCB4D">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949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B5F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8ECA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F3ED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D675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8E4AE">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8D1F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CDE10">
            <w:pPr>
              <w:jc w:val="center"/>
            </w:pPr>
          </w:p>
        </w:tc>
      </w:tr>
      <w:tr w14:paraId="46ADF7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C00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4C33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7EB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2F051">
            <w:pPr>
              <w:jc w:val="center"/>
            </w:pPr>
            <w:r>
              <w:rPr>
                <w:rFonts w:ascii="宋体" w:hAnsi="宋体" w:eastAsia="宋体"/>
                <w:sz w:val="16"/>
              </w:rPr>
              <w:t>沉浸式互动体验系统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67B07">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3FC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A97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DC4E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509E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32C5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8D2BD">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B48B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D2C5F">
            <w:pPr>
              <w:jc w:val="center"/>
            </w:pPr>
          </w:p>
        </w:tc>
      </w:tr>
      <w:tr w14:paraId="4FDB40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E7D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3934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6D3D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A0D6C">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636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0F9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6A3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9C16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0A1A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13E7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4BB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5E7F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1CB19">
            <w:pPr>
              <w:jc w:val="center"/>
            </w:pPr>
          </w:p>
        </w:tc>
      </w:tr>
      <w:tr w14:paraId="145ACE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8FB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20404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CC831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32B3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5E5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6F0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43B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5FCC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317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3906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8C071">
            <w:pPr>
              <w:jc w:val="center"/>
            </w:pPr>
            <w:r>
              <w:rPr>
                <w:rFonts w:ascii="宋体" w:hAnsi="宋体" w:eastAsia="宋体"/>
                <w:sz w:val="16"/>
              </w:rPr>
              <w:t>=99.1%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AED40">
            <w:pPr>
              <w:jc w:val="center"/>
            </w:pPr>
            <w:r>
              <w:rPr>
                <w:rFonts w:ascii="宋体" w:hAnsi="宋体" w:eastAsia="宋体"/>
                <w:sz w:val="16"/>
              </w:rPr>
              <w:t>6.84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ECF37">
            <w:pPr>
              <w:jc w:val="center"/>
            </w:pPr>
            <w:r>
              <w:rPr>
                <w:rFonts w:ascii="宋体" w:hAnsi="宋体" w:eastAsia="宋体"/>
                <w:sz w:val="16"/>
              </w:rPr>
              <w:t>偏差原因：项目实施完毕后经审计核减结余资金2.52万元，结余资金未及时上缴财政，故此指标存在偏差；改进措施：项目实施完毕后及时将结余资金上缴财政</w:t>
            </w:r>
          </w:p>
        </w:tc>
      </w:tr>
      <w:tr w14:paraId="6596FF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9C1B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0DF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FA4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47C9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87DC5">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17F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9C2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8FC3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70E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753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D17F2">
            <w:pPr>
              <w:jc w:val="center"/>
            </w:pPr>
            <w:r>
              <w:rPr>
                <w:rFonts w:ascii="宋体" w:hAnsi="宋体" w:eastAsia="宋体"/>
                <w:sz w:val="16"/>
              </w:rPr>
              <w:t>=2024年11月20日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610F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1CCA1">
            <w:pPr>
              <w:jc w:val="center"/>
            </w:pPr>
          </w:p>
        </w:tc>
      </w:tr>
      <w:tr w14:paraId="6036EB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793E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1CEC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13FA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F7D40">
            <w:pPr>
              <w:jc w:val="center"/>
            </w:pPr>
            <w:r>
              <w:rPr>
                <w:rFonts w:ascii="宋体" w:hAnsi="宋体" w:eastAsia="宋体"/>
                <w:sz w:val="16"/>
              </w:rPr>
              <w:t>项目预算控制率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B747A">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D6A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EA5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E76B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814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76A9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4C6F0">
            <w:pPr>
              <w:jc w:val="center"/>
            </w:pPr>
            <w:r>
              <w:rPr>
                <w:rFonts w:ascii="宋体" w:hAnsi="宋体" w:eastAsia="宋体"/>
                <w:sz w:val="16"/>
              </w:rPr>
              <w:t>=99.1%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941C2">
            <w:pPr>
              <w:jc w:val="center"/>
            </w:pPr>
            <w:r>
              <w:rPr>
                <w:rFonts w:ascii="宋体" w:hAnsi="宋体" w:eastAsia="宋体"/>
                <w:sz w:val="16"/>
              </w:rPr>
              <w:t>19.55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9E8B8">
            <w:pPr>
              <w:jc w:val="center"/>
            </w:pPr>
            <w:r>
              <w:rPr>
                <w:rFonts w:ascii="宋体" w:hAnsi="宋体" w:eastAsia="宋体"/>
                <w:sz w:val="16"/>
              </w:rPr>
              <w:t>偏差原因：项目实施完毕后经审计核减结余资金2.52万元，结余资金未及时上缴财政，故此指标存在偏差；改进措施：项目实施完毕后及时将结余资金上缴财政</w:t>
            </w:r>
          </w:p>
        </w:tc>
      </w:tr>
      <w:tr w14:paraId="13375B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66F5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91E5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04EE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CF5D1">
            <w:pPr>
              <w:jc w:val="center"/>
            </w:pPr>
            <w:r>
              <w:rPr>
                <w:rFonts w:ascii="宋体" w:hAnsi="宋体" w:eastAsia="宋体"/>
                <w:sz w:val="16"/>
              </w:rPr>
              <w:t>提高对当地文物保护意识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594D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402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93C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CC0B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2A77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FE92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C5D2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C534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809E2">
            <w:pPr>
              <w:jc w:val="center"/>
            </w:pPr>
          </w:p>
        </w:tc>
      </w:tr>
      <w:tr w14:paraId="3DD406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00A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F09E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2B89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916C5">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89ED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BD9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9FB4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E03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691A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744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74BD1">
            <w:pPr>
              <w:jc w:val="center"/>
            </w:pPr>
            <w:r>
              <w:rPr>
                <w:rFonts w:ascii="宋体" w:hAnsi="宋体" w:eastAsia="宋体"/>
                <w:sz w:val="16"/>
              </w:rPr>
              <w:t>=95.2%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CB9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FE303">
            <w:pPr>
              <w:jc w:val="center"/>
            </w:pPr>
          </w:p>
        </w:tc>
      </w:tr>
      <w:tr w14:paraId="3B8D6D6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5A97F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7390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2E6B3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F0C33">
            <w:pPr>
              <w:jc w:val="center"/>
            </w:pPr>
            <w:r>
              <w:rPr>
                <w:rFonts w:ascii="宋体" w:hAnsi="宋体" w:eastAsia="宋体"/>
                <w:sz w:val="16"/>
              </w:rPr>
              <w:t>99.17分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7413DDB"/>
        </w:tc>
      </w:tr>
    </w:tbl>
    <w:p w14:paraId="64CDA956">
      <w:r>
        <w:br w:type="page"/>
      </w:r>
    </w:p>
    <w:tbl>
      <w:tblPr>
        <w:tblStyle w:val="9"/>
        <w:tblW w:w="0" w:type="auto"/>
        <w:tblInd w:w="0" w:type="dxa"/>
        <w:tblLayout w:type="fixed"/>
        <w:tblCellMar>
          <w:top w:w="0" w:type="dxa"/>
          <w:left w:w="108" w:type="dxa"/>
          <w:bottom w:w="0" w:type="dxa"/>
          <w:right w:w="108" w:type="dxa"/>
        </w:tblCellMar>
      </w:tblPr>
      <w:tblGrid>
        <w:gridCol w:w="626"/>
        <w:gridCol w:w="616"/>
        <w:gridCol w:w="616"/>
        <w:gridCol w:w="626"/>
        <w:gridCol w:w="268"/>
        <w:gridCol w:w="588"/>
        <w:gridCol w:w="616"/>
        <w:gridCol w:w="174"/>
        <w:gridCol w:w="442"/>
        <w:gridCol w:w="621"/>
        <w:gridCol w:w="616"/>
        <w:gridCol w:w="616"/>
        <w:gridCol w:w="776"/>
        <w:gridCol w:w="632"/>
        <w:gridCol w:w="596"/>
        <w:gridCol w:w="631"/>
      </w:tblGrid>
      <w:tr w14:paraId="01C8528F">
        <w:tc>
          <w:tcPr>
            <w:tcW w:w="9060" w:type="dxa"/>
            <w:gridSpan w:val="16"/>
            <w:vAlign w:val="center"/>
          </w:tcPr>
          <w:p w14:paraId="0A556CFB">
            <w:pPr>
              <w:jc w:val="center"/>
            </w:pPr>
            <w:r>
              <w:rPr>
                <w:rFonts w:ascii="宋体" w:hAnsi="宋体" w:eastAsia="宋体"/>
                <w:sz w:val="24"/>
              </w:rPr>
              <w:t>项目支出绩效自评表</w:t>
            </w:r>
          </w:p>
        </w:tc>
      </w:tr>
      <w:tr w14:paraId="1D73D416">
        <w:tblPrEx>
          <w:tblCellMar>
            <w:top w:w="0" w:type="dxa"/>
            <w:left w:w="108" w:type="dxa"/>
            <w:bottom w:w="0" w:type="dxa"/>
            <w:right w:w="108" w:type="dxa"/>
          </w:tblCellMar>
        </w:tblPrEx>
        <w:tc>
          <w:tcPr>
            <w:tcW w:w="9060" w:type="dxa"/>
            <w:gridSpan w:val="16"/>
            <w:vAlign w:val="center"/>
          </w:tcPr>
          <w:p w14:paraId="611449AA">
            <w:pPr>
              <w:jc w:val="center"/>
            </w:pPr>
            <w:r>
              <w:rPr>
                <w:rFonts w:ascii="宋体" w:hAnsi="宋体" w:eastAsia="宋体"/>
                <w:sz w:val="24"/>
              </w:rPr>
              <w:t>(2024年度)</w:t>
            </w:r>
          </w:p>
        </w:tc>
      </w:tr>
      <w:tr w14:paraId="16F98FC7">
        <w:tblPrEx>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391A30F7">
            <w:pPr>
              <w:jc w:val="center"/>
            </w:pPr>
            <w:r>
              <w:rPr>
                <w:rFonts w:ascii="宋体" w:hAnsi="宋体" w:eastAsia="宋体"/>
                <w:sz w:val="16"/>
              </w:rPr>
              <w:t>项目名称</w:t>
            </w:r>
          </w:p>
        </w:tc>
        <w:tc>
          <w:tcPr>
            <w:tcW w:w="8434" w:type="dxa"/>
            <w:gridSpan w:val="15"/>
            <w:tcBorders>
              <w:top w:val="single" w:color="auto" w:sz="10" w:space="0"/>
              <w:left w:val="single" w:color="auto" w:sz="10" w:space="0"/>
              <w:bottom w:val="single" w:color="auto" w:sz="10" w:space="0"/>
              <w:right w:val="single" w:color="auto" w:sz="10" w:space="0"/>
              <w:insideV w:val="single" w:sz="10" w:space="0"/>
            </w:tcBorders>
            <w:vAlign w:val="center"/>
          </w:tcPr>
          <w:p w14:paraId="08F17CA0">
            <w:pPr>
              <w:jc w:val="center"/>
            </w:pPr>
            <w:r>
              <w:rPr>
                <w:rFonts w:ascii="宋体" w:hAnsi="宋体" w:eastAsia="宋体"/>
                <w:sz w:val="16"/>
              </w:rPr>
              <w:t>2024年玄奘东归昆仑之路科考活动项目</w:t>
            </w:r>
          </w:p>
        </w:tc>
      </w:tr>
      <w:tr w14:paraId="16FE7C30">
        <w:tblPrEx>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DC89A20">
            <w:pPr>
              <w:jc w:val="center"/>
            </w:pPr>
            <w:r>
              <w:rPr>
                <w:rFonts w:ascii="宋体" w:hAnsi="宋体" w:eastAsia="宋体"/>
                <w:sz w:val="16"/>
              </w:rPr>
              <w:t>主管部门</w:t>
            </w:r>
          </w:p>
        </w:tc>
        <w:tc>
          <w:tcPr>
            <w:tcW w:w="4567"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1BF8CF59">
            <w:pPr>
              <w:jc w:val="center"/>
            </w:pPr>
            <w:r>
              <w:rPr>
                <w:rFonts w:hint="eastAsia" w:ascii="宋体" w:hAnsi="宋体" w:eastAsia="宋体"/>
                <w:sz w:val="16"/>
              </w:rPr>
              <w:t>新疆维吾尔自治区喀什地区文化广播电视和旅游局</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7E7F37CB">
            <w:pPr>
              <w:jc w:val="center"/>
            </w:pPr>
            <w:r>
              <w:rPr>
                <w:rFonts w:ascii="宋体" w:hAnsi="宋体" w:eastAsia="宋体"/>
                <w:sz w:val="16"/>
              </w:rPr>
              <w:t>实施单位</w:t>
            </w:r>
          </w:p>
        </w:tc>
        <w:tc>
          <w:tcPr>
            <w:tcW w:w="325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E0D9E2">
            <w:pPr>
              <w:jc w:val="center"/>
            </w:pPr>
            <w:r>
              <w:rPr>
                <w:rFonts w:ascii="宋体" w:hAnsi="宋体" w:eastAsia="宋体"/>
                <w:sz w:val="16"/>
              </w:rPr>
              <w:t>喀什地区文物局</w:t>
            </w:r>
          </w:p>
        </w:tc>
      </w:tr>
      <w:tr w14:paraId="7383D1FE">
        <w:tblPrEx>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D4289B">
            <w:pPr>
              <w:jc w:val="center"/>
            </w:pPr>
            <w:r>
              <w:rPr>
                <w:rFonts w:ascii="宋体" w:hAnsi="宋体" w:eastAsia="宋体"/>
                <w:sz w:val="16"/>
              </w:rPr>
              <w:t>项目资金 （万元）</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C0E8B">
            <w:pPr>
              <w:jc w:val="center"/>
            </w:pPr>
          </w:p>
        </w:tc>
        <w:tc>
          <w:tcPr>
            <w:tcW w:w="148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4AE3256">
            <w:pPr>
              <w:jc w:val="center"/>
            </w:pPr>
            <w:r>
              <w:rPr>
                <w:rFonts w:ascii="宋体" w:hAnsi="宋体" w:eastAsia="宋体"/>
                <w:sz w:val="16"/>
              </w:rPr>
              <w:t>年初预算数</w:t>
            </w:r>
          </w:p>
        </w:tc>
        <w:tc>
          <w:tcPr>
            <w:tcW w:w="123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6368015">
            <w:pPr>
              <w:jc w:val="center"/>
            </w:pPr>
            <w:r>
              <w:rPr>
                <w:rFonts w:ascii="宋体" w:hAnsi="宋体" w:eastAsia="宋体"/>
                <w:sz w:val="16"/>
              </w:rPr>
              <w:t>全年预算数</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0CCFF">
            <w:pPr>
              <w:jc w:val="center"/>
            </w:pPr>
            <w:r>
              <w:rPr>
                <w:rFonts w:ascii="宋体" w:hAnsi="宋体" w:eastAsia="宋体"/>
                <w:sz w:val="16"/>
              </w:rPr>
              <w:t>全年执行数</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33D47">
            <w:pPr>
              <w:jc w:val="center"/>
            </w:pPr>
            <w:r>
              <w:rPr>
                <w:rFonts w:ascii="宋体" w:hAnsi="宋体" w:eastAsia="宋体"/>
                <w:sz w:val="16"/>
              </w:rPr>
              <w:t>分值</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E8E9B">
            <w:pPr>
              <w:jc w:val="center"/>
            </w:pPr>
            <w:r>
              <w:rPr>
                <w:rFonts w:ascii="宋体" w:hAnsi="宋体" w:eastAsia="宋体"/>
                <w:sz w:val="16"/>
              </w:rPr>
              <w:t>执行率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F0BD074">
            <w:pPr>
              <w:jc w:val="center"/>
            </w:pPr>
            <w:r>
              <w:rPr>
                <w:rFonts w:ascii="宋体" w:hAnsi="宋体" w:eastAsia="宋体"/>
                <w:sz w:val="16"/>
              </w:rPr>
              <w:t>得分</w:t>
            </w:r>
          </w:p>
        </w:tc>
      </w:tr>
      <w:tr w14:paraId="42293E05">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2B5F0DE8"/>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8E773">
            <w:pPr>
              <w:jc w:val="center"/>
            </w:pPr>
            <w:r>
              <w:rPr>
                <w:rFonts w:ascii="宋体" w:hAnsi="宋体" w:eastAsia="宋体"/>
                <w:sz w:val="16"/>
              </w:rPr>
              <w:t>年度资金总额</w:t>
            </w:r>
          </w:p>
        </w:tc>
        <w:tc>
          <w:tcPr>
            <w:tcW w:w="148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57B9C39">
            <w:pPr>
              <w:jc w:val="center"/>
            </w:pPr>
            <w:r>
              <w:rPr>
                <w:rFonts w:ascii="宋体" w:hAnsi="宋体" w:eastAsia="宋体"/>
                <w:sz w:val="16"/>
              </w:rPr>
              <w:t>18.50</w:t>
            </w:r>
          </w:p>
        </w:tc>
        <w:tc>
          <w:tcPr>
            <w:tcW w:w="123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0E57D66">
            <w:pPr>
              <w:jc w:val="center"/>
            </w:pPr>
            <w:r>
              <w:rPr>
                <w:rFonts w:ascii="宋体" w:hAnsi="宋体" w:eastAsia="宋体"/>
                <w:sz w:val="16"/>
              </w:rPr>
              <w:t>18.50</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5A660">
            <w:pPr>
              <w:jc w:val="center"/>
            </w:pPr>
            <w:r>
              <w:rPr>
                <w:rFonts w:ascii="宋体" w:hAnsi="宋体" w:eastAsia="宋体"/>
                <w:sz w:val="16"/>
              </w:rPr>
              <w:t>18.50</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2F2A9">
            <w:pPr>
              <w:jc w:val="center"/>
            </w:pPr>
            <w:r>
              <w:rPr>
                <w:rFonts w:ascii="宋体" w:hAnsi="宋体" w:eastAsia="宋体"/>
                <w:sz w:val="16"/>
              </w:rPr>
              <w:t>10</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F5645">
            <w:pPr>
              <w:jc w:val="center"/>
            </w:pPr>
            <w:r>
              <w:rPr>
                <w:rFonts w:ascii="宋体" w:hAnsi="宋体" w:eastAsia="宋体"/>
                <w:sz w:val="16"/>
              </w:rPr>
              <w:t>100.0%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70317BE">
            <w:pPr>
              <w:jc w:val="center"/>
            </w:pPr>
            <w:r>
              <w:rPr>
                <w:rFonts w:ascii="宋体" w:hAnsi="宋体" w:eastAsia="宋体"/>
                <w:sz w:val="16"/>
              </w:rPr>
              <w:t>10.00分</w:t>
            </w:r>
          </w:p>
        </w:tc>
      </w:tr>
      <w:tr w14:paraId="02860CEB">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40CA8656"/>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348D2">
            <w:pPr>
              <w:jc w:val="center"/>
            </w:pPr>
            <w:r>
              <w:rPr>
                <w:rFonts w:ascii="宋体" w:hAnsi="宋体" w:eastAsia="宋体"/>
                <w:sz w:val="16"/>
              </w:rPr>
              <w:t>其中：当年财政拨款</w:t>
            </w:r>
          </w:p>
        </w:tc>
        <w:tc>
          <w:tcPr>
            <w:tcW w:w="148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D596A08">
            <w:pPr>
              <w:jc w:val="center"/>
            </w:pPr>
            <w:r>
              <w:rPr>
                <w:rFonts w:ascii="宋体" w:hAnsi="宋体" w:eastAsia="宋体"/>
                <w:sz w:val="16"/>
              </w:rPr>
              <w:t>0.00</w:t>
            </w:r>
          </w:p>
        </w:tc>
        <w:tc>
          <w:tcPr>
            <w:tcW w:w="123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BDF4506">
            <w:pPr>
              <w:jc w:val="center"/>
            </w:pPr>
            <w:r>
              <w:rPr>
                <w:rFonts w:ascii="宋体" w:hAnsi="宋体" w:eastAsia="宋体"/>
                <w:sz w:val="16"/>
              </w:rPr>
              <w:t>0.00</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ED275">
            <w:pPr>
              <w:jc w:val="center"/>
            </w:pPr>
            <w:r>
              <w:rPr>
                <w:rFonts w:ascii="宋体" w:hAnsi="宋体" w:eastAsia="宋体"/>
                <w:sz w:val="16"/>
              </w:rPr>
              <w:t>0.00</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EC814">
            <w:pPr>
              <w:jc w:val="center"/>
            </w:pPr>
            <w:r>
              <w:rPr>
                <w:rFonts w:ascii="宋体" w:hAnsi="宋体" w:eastAsia="宋体"/>
                <w:sz w:val="16"/>
              </w:rPr>
              <w:t>—</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43111">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634C7DB">
            <w:pPr>
              <w:jc w:val="center"/>
            </w:pPr>
            <w:r>
              <w:rPr>
                <w:rFonts w:ascii="宋体" w:hAnsi="宋体" w:eastAsia="宋体"/>
                <w:sz w:val="16"/>
              </w:rPr>
              <w:t>—</w:t>
            </w:r>
          </w:p>
        </w:tc>
      </w:tr>
      <w:tr w14:paraId="3A1FBBEB">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5CF2EFE0"/>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C7309">
            <w:pPr>
              <w:jc w:val="center"/>
            </w:pPr>
            <w:r>
              <w:rPr>
                <w:rFonts w:ascii="宋体" w:hAnsi="宋体" w:eastAsia="宋体"/>
                <w:sz w:val="16"/>
              </w:rPr>
              <w:t xml:space="preserve">  其他资金</w:t>
            </w:r>
          </w:p>
        </w:tc>
        <w:tc>
          <w:tcPr>
            <w:tcW w:w="148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F23471F">
            <w:pPr>
              <w:jc w:val="center"/>
            </w:pPr>
            <w:r>
              <w:rPr>
                <w:rFonts w:ascii="宋体" w:hAnsi="宋体" w:eastAsia="宋体"/>
                <w:sz w:val="16"/>
              </w:rPr>
              <w:t>18.50</w:t>
            </w:r>
          </w:p>
        </w:tc>
        <w:tc>
          <w:tcPr>
            <w:tcW w:w="123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4159F02">
            <w:pPr>
              <w:jc w:val="center"/>
            </w:pPr>
            <w:r>
              <w:rPr>
                <w:rFonts w:ascii="宋体" w:hAnsi="宋体" w:eastAsia="宋体"/>
                <w:sz w:val="16"/>
              </w:rPr>
              <w:t>18.50</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AF096">
            <w:pPr>
              <w:jc w:val="center"/>
            </w:pPr>
            <w:r>
              <w:rPr>
                <w:rFonts w:ascii="宋体" w:hAnsi="宋体" w:eastAsia="宋体"/>
                <w:sz w:val="16"/>
              </w:rPr>
              <w:t>18.50</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2EACF">
            <w:pPr>
              <w:jc w:val="center"/>
            </w:pPr>
            <w:r>
              <w:rPr>
                <w:rFonts w:ascii="宋体" w:hAnsi="宋体" w:eastAsia="宋体"/>
                <w:sz w:val="16"/>
              </w:rPr>
              <w:t>—</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1182C">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C1E4E2A">
            <w:pPr>
              <w:jc w:val="center"/>
            </w:pPr>
            <w:r>
              <w:rPr>
                <w:rFonts w:ascii="宋体" w:hAnsi="宋体" w:eastAsia="宋体"/>
                <w:sz w:val="16"/>
              </w:rPr>
              <w:t>—</w:t>
            </w:r>
          </w:p>
        </w:tc>
      </w:tr>
      <w:tr w14:paraId="43F84B5B">
        <w:tblPrEx>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4FE768">
            <w:pPr>
              <w:jc w:val="center"/>
            </w:pPr>
            <w:r>
              <w:rPr>
                <w:rFonts w:ascii="宋体" w:hAnsi="宋体" w:eastAsia="宋体"/>
                <w:sz w:val="16"/>
              </w:rPr>
              <w:t>三、目标完成情况</w:t>
            </w:r>
          </w:p>
        </w:tc>
        <w:tc>
          <w:tcPr>
            <w:tcW w:w="4567"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1E017244">
            <w:pPr>
              <w:jc w:val="center"/>
            </w:pPr>
            <w:r>
              <w:rPr>
                <w:rFonts w:ascii="宋体" w:hAnsi="宋体" w:eastAsia="宋体"/>
                <w:sz w:val="16"/>
              </w:rPr>
              <w:t>预期目标</w:t>
            </w:r>
          </w:p>
        </w:tc>
        <w:tc>
          <w:tcPr>
            <w:tcW w:w="386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97AD7F">
            <w:pPr>
              <w:jc w:val="center"/>
            </w:pPr>
            <w:r>
              <w:rPr>
                <w:rFonts w:ascii="宋体" w:hAnsi="宋体" w:eastAsia="宋体"/>
                <w:sz w:val="16"/>
              </w:rPr>
              <w:t>实际完成情况</w:t>
            </w:r>
          </w:p>
        </w:tc>
      </w:tr>
      <w:tr w14:paraId="58D775BC">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63790EF9"/>
        </w:tc>
        <w:tc>
          <w:tcPr>
            <w:tcW w:w="4567"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4B589963">
            <w:pPr>
              <w:jc w:val="both"/>
            </w:pPr>
            <w:r>
              <w:rPr>
                <w:rFonts w:ascii="宋体" w:hAnsi="宋体" w:eastAsia="宋体"/>
                <w:sz w:val="16"/>
              </w:rPr>
              <w:t>2024年玄奘东归昆仑之路科考活动项目计划实施5天科考活动，拟统筹20人左右参与此次活动，计划在科考沿线立3块碑，并印刷项目相关5篇论文，在科考实地考察完以后推出新的旅游路线。展示中华文化的博大精深，进一步把昆仑文化研究和文旅产业开发引向深入，推介一批文物旅游精品线路。</w:t>
            </w:r>
          </w:p>
        </w:tc>
        <w:tc>
          <w:tcPr>
            <w:tcW w:w="386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EBE835">
            <w:pPr>
              <w:jc w:val="both"/>
            </w:pPr>
            <w:r>
              <w:rPr>
                <w:rFonts w:ascii="宋体" w:hAnsi="宋体" w:eastAsia="宋体"/>
                <w:sz w:val="16"/>
              </w:rPr>
              <w:t>2024年玄奘东归昆仑之路科考活动项目资金为18.5万元，截至2024年12月31</w:t>
            </w:r>
            <w:r>
              <w:rPr>
                <w:rFonts w:hint="eastAsia" w:ascii="宋体" w:hAnsi="宋体"/>
                <w:sz w:val="16"/>
                <w:lang w:eastAsia="zh-CN"/>
              </w:rPr>
              <w:t>日前</w:t>
            </w:r>
            <w:r>
              <w:rPr>
                <w:rFonts w:ascii="宋体" w:hAnsi="宋体" w:eastAsia="宋体"/>
                <w:sz w:val="16"/>
              </w:rPr>
              <w:t>该项目共计支出18.5万元，2024年玄奘东归昆仑之路科考活动项目开展为期5天的科考活动，统筹25人左右参与此次活动，已在科考沿线设立3块碑，并印刷项目相关5篇论文，在科考实地考察完以后推出新的旅游路线。该项目的实施展示了中华文化的博大精深，进一步把昆仑文化研究和文旅产业开发引向深入，推介一批文物旅游精品线路。</w:t>
            </w:r>
          </w:p>
        </w:tc>
      </w:tr>
      <w:tr w14:paraId="4557DDB5">
        <w:tblPrEx>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tcPr>
          <w:p w14:paraId="46355C52"/>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4F21CE82">
            <w:pPr>
              <w:jc w:val="center"/>
            </w:pPr>
            <w:r>
              <w:rPr>
                <w:rFonts w:ascii="宋体" w:hAnsi="宋体" w:eastAsia="宋体"/>
                <w:sz w:val="16"/>
              </w:rPr>
              <w:t>一级指标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5B321536">
            <w:pPr>
              <w:jc w:val="center"/>
            </w:pPr>
            <w:r>
              <w:rPr>
                <w:rFonts w:ascii="宋体" w:hAnsi="宋体" w:eastAsia="宋体"/>
                <w:sz w:val="16"/>
              </w:rPr>
              <w:t>二级指标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0A2326F">
            <w:pPr>
              <w:jc w:val="center"/>
            </w:pPr>
            <w:r>
              <w:rPr>
                <w:rFonts w:ascii="宋体" w:hAnsi="宋体" w:eastAsia="宋体"/>
                <w:sz w:val="16"/>
              </w:rPr>
              <w:t>三级指标</w:t>
            </w:r>
          </w:p>
        </w:tc>
        <w:tc>
          <w:tcPr>
            <w:tcW w:w="8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B70F3">
            <w:pPr>
              <w:jc w:val="center"/>
            </w:pPr>
            <w:r>
              <w:rPr>
                <w:rFonts w:ascii="宋体" w:hAnsi="宋体" w:eastAsia="宋体"/>
                <w:sz w:val="16"/>
              </w:rPr>
              <w:t>年度指标值</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1F2416E">
            <w:pPr>
              <w:jc w:val="center"/>
            </w:pPr>
            <w:r>
              <w:rPr>
                <w:rFonts w:ascii="宋体" w:hAnsi="宋体" w:eastAsia="宋体"/>
                <w:sz w:val="16"/>
              </w:rPr>
              <w:t>指标值设定依据</w:t>
            </w:r>
          </w:p>
        </w:tc>
        <w:tc>
          <w:tcPr>
            <w:tcW w:w="6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3B5F4">
            <w:pPr>
              <w:jc w:val="center"/>
            </w:pPr>
            <w:r>
              <w:rPr>
                <w:rFonts w:ascii="宋体" w:hAnsi="宋体" w:eastAsia="宋体"/>
                <w:sz w:val="16"/>
              </w:rPr>
              <w:t>上年完成情况</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5BFE4D29">
            <w:pPr>
              <w:jc w:val="center"/>
            </w:pPr>
            <w:r>
              <w:rPr>
                <w:rFonts w:ascii="宋体" w:hAnsi="宋体" w:eastAsia="宋体"/>
                <w:sz w:val="16"/>
              </w:rPr>
              <w:t>权重</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218A926A">
            <w:pPr>
              <w:jc w:val="center"/>
            </w:pPr>
            <w:r>
              <w:rPr>
                <w:rFonts w:ascii="宋体" w:hAnsi="宋体" w:eastAsia="宋体"/>
                <w:sz w:val="16"/>
              </w:rPr>
              <w:t>赋分规则</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324246F">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D8C3E8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94D92">
            <w:pPr>
              <w:jc w:val="center"/>
            </w:pPr>
            <w:r>
              <w:rPr>
                <w:rFonts w:ascii="宋体" w:hAnsi="宋体" w:eastAsia="宋体"/>
                <w:sz w:val="16"/>
              </w:rPr>
              <w:t>得分</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B8D92">
            <w:pPr>
              <w:jc w:val="center"/>
            </w:pPr>
            <w:r>
              <w:rPr>
                <w:rFonts w:ascii="宋体" w:hAnsi="宋体" w:eastAsia="宋体"/>
                <w:sz w:val="16"/>
              </w:rPr>
              <w:t>偏差原因分析及改进措施</w:t>
            </w:r>
          </w:p>
        </w:tc>
      </w:tr>
      <w:tr w14:paraId="75C2CF49">
        <w:tblPrEx>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9B3E06">
            <w:pPr>
              <w:jc w:val="center"/>
            </w:pPr>
            <w:r>
              <w:rPr>
                <w:rFonts w:ascii="宋体" w:hAnsi="宋体" w:eastAsia="宋体"/>
                <w:sz w:val="16"/>
              </w:rPr>
              <w:t>年度绩效指标完成情况</w:t>
            </w: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889E3E">
            <w:pPr>
              <w:jc w:val="center"/>
            </w:pPr>
            <w:r>
              <w:rPr>
                <w:rFonts w:ascii="宋体" w:hAnsi="宋体" w:eastAsia="宋体"/>
                <w:sz w:val="16"/>
              </w:rPr>
              <w:t>产出指标</w:t>
            </w: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EB1926">
            <w:pPr>
              <w:jc w:val="center"/>
            </w:pPr>
            <w:r>
              <w:rPr>
                <w:rFonts w:ascii="宋体" w:hAnsi="宋体" w:eastAsia="宋体"/>
                <w:sz w:val="16"/>
              </w:rPr>
              <w:t>数量指标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0A008185">
            <w:pPr>
              <w:jc w:val="center"/>
            </w:pPr>
            <w:r>
              <w:rPr>
                <w:rFonts w:ascii="宋体" w:hAnsi="宋体" w:eastAsia="宋体"/>
                <w:sz w:val="16"/>
              </w:rPr>
              <w:t>参与人数</w:t>
            </w:r>
          </w:p>
        </w:tc>
        <w:tc>
          <w:tcPr>
            <w:tcW w:w="8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C3657">
            <w:pPr>
              <w:jc w:val="center"/>
            </w:pPr>
            <w:r>
              <w:rPr>
                <w:rFonts w:ascii="宋体" w:hAnsi="宋体" w:eastAsia="宋体"/>
                <w:sz w:val="16"/>
              </w:rPr>
              <w:t>&gt;=25人</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404CDD78">
            <w:pPr>
              <w:jc w:val="center"/>
            </w:pPr>
            <w:r>
              <w:rPr>
                <w:rFonts w:ascii="宋体" w:hAnsi="宋体" w:eastAsia="宋体"/>
                <w:sz w:val="16"/>
              </w:rPr>
              <w:t>计划标准</w:t>
            </w:r>
          </w:p>
        </w:tc>
        <w:tc>
          <w:tcPr>
            <w:tcW w:w="6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B24E4">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1424C216">
            <w:pPr>
              <w:jc w:val="center"/>
            </w:pPr>
            <w:r>
              <w:rPr>
                <w:rFonts w:ascii="宋体" w:hAnsi="宋体" w:eastAsia="宋体"/>
                <w:sz w:val="16"/>
              </w:rPr>
              <w:t>6</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4176887F">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79EE663F">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8202ACC">
            <w:pPr>
              <w:jc w:val="center"/>
            </w:pPr>
            <w:r>
              <w:rPr>
                <w:rFonts w:ascii="宋体" w:hAnsi="宋体" w:eastAsia="宋体"/>
                <w:sz w:val="16"/>
              </w:rPr>
              <w:t>=25人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504C8">
            <w:pPr>
              <w:jc w:val="center"/>
            </w:pPr>
            <w:r>
              <w:rPr>
                <w:rFonts w:ascii="宋体" w:hAnsi="宋体" w:eastAsia="宋体"/>
                <w:sz w:val="16"/>
              </w:rPr>
              <w:t>6</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8291B">
            <w:pPr>
              <w:jc w:val="center"/>
            </w:pPr>
          </w:p>
        </w:tc>
      </w:tr>
      <w:tr w14:paraId="60BBE8D9">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1B3B46BD"/>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14:paraId="273B0271"/>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14:paraId="66B094D6"/>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DA0781A">
            <w:pPr>
              <w:jc w:val="center"/>
            </w:pPr>
            <w:r>
              <w:rPr>
                <w:rFonts w:ascii="宋体" w:hAnsi="宋体" w:eastAsia="宋体"/>
                <w:sz w:val="16"/>
              </w:rPr>
              <w:t>立路碑数量</w:t>
            </w:r>
          </w:p>
        </w:tc>
        <w:tc>
          <w:tcPr>
            <w:tcW w:w="8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2A812">
            <w:pPr>
              <w:jc w:val="center"/>
            </w:pPr>
            <w:r>
              <w:rPr>
                <w:rFonts w:ascii="宋体" w:hAnsi="宋体" w:eastAsia="宋体"/>
                <w:sz w:val="16"/>
              </w:rPr>
              <w:t>&gt;=3个</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04865938">
            <w:pPr>
              <w:jc w:val="center"/>
            </w:pPr>
            <w:r>
              <w:rPr>
                <w:rFonts w:ascii="宋体" w:hAnsi="宋体" w:eastAsia="宋体"/>
                <w:sz w:val="16"/>
              </w:rPr>
              <w:t>计划标准</w:t>
            </w:r>
          </w:p>
        </w:tc>
        <w:tc>
          <w:tcPr>
            <w:tcW w:w="6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CB1E6">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19C4697A">
            <w:pPr>
              <w:jc w:val="center"/>
            </w:pPr>
            <w:r>
              <w:rPr>
                <w:rFonts w:ascii="宋体" w:hAnsi="宋体" w:eastAsia="宋体"/>
                <w:sz w:val="16"/>
              </w:rPr>
              <w:t>6</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0AA6476B">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6CA4E9A">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3C24DB0">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AE65F">
            <w:pPr>
              <w:jc w:val="center"/>
            </w:pPr>
            <w:r>
              <w:rPr>
                <w:rFonts w:ascii="宋体" w:hAnsi="宋体" w:eastAsia="宋体"/>
                <w:sz w:val="16"/>
              </w:rPr>
              <w:t>6</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B954A">
            <w:pPr>
              <w:jc w:val="center"/>
            </w:pPr>
          </w:p>
        </w:tc>
      </w:tr>
      <w:tr w14:paraId="0A194B65">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5D383480"/>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14:paraId="0BA7F564"/>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14:paraId="6DED3CF4"/>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44BF1A5">
            <w:pPr>
              <w:jc w:val="center"/>
            </w:pPr>
            <w:r>
              <w:rPr>
                <w:rFonts w:ascii="宋体" w:hAnsi="宋体" w:eastAsia="宋体"/>
                <w:sz w:val="16"/>
              </w:rPr>
              <w:t>印刷论文篇数</w:t>
            </w:r>
          </w:p>
        </w:tc>
        <w:tc>
          <w:tcPr>
            <w:tcW w:w="8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D439F">
            <w:pPr>
              <w:jc w:val="center"/>
            </w:pPr>
            <w:r>
              <w:rPr>
                <w:rFonts w:ascii="宋体" w:hAnsi="宋体" w:eastAsia="宋体"/>
                <w:sz w:val="16"/>
              </w:rPr>
              <w:t>&gt;=5篇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414B50C4">
            <w:pPr>
              <w:jc w:val="center"/>
            </w:pPr>
            <w:r>
              <w:rPr>
                <w:rFonts w:ascii="宋体" w:hAnsi="宋体" w:eastAsia="宋体"/>
                <w:sz w:val="16"/>
              </w:rPr>
              <w:t>计划标准</w:t>
            </w:r>
          </w:p>
        </w:tc>
        <w:tc>
          <w:tcPr>
            <w:tcW w:w="6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2E688">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34CBE67A">
            <w:pPr>
              <w:jc w:val="center"/>
            </w:pPr>
            <w:r>
              <w:rPr>
                <w:rFonts w:ascii="宋体" w:hAnsi="宋体" w:eastAsia="宋体"/>
                <w:sz w:val="16"/>
              </w:rPr>
              <w:t>7</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B90FADB">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15C9B112">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539C0BA">
            <w:pPr>
              <w:jc w:val="center"/>
            </w:pPr>
            <w:r>
              <w:rPr>
                <w:rFonts w:ascii="宋体" w:hAnsi="宋体" w:eastAsia="宋体"/>
                <w:sz w:val="16"/>
              </w:rPr>
              <w:t>=5篇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BCBF6">
            <w:pPr>
              <w:jc w:val="center"/>
            </w:pPr>
            <w:r>
              <w:rPr>
                <w:rFonts w:ascii="宋体" w:hAnsi="宋体" w:eastAsia="宋体"/>
                <w:sz w:val="16"/>
              </w:rPr>
              <w:t>7</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10032">
            <w:pPr>
              <w:jc w:val="center"/>
            </w:pPr>
          </w:p>
        </w:tc>
      </w:tr>
      <w:tr w14:paraId="223ED8D0">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3EA1EDCE"/>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14:paraId="16267FA6"/>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BD3C69">
            <w:pPr>
              <w:jc w:val="center"/>
            </w:pPr>
            <w:r>
              <w:rPr>
                <w:rFonts w:ascii="宋体" w:hAnsi="宋体" w:eastAsia="宋体"/>
                <w:sz w:val="16"/>
              </w:rPr>
              <w:t>质量指标</w:t>
            </w:r>
          </w:p>
        </w:tc>
        <w:tc>
          <w:tcPr>
            <w:tcW w:w="8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F7219">
            <w:pPr>
              <w:jc w:val="center"/>
            </w:pPr>
            <w:r>
              <w:rPr>
                <w:rFonts w:ascii="宋体" w:hAnsi="宋体" w:eastAsia="宋体"/>
                <w:sz w:val="16"/>
              </w:rPr>
              <w:t>印制验收合格率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6E0CCC0">
            <w:pPr>
              <w:jc w:val="center"/>
            </w:pPr>
            <w:r>
              <w:rPr>
                <w:rFonts w:ascii="宋体" w:hAnsi="宋体" w:eastAsia="宋体"/>
                <w:sz w:val="16"/>
              </w:rPr>
              <w:t>=100%</w:t>
            </w:r>
          </w:p>
        </w:tc>
        <w:tc>
          <w:tcPr>
            <w:tcW w:w="7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47AFE">
            <w:pPr>
              <w:jc w:val="center"/>
            </w:pPr>
            <w:r>
              <w:rPr>
                <w:rFonts w:ascii="宋体" w:hAnsi="宋体" w:eastAsia="宋体"/>
                <w:sz w:val="16"/>
              </w:rPr>
              <w:t>计划标准</w:t>
            </w:r>
          </w:p>
        </w:tc>
        <w:tc>
          <w:tcPr>
            <w:tcW w:w="442" w:type="dxa"/>
            <w:tcBorders>
              <w:top w:val="single" w:color="auto" w:sz="10" w:space="0"/>
              <w:left w:val="single" w:color="auto" w:sz="10" w:space="0"/>
              <w:bottom w:val="single" w:color="auto" w:sz="10" w:space="0"/>
              <w:right w:val="single" w:color="auto" w:sz="10" w:space="0"/>
              <w:insideV w:val="single" w:sz="10" w:space="0"/>
            </w:tcBorders>
            <w:vAlign w:val="center"/>
          </w:tcPr>
          <w:p w14:paraId="42D0EA8A">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578BD83B">
            <w:pPr>
              <w:jc w:val="center"/>
            </w:pPr>
            <w:r>
              <w:rPr>
                <w:rFonts w:ascii="宋体" w:hAnsi="宋体" w:eastAsia="宋体"/>
                <w:sz w:val="16"/>
              </w:rPr>
              <w:t>7</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AF776B6">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034412C8">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0E8DA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86847">
            <w:pPr>
              <w:jc w:val="center"/>
            </w:pPr>
            <w:r>
              <w:rPr>
                <w:rFonts w:ascii="宋体" w:hAnsi="宋体" w:eastAsia="宋体"/>
                <w:sz w:val="16"/>
              </w:rPr>
              <w:t>7</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7EEBA">
            <w:pPr>
              <w:jc w:val="center"/>
            </w:pPr>
          </w:p>
        </w:tc>
      </w:tr>
      <w:tr w14:paraId="21CA582F">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5FF3AE7D"/>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14:paraId="6AB89976"/>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14:paraId="6AC380C3"/>
        </w:tc>
        <w:tc>
          <w:tcPr>
            <w:tcW w:w="8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08461">
            <w:pPr>
              <w:jc w:val="center"/>
            </w:pPr>
            <w:r>
              <w:rPr>
                <w:rFonts w:ascii="宋体" w:hAnsi="宋体" w:eastAsia="宋体"/>
                <w:sz w:val="16"/>
              </w:rPr>
              <w:t>项目验收合格率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C3B9C7A">
            <w:pPr>
              <w:jc w:val="center"/>
            </w:pPr>
            <w:r>
              <w:rPr>
                <w:rFonts w:ascii="宋体" w:hAnsi="宋体" w:eastAsia="宋体"/>
                <w:sz w:val="16"/>
              </w:rPr>
              <w:t>=100%</w:t>
            </w:r>
          </w:p>
        </w:tc>
        <w:tc>
          <w:tcPr>
            <w:tcW w:w="7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8AA1D">
            <w:pPr>
              <w:jc w:val="center"/>
            </w:pPr>
            <w:r>
              <w:rPr>
                <w:rFonts w:ascii="宋体" w:hAnsi="宋体" w:eastAsia="宋体"/>
                <w:sz w:val="16"/>
              </w:rPr>
              <w:t>计划标准</w:t>
            </w:r>
          </w:p>
        </w:tc>
        <w:tc>
          <w:tcPr>
            <w:tcW w:w="442" w:type="dxa"/>
            <w:tcBorders>
              <w:top w:val="single" w:color="auto" w:sz="10" w:space="0"/>
              <w:left w:val="single" w:color="auto" w:sz="10" w:space="0"/>
              <w:bottom w:val="single" w:color="auto" w:sz="10" w:space="0"/>
              <w:right w:val="single" w:color="auto" w:sz="10" w:space="0"/>
              <w:insideV w:val="single" w:sz="10" w:space="0"/>
            </w:tcBorders>
            <w:vAlign w:val="center"/>
          </w:tcPr>
          <w:p w14:paraId="285562D8">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54BFFA4A">
            <w:pPr>
              <w:jc w:val="center"/>
            </w:pPr>
            <w:r>
              <w:rPr>
                <w:rFonts w:ascii="宋体" w:hAnsi="宋体" w:eastAsia="宋体"/>
                <w:sz w:val="16"/>
              </w:rPr>
              <w:t>7</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4D94190C">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01AB794B">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7CC02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D781A">
            <w:pPr>
              <w:jc w:val="center"/>
            </w:pPr>
            <w:r>
              <w:rPr>
                <w:rFonts w:ascii="宋体" w:hAnsi="宋体" w:eastAsia="宋体"/>
                <w:sz w:val="16"/>
              </w:rPr>
              <w:t>7</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CEE4B">
            <w:pPr>
              <w:jc w:val="center"/>
            </w:pPr>
          </w:p>
        </w:tc>
      </w:tr>
      <w:tr w14:paraId="22542B02">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31B6A137"/>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14:paraId="0B62BE28"/>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2CD7C321">
            <w:pPr>
              <w:jc w:val="center"/>
            </w:pPr>
            <w:r>
              <w:rPr>
                <w:rFonts w:ascii="宋体" w:hAnsi="宋体" w:eastAsia="宋体"/>
                <w:sz w:val="16"/>
              </w:rPr>
              <w:t>时效指标</w:t>
            </w:r>
          </w:p>
        </w:tc>
        <w:tc>
          <w:tcPr>
            <w:tcW w:w="8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FA3CF">
            <w:pPr>
              <w:jc w:val="center"/>
            </w:pPr>
            <w:r>
              <w:rPr>
                <w:rFonts w:ascii="宋体" w:hAnsi="宋体" w:eastAsia="宋体"/>
                <w:sz w:val="16"/>
              </w:rPr>
              <w:t>实地科考天数</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C3253E4">
            <w:pPr>
              <w:jc w:val="center"/>
            </w:pPr>
            <w:r>
              <w:rPr>
                <w:rFonts w:ascii="宋体" w:hAnsi="宋体" w:eastAsia="宋体"/>
                <w:sz w:val="16"/>
              </w:rPr>
              <w:t>&gt;=5天</w:t>
            </w:r>
          </w:p>
        </w:tc>
        <w:tc>
          <w:tcPr>
            <w:tcW w:w="7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E5D5F">
            <w:pPr>
              <w:jc w:val="center"/>
            </w:pPr>
            <w:r>
              <w:rPr>
                <w:rFonts w:ascii="宋体" w:hAnsi="宋体" w:eastAsia="宋体"/>
                <w:sz w:val="16"/>
              </w:rPr>
              <w:t>计划标准</w:t>
            </w:r>
          </w:p>
        </w:tc>
        <w:tc>
          <w:tcPr>
            <w:tcW w:w="442" w:type="dxa"/>
            <w:tcBorders>
              <w:top w:val="single" w:color="auto" w:sz="10" w:space="0"/>
              <w:left w:val="single" w:color="auto" w:sz="10" w:space="0"/>
              <w:bottom w:val="single" w:color="auto" w:sz="10" w:space="0"/>
              <w:right w:val="single" w:color="auto" w:sz="10" w:space="0"/>
              <w:insideV w:val="single" w:sz="10" w:space="0"/>
            </w:tcBorders>
            <w:vAlign w:val="center"/>
          </w:tcPr>
          <w:p w14:paraId="18418EBD">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4EC88720">
            <w:pPr>
              <w:jc w:val="center"/>
            </w:pPr>
            <w:r>
              <w:rPr>
                <w:rFonts w:ascii="宋体" w:hAnsi="宋体" w:eastAsia="宋体"/>
                <w:sz w:val="16"/>
              </w:rPr>
              <w:t>7</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5E2FFE65">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20DFE1F9">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6A2A95C">
            <w:pPr>
              <w:jc w:val="center"/>
            </w:pPr>
            <w:r>
              <w:rPr>
                <w:rFonts w:ascii="宋体" w:hAnsi="宋体" w:eastAsia="宋体"/>
                <w:sz w:val="16"/>
              </w:rPr>
              <w:t>=5天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DC19A">
            <w:pPr>
              <w:jc w:val="center"/>
            </w:pPr>
            <w:r>
              <w:rPr>
                <w:rFonts w:ascii="宋体" w:hAnsi="宋体" w:eastAsia="宋体"/>
                <w:sz w:val="16"/>
              </w:rPr>
              <w:t>7</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98EFA">
            <w:pPr>
              <w:jc w:val="center"/>
            </w:pPr>
          </w:p>
        </w:tc>
      </w:tr>
      <w:tr w14:paraId="2C7738FC">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5914420B"/>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023349">
            <w:pPr>
              <w:jc w:val="center"/>
            </w:pPr>
            <w:r>
              <w:rPr>
                <w:rFonts w:ascii="宋体" w:hAnsi="宋体" w:eastAsia="宋体"/>
                <w:sz w:val="16"/>
              </w:rPr>
              <w:t>成本指标</w:t>
            </w: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27DDBE">
            <w:pPr>
              <w:jc w:val="center"/>
            </w:pPr>
            <w:r>
              <w:rPr>
                <w:rFonts w:ascii="宋体" w:hAnsi="宋体" w:eastAsia="宋体"/>
                <w:sz w:val="16"/>
              </w:rPr>
              <w:t>经济成本指标</w:t>
            </w:r>
          </w:p>
        </w:tc>
        <w:tc>
          <w:tcPr>
            <w:tcW w:w="8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92E85">
            <w:pPr>
              <w:jc w:val="center"/>
            </w:pPr>
            <w:r>
              <w:rPr>
                <w:rFonts w:ascii="宋体" w:hAnsi="宋体" w:eastAsia="宋体"/>
                <w:sz w:val="16"/>
              </w:rPr>
              <w:t>审计咨询费</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E3F103D">
            <w:pPr>
              <w:jc w:val="center"/>
            </w:pPr>
            <w:r>
              <w:rPr>
                <w:rFonts w:ascii="宋体" w:hAnsi="宋体" w:eastAsia="宋体"/>
                <w:sz w:val="16"/>
              </w:rPr>
              <w:t>&lt;=3500元</w:t>
            </w:r>
          </w:p>
        </w:tc>
        <w:tc>
          <w:tcPr>
            <w:tcW w:w="7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B59BD">
            <w:pPr>
              <w:jc w:val="center"/>
            </w:pPr>
            <w:r>
              <w:rPr>
                <w:rFonts w:ascii="宋体" w:hAnsi="宋体" w:eastAsia="宋体"/>
                <w:sz w:val="16"/>
              </w:rPr>
              <w:t>计划标准</w:t>
            </w:r>
          </w:p>
        </w:tc>
        <w:tc>
          <w:tcPr>
            <w:tcW w:w="442" w:type="dxa"/>
            <w:tcBorders>
              <w:top w:val="single" w:color="auto" w:sz="10" w:space="0"/>
              <w:left w:val="single" w:color="auto" w:sz="10" w:space="0"/>
              <w:bottom w:val="single" w:color="auto" w:sz="10" w:space="0"/>
              <w:right w:val="single" w:color="auto" w:sz="10" w:space="0"/>
              <w:insideV w:val="single" w:sz="10" w:space="0"/>
            </w:tcBorders>
            <w:vAlign w:val="center"/>
          </w:tcPr>
          <w:p w14:paraId="6CDEA3F6">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0DC9C694">
            <w:pPr>
              <w:jc w:val="center"/>
            </w:pPr>
            <w:r>
              <w:rPr>
                <w:rFonts w:ascii="宋体" w:hAnsi="宋体" w:eastAsia="宋体"/>
                <w:sz w:val="16"/>
              </w:rPr>
              <w:t>4</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2AE4E7BB">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CB7DF93">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891F138">
            <w:pPr>
              <w:jc w:val="center"/>
            </w:pPr>
            <w:r>
              <w:rPr>
                <w:rFonts w:ascii="宋体" w:hAnsi="宋体" w:eastAsia="宋体"/>
                <w:sz w:val="16"/>
              </w:rPr>
              <w:t>=3500元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0A139">
            <w:pPr>
              <w:jc w:val="center"/>
            </w:pPr>
            <w:r>
              <w:rPr>
                <w:rFonts w:ascii="宋体" w:hAnsi="宋体" w:eastAsia="宋体"/>
                <w:sz w:val="16"/>
              </w:rPr>
              <w:t>4</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95299">
            <w:pPr>
              <w:jc w:val="center"/>
            </w:pPr>
          </w:p>
        </w:tc>
      </w:tr>
      <w:tr w14:paraId="3E057640">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0C93EE0F"/>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14:paraId="56F6E396"/>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14:paraId="0C7DC07D"/>
        </w:tc>
        <w:tc>
          <w:tcPr>
            <w:tcW w:w="8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161A5">
            <w:pPr>
              <w:jc w:val="center"/>
            </w:pPr>
            <w:r>
              <w:rPr>
                <w:rFonts w:ascii="宋体" w:hAnsi="宋体" w:eastAsia="宋体"/>
                <w:sz w:val="16"/>
              </w:rPr>
              <w:t>委托业务费</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778E8CC">
            <w:pPr>
              <w:jc w:val="center"/>
            </w:pPr>
            <w:r>
              <w:rPr>
                <w:rFonts w:ascii="宋体" w:hAnsi="宋体" w:eastAsia="宋体"/>
                <w:sz w:val="16"/>
              </w:rPr>
              <w:t>&lt;=165800元</w:t>
            </w:r>
          </w:p>
        </w:tc>
        <w:tc>
          <w:tcPr>
            <w:tcW w:w="7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C3DA1">
            <w:pPr>
              <w:jc w:val="center"/>
            </w:pPr>
            <w:r>
              <w:rPr>
                <w:rFonts w:ascii="宋体" w:hAnsi="宋体" w:eastAsia="宋体"/>
                <w:sz w:val="16"/>
              </w:rPr>
              <w:t>计划标准</w:t>
            </w:r>
          </w:p>
        </w:tc>
        <w:tc>
          <w:tcPr>
            <w:tcW w:w="442" w:type="dxa"/>
            <w:tcBorders>
              <w:top w:val="single" w:color="auto" w:sz="10" w:space="0"/>
              <w:left w:val="single" w:color="auto" w:sz="10" w:space="0"/>
              <w:bottom w:val="single" w:color="auto" w:sz="10" w:space="0"/>
              <w:right w:val="single" w:color="auto" w:sz="10" w:space="0"/>
              <w:insideV w:val="single" w:sz="10" w:space="0"/>
            </w:tcBorders>
            <w:vAlign w:val="center"/>
          </w:tcPr>
          <w:p w14:paraId="6A0E0CE4">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0F48E7B1">
            <w:pPr>
              <w:jc w:val="center"/>
            </w:pPr>
            <w:r>
              <w:rPr>
                <w:rFonts w:ascii="宋体" w:hAnsi="宋体" w:eastAsia="宋体"/>
                <w:sz w:val="16"/>
              </w:rPr>
              <w:t>4</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31778DE">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47CB422">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623C796">
            <w:pPr>
              <w:jc w:val="center"/>
            </w:pPr>
            <w:r>
              <w:rPr>
                <w:rFonts w:ascii="宋体" w:hAnsi="宋体" w:eastAsia="宋体"/>
                <w:sz w:val="16"/>
              </w:rPr>
              <w:t>=165800元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503B6">
            <w:pPr>
              <w:jc w:val="center"/>
            </w:pPr>
            <w:r>
              <w:rPr>
                <w:rFonts w:ascii="宋体" w:hAnsi="宋体" w:eastAsia="宋体"/>
                <w:sz w:val="16"/>
              </w:rPr>
              <w:t>4</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34A61">
            <w:pPr>
              <w:jc w:val="center"/>
            </w:pPr>
          </w:p>
        </w:tc>
      </w:tr>
      <w:tr w14:paraId="4D31BEBE">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0E156C91"/>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14:paraId="1DC81512"/>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14:paraId="2F67F685"/>
        </w:tc>
        <w:tc>
          <w:tcPr>
            <w:tcW w:w="8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D5C54">
            <w:pPr>
              <w:jc w:val="center"/>
            </w:pPr>
            <w:r>
              <w:rPr>
                <w:rFonts w:ascii="宋体" w:hAnsi="宋体" w:eastAsia="宋体"/>
                <w:sz w:val="16"/>
              </w:rPr>
              <w:t>邮寄费</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CEC15DA">
            <w:pPr>
              <w:jc w:val="center"/>
            </w:pPr>
            <w:r>
              <w:rPr>
                <w:rFonts w:ascii="宋体" w:hAnsi="宋体" w:eastAsia="宋体"/>
                <w:sz w:val="16"/>
              </w:rPr>
              <w:t>&lt;=145元</w:t>
            </w:r>
          </w:p>
        </w:tc>
        <w:tc>
          <w:tcPr>
            <w:tcW w:w="7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767E1">
            <w:pPr>
              <w:jc w:val="center"/>
            </w:pPr>
            <w:r>
              <w:rPr>
                <w:rFonts w:ascii="宋体" w:hAnsi="宋体" w:eastAsia="宋体"/>
                <w:sz w:val="16"/>
              </w:rPr>
              <w:t>计划标准</w:t>
            </w:r>
          </w:p>
        </w:tc>
        <w:tc>
          <w:tcPr>
            <w:tcW w:w="442" w:type="dxa"/>
            <w:tcBorders>
              <w:top w:val="single" w:color="auto" w:sz="10" w:space="0"/>
              <w:left w:val="single" w:color="auto" w:sz="10" w:space="0"/>
              <w:bottom w:val="single" w:color="auto" w:sz="10" w:space="0"/>
              <w:right w:val="single" w:color="auto" w:sz="10" w:space="0"/>
              <w:insideV w:val="single" w:sz="10" w:space="0"/>
            </w:tcBorders>
            <w:vAlign w:val="center"/>
          </w:tcPr>
          <w:p w14:paraId="30EB8862">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442EC9E9">
            <w:pPr>
              <w:jc w:val="center"/>
            </w:pPr>
            <w:r>
              <w:rPr>
                <w:rFonts w:ascii="宋体" w:hAnsi="宋体" w:eastAsia="宋体"/>
                <w:sz w:val="16"/>
              </w:rPr>
              <w:t>4</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69FE07A">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5032A5C9">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8C0BEC5">
            <w:pPr>
              <w:jc w:val="center"/>
            </w:pPr>
            <w:r>
              <w:rPr>
                <w:rFonts w:ascii="宋体" w:hAnsi="宋体" w:eastAsia="宋体"/>
                <w:sz w:val="16"/>
              </w:rPr>
              <w:t>=145元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A9DFD">
            <w:pPr>
              <w:jc w:val="center"/>
            </w:pPr>
            <w:r>
              <w:rPr>
                <w:rFonts w:ascii="宋体" w:hAnsi="宋体" w:eastAsia="宋体"/>
                <w:sz w:val="16"/>
              </w:rPr>
              <w:t>4</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E5A37">
            <w:pPr>
              <w:jc w:val="center"/>
            </w:pPr>
          </w:p>
        </w:tc>
      </w:tr>
      <w:tr w14:paraId="2D089314">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07CD0B3E"/>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14:paraId="0DA0C93B"/>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14:paraId="4E943F69"/>
        </w:tc>
        <w:tc>
          <w:tcPr>
            <w:tcW w:w="8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EB019">
            <w:pPr>
              <w:jc w:val="center"/>
            </w:pPr>
            <w:r>
              <w:rPr>
                <w:rFonts w:ascii="宋体" w:hAnsi="宋体" w:eastAsia="宋体"/>
                <w:sz w:val="16"/>
              </w:rPr>
              <w:t>差旅费</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AEC845A">
            <w:pPr>
              <w:jc w:val="center"/>
            </w:pPr>
            <w:r>
              <w:rPr>
                <w:rFonts w:ascii="宋体" w:hAnsi="宋体" w:eastAsia="宋体"/>
                <w:sz w:val="16"/>
              </w:rPr>
              <w:t>&lt;=14430元</w:t>
            </w:r>
          </w:p>
        </w:tc>
        <w:tc>
          <w:tcPr>
            <w:tcW w:w="7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7F33B">
            <w:pPr>
              <w:jc w:val="center"/>
            </w:pPr>
            <w:r>
              <w:rPr>
                <w:rFonts w:ascii="宋体" w:hAnsi="宋体" w:eastAsia="宋体"/>
                <w:sz w:val="16"/>
              </w:rPr>
              <w:t>计划标准</w:t>
            </w:r>
          </w:p>
        </w:tc>
        <w:tc>
          <w:tcPr>
            <w:tcW w:w="442" w:type="dxa"/>
            <w:tcBorders>
              <w:top w:val="single" w:color="auto" w:sz="10" w:space="0"/>
              <w:left w:val="single" w:color="auto" w:sz="10" w:space="0"/>
              <w:bottom w:val="single" w:color="auto" w:sz="10" w:space="0"/>
              <w:right w:val="single" w:color="auto" w:sz="10" w:space="0"/>
              <w:insideV w:val="single" w:sz="10" w:space="0"/>
            </w:tcBorders>
            <w:vAlign w:val="center"/>
          </w:tcPr>
          <w:p w14:paraId="42A7CD77">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0A08B9D7">
            <w:pPr>
              <w:jc w:val="center"/>
            </w:pPr>
            <w:r>
              <w:rPr>
                <w:rFonts w:ascii="宋体" w:hAnsi="宋体" w:eastAsia="宋体"/>
                <w:sz w:val="16"/>
              </w:rPr>
              <w:t>4</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0A78B9D">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42684776">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E691FC5">
            <w:pPr>
              <w:jc w:val="center"/>
            </w:pPr>
            <w:r>
              <w:rPr>
                <w:rFonts w:ascii="宋体" w:hAnsi="宋体" w:eastAsia="宋体"/>
                <w:sz w:val="16"/>
              </w:rPr>
              <w:t>=14430元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6E903">
            <w:pPr>
              <w:jc w:val="center"/>
            </w:pPr>
            <w:r>
              <w:rPr>
                <w:rFonts w:ascii="宋体" w:hAnsi="宋体" w:eastAsia="宋体"/>
                <w:sz w:val="16"/>
              </w:rPr>
              <w:t>4</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D4E50">
            <w:pPr>
              <w:jc w:val="center"/>
            </w:pPr>
          </w:p>
        </w:tc>
      </w:tr>
      <w:tr w14:paraId="64A40511">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79DD48E2"/>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14:paraId="1CB6EA40"/>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14:paraId="6D8988CF"/>
        </w:tc>
        <w:tc>
          <w:tcPr>
            <w:tcW w:w="8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408AF">
            <w:pPr>
              <w:jc w:val="center"/>
            </w:pPr>
            <w:r>
              <w:rPr>
                <w:rFonts w:ascii="宋体" w:hAnsi="宋体" w:eastAsia="宋体"/>
                <w:sz w:val="16"/>
              </w:rPr>
              <w:t>广告宣传费</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69FDCF0">
            <w:pPr>
              <w:jc w:val="center"/>
            </w:pPr>
            <w:r>
              <w:rPr>
                <w:rFonts w:ascii="宋体" w:hAnsi="宋体" w:eastAsia="宋体"/>
                <w:sz w:val="16"/>
              </w:rPr>
              <w:t>&lt;=1125元</w:t>
            </w:r>
          </w:p>
        </w:tc>
        <w:tc>
          <w:tcPr>
            <w:tcW w:w="7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44342">
            <w:pPr>
              <w:jc w:val="center"/>
            </w:pPr>
            <w:r>
              <w:rPr>
                <w:rFonts w:ascii="宋体" w:hAnsi="宋体" w:eastAsia="宋体"/>
                <w:sz w:val="16"/>
              </w:rPr>
              <w:t>计划标准</w:t>
            </w:r>
          </w:p>
        </w:tc>
        <w:tc>
          <w:tcPr>
            <w:tcW w:w="442" w:type="dxa"/>
            <w:tcBorders>
              <w:top w:val="single" w:color="auto" w:sz="10" w:space="0"/>
              <w:left w:val="single" w:color="auto" w:sz="10" w:space="0"/>
              <w:bottom w:val="single" w:color="auto" w:sz="10" w:space="0"/>
              <w:right w:val="single" w:color="auto" w:sz="10" w:space="0"/>
              <w:insideV w:val="single" w:sz="10" w:space="0"/>
            </w:tcBorders>
            <w:vAlign w:val="center"/>
          </w:tcPr>
          <w:p w14:paraId="2D572B22">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126E08B2">
            <w:pPr>
              <w:jc w:val="center"/>
            </w:pPr>
            <w:r>
              <w:rPr>
                <w:rFonts w:ascii="宋体" w:hAnsi="宋体" w:eastAsia="宋体"/>
                <w:sz w:val="16"/>
              </w:rPr>
              <w:t>4</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567658CF">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4CE2D816">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B4D9077">
            <w:pPr>
              <w:jc w:val="center"/>
            </w:pPr>
            <w:r>
              <w:rPr>
                <w:rFonts w:ascii="宋体" w:hAnsi="宋体" w:eastAsia="宋体"/>
                <w:sz w:val="16"/>
              </w:rPr>
              <w:t>=1125元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94943">
            <w:pPr>
              <w:jc w:val="center"/>
            </w:pPr>
            <w:r>
              <w:rPr>
                <w:rFonts w:ascii="宋体" w:hAnsi="宋体" w:eastAsia="宋体"/>
                <w:sz w:val="16"/>
              </w:rPr>
              <w:t>4</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C9349">
            <w:pPr>
              <w:jc w:val="center"/>
            </w:pPr>
          </w:p>
        </w:tc>
      </w:tr>
      <w:tr w14:paraId="3EBE4064">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30E8CD8B"/>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25335D3">
            <w:pPr>
              <w:jc w:val="center"/>
            </w:pPr>
            <w:r>
              <w:rPr>
                <w:rFonts w:ascii="宋体" w:hAnsi="宋体" w:eastAsia="宋体"/>
                <w:sz w:val="16"/>
              </w:rPr>
              <w:t>效益指标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28FA892E">
            <w:pPr>
              <w:jc w:val="center"/>
            </w:pPr>
            <w:r>
              <w:rPr>
                <w:rFonts w:ascii="宋体" w:hAnsi="宋体" w:eastAsia="宋体"/>
                <w:sz w:val="16"/>
              </w:rPr>
              <w:t>社会效益指标</w:t>
            </w:r>
          </w:p>
        </w:tc>
        <w:tc>
          <w:tcPr>
            <w:tcW w:w="8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B4C14">
            <w:pPr>
              <w:jc w:val="center"/>
            </w:pPr>
            <w:r>
              <w:rPr>
                <w:rFonts w:ascii="宋体" w:hAnsi="宋体" w:eastAsia="宋体"/>
                <w:sz w:val="16"/>
              </w:rPr>
              <w:t>促进旅游发展，提供旅游新路线</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BB8A6CC">
            <w:pPr>
              <w:jc w:val="center"/>
            </w:pPr>
            <w:r>
              <w:rPr>
                <w:rFonts w:ascii="宋体" w:hAnsi="宋体" w:eastAsia="宋体"/>
                <w:sz w:val="16"/>
              </w:rPr>
              <w:t>促进</w:t>
            </w:r>
          </w:p>
        </w:tc>
        <w:tc>
          <w:tcPr>
            <w:tcW w:w="7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5FA6D">
            <w:pPr>
              <w:jc w:val="center"/>
            </w:pPr>
            <w:r>
              <w:rPr>
                <w:rFonts w:ascii="宋体" w:hAnsi="宋体" w:eastAsia="宋体"/>
                <w:sz w:val="16"/>
              </w:rPr>
              <w:t>计划标准</w:t>
            </w:r>
          </w:p>
        </w:tc>
        <w:tc>
          <w:tcPr>
            <w:tcW w:w="442" w:type="dxa"/>
            <w:tcBorders>
              <w:top w:val="single" w:color="auto" w:sz="10" w:space="0"/>
              <w:left w:val="single" w:color="auto" w:sz="10" w:space="0"/>
              <w:bottom w:val="single" w:color="auto" w:sz="10" w:space="0"/>
              <w:right w:val="single" w:color="auto" w:sz="10" w:space="0"/>
              <w:insideV w:val="single" w:sz="10" w:space="0"/>
            </w:tcBorders>
            <w:vAlign w:val="center"/>
          </w:tcPr>
          <w:p w14:paraId="1F45ACE9">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71E5AA09">
            <w:pPr>
              <w:jc w:val="center"/>
            </w:pPr>
            <w:r>
              <w:rPr>
                <w:rFonts w:ascii="宋体" w:hAnsi="宋体" w:eastAsia="宋体"/>
                <w:sz w:val="16"/>
              </w:rPr>
              <w:t>30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576128D9">
            <w:pPr>
              <w:jc w:val="center"/>
            </w:pPr>
            <w:r>
              <w:rPr>
                <w:rFonts w:ascii="宋体" w:hAnsi="宋体" w:eastAsia="宋体"/>
                <w:sz w:val="16"/>
              </w:rPr>
              <w:t>按评判等级赋分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16A9C83C">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3CCFFB9">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9A873">
            <w:pPr>
              <w:jc w:val="center"/>
            </w:pPr>
            <w:r>
              <w:rPr>
                <w:rFonts w:ascii="宋体" w:hAnsi="宋体" w:eastAsia="宋体"/>
                <w:sz w:val="16"/>
              </w:rPr>
              <w:t>30</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DD000">
            <w:pPr>
              <w:jc w:val="center"/>
            </w:pPr>
          </w:p>
        </w:tc>
      </w:tr>
      <w:tr w14:paraId="6EE9CDE5">
        <w:tblPrEx>
          <w:tblCellMar>
            <w:top w:w="0" w:type="dxa"/>
            <w:left w:w="108" w:type="dxa"/>
            <w:bottom w:w="0" w:type="dxa"/>
            <w:right w:w="108" w:type="dxa"/>
          </w:tblCellMar>
        </w:tblPrEx>
        <w:tc>
          <w:tcPr>
            <w:tcW w:w="4572"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5D64971A">
            <w:pPr>
              <w:jc w:val="center"/>
            </w:pPr>
            <w:r>
              <w:rPr>
                <w:rFonts w:ascii="宋体" w:hAnsi="宋体" w:eastAsia="宋体"/>
                <w:sz w:val="16"/>
              </w:rPr>
              <w:t>总分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31DBD14C">
            <w:pPr>
              <w:jc w:val="center"/>
            </w:pPr>
            <w:r>
              <w:rPr>
                <w:rFonts w:ascii="宋体" w:hAnsi="宋体" w:eastAsia="宋体"/>
                <w:sz w:val="16"/>
              </w:rPr>
              <w:t>100</w:t>
            </w:r>
          </w:p>
        </w:tc>
        <w:tc>
          <w:tcPr>
            <w:tcW w:w="2008" w:type="dxa"/>
            <w:gridSpan w:val="3"/>
            <w:tcBorders>
              <w:top w:val="single" w:color="auto" w:sz="10" w:space="0"/>
              <w:left w:val="single" w:color="auto" w:sz="10" w:space="0"/>
              <w:bottom w:val="single" w:color="auto" w:sz="10" w:space="0"/>
              <w:right w:val="single" w:color="auto" w:sz="10" w:space="0"/>
              <w:insideV w:val="single" w:sz="10" w:space="0"/>
            </w:tcBorders>
          </w:tcPr>
          <w:p w14:paraId="31C37F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CA722">
            <w:pPr>
              <w:jc w:val="center"/>
            </w:pPr>
            <w:r>
              <w:rPr>
                <w:rFonts w:ascii="宋体" w:hAnsi="宋体" w:eastAsia="宋体"/>
                <w:sz w:val="16"/>
              </w:rPr>
              <w:t>100分</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tcPr>
          <w:p w14:paraId="18111D90"/>
        </w:tc>
      </w:tr>
    </w:tbl>
    <w:p w14:paraId="21904557">
      <w:r>
        <w:br w:type="page"/>
      </w:r>
    </w:p>
    <w:tbl>
      <w:tblPr>
        <w:tblStyle w:val="9"/>
        <w:tblW w:w="0" w:type="auto"/>
        <w:tblInd w:w="0" w:type="dxa"/>
        <w:tblLayout w:type="autofit"/>
        <w:tblCellMar>
          <w:top w:w="0" w:type="dxa"/>
          <w:left w:w="108" w:type="dxa"/>
          <w:bottom w:w="0" w:type="dxa"/>
          <w:right w:w="108" w:type="dxa"/>
        </w:tblCellMar>
      </w:tblPr>
      <w:tblGrid>
        <w:gridCol w:w="623"/>
        <w:gridCol w:w="609"/>
        <w:gridCol w:w="609"/>
        <w:gridCol w:w="623"/>
        <w:gridCol w:w="776"/>
        <w:gridCol w:w="609"/>
        <w:gridCol w:w="609"/>
        <w:gridCol w:w="616"/>
        <w:gridCol w:w="609"/>
        <w:gridCol w:w="609"/>
        <w:gridCol w:w="936"/>
        <w:gridCol w:w="631"/>
        <w:gridCol w:w="577"/>
        <w:gridCol w:w="624"/>
      </w:tblGrid>
      <w:tr w14:paraId="128B5641">
        <w:tblPrEx>
          <w:tblCellMar>
            <w:top w:w="0" w:type="dxa"/>
            <w:left w:w="108" w:type="dxa"/>
            <w:bottom w:w="0" w:type="dxa"/>
            <w:right w:w="108" w:type="dxa"/>
          </w:tblCellMar>
        </w:tblPrEx>
        <w:tc>
          <w:tcPr>
            <w:tcW w:w="8848" w:type="dxa"/>
            <w:gridSpan w:val="14"/>
            <w:vAlign w:val="center"/>
          </w:tcPr>
          <w:p w14:paraId="05F89F48">
            <w:pPr>
              <w:jc w:val="center"/>
            </w:pPr>
            <w:r>
              <w:rPr>
                <w:rFonts w:ascii="宋体" w:hAnsi="宋体" w:eastAsia="宋体"/>
                <w:sz w:val="24"/>
              </w:rPr>
              <w:t>项目支出绩效自评表</w:t>
            </w:r>
          </w:p>
        </w:tc>
      </w:tr>
      <w:tr w14:paraId="151A145F">
        <w:tblPrEx>
          <w:tblCellMar>
            <w:top w:w="0" w:type="dxa"/>
            <w:left w:w="108" w:type="dxa"/>
            <w:bottom w:w="0" w:type="dxa"/>
            <w:right w:w="108" w:type="dxa"/>
          </w:tblCellMar>
        </w:tblPrEx>
        <w:tc>
          <w:tcPr>
            <w:tcW w:w="8848" w:type="dxa"/>
            <w:gridSpan w:val="14"/>
            <w:vAlign w:val="center"/>
          </w:tcPr>
          <w:p w14:paraId="7A53B62D">
            <w:pPr>
              <w:jc w:val="center"/>
            </w:pPr>
            <w:r>
              <w:rPr>
                <w:rFonts w:ascii="宋体" w:hAnsi="宋体" w:eastAsia="宋体"/>
                <w:sz w:val="24"/>
              </w:rPr>
              <w:t>(2024年度)</w:t>
            </w:r>
          </w:p>
        </w:tc>
      </w:tr>
      <w:tr w14:paraId="4F8AE4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B35C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1D98A12">
            <w:pPr>
              <w:jc w:val="center"/>
            </w:pPr>
            <w:r>
              <w:rPr>
                <w:rFonts w:ascii="宋体" w:hAnsi="宋体" w:eastAsia="宋体"/>
                <w:sz w:val="16"/>
              </w:rPr>
              <w:t>“大道之行山东近现代历史文化”巡展项目</w:t>
            </w:r>
          </w:p>
        </w:tc>
      </w:tr>
      <w:tr w14:paraId="770D3E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36E1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9157D4">
            <w:pPr>
              <w:jc w:val="center"/>
            </w:pPr>
            <w:r>
              <w:rPr>
                <w:rFonts w:ascii="宋体" w:hAnsi="宋体" w:eastAsia="宋体"/>
                <w:sz w:val="16"/>
              </w:rPr>
              <w:t>新疆维吾尔自治区喀什地区文化广播电视和旅游局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1DD1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583F3C">
            <w:pPr>
              <w:jc w:val="center"/>
            </w:pPr>
            <w:r>
              <w:rPr>
                <w:rFonts w:ascii="宋体" w:hAnsi="宋体" w:eastAsia="宋体"/>
                <w:sz w:val="16"/>
              </w:rPr>
              <w:t>喀什地区文物局</w:t>
            </w:r>
          </w:p>
        </w:tc>
      </w:tr>
      <w:tr w14:paraId="44AC0CF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93E99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B950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1CFB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0A8E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3B1A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EC43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6A63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07951">
            <w:pPr>
              <w:jc w:val="center"/>
            </w:pPr>
            <w:r>
              <w:rPr>
                <w:rFonts w:ascii="宋体" w:hAnsi="宋体" w:eastAsia="宋体"/>
                <w:sz w:val="16"/>
              </w:rPr>
              <w:t>得分</w:t>
            </w:r>
          </w:p>
        </w:tc>
      </w:tr>
      <w:tr w14:paraId="684055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00AC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4FFB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D96A8">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87225">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D56A3">
            <w:pPr>
              <w:jc w:val="center"/>
            </w:pPr>
            <w:r>
              <w:rPr>
                <w:rFonts w:ascii="宋体" w:hAnsi="宋体" w:eastAsia="宋体"/>
                <w:sz w:val="16"/>
              </w:rPr>
              <w:t>18.48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61C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7F67E">
            <w:pPr>
              <w:jc w:val="center"/>
            </w:pPr>
            <w:r>
              <w:rPr>
                <w:rFonts w:ascii="宋体" w:hAnsi="宋体" w:eastAsia="宋体"/>
                <w:sz w:val="16"/>
              </w:rPr>
              <w:t>97.3%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ECCD4">
            <w:pPr>
              <w:jc w:val="center"/>
            </w:pPr>
            <w:r>
              <w:rPr>
                <w:rFonts w:ascii="宋体" w:hAnsi="宋体" w:eastAsia="宋体"/>
                <w:sz w:val="16"/>
              </w:rPr>
              <w:t>9.</w:t>
            </w:r>
            <w:r>
              <w:rPr>
                <w:rFonts w:hint="eastAsia" w:ascii="宋体" w:hAnsi="宋体"/>
                <w:sz w:val="16"/>
                <w:lang w:val="en-US" w:eastAsia="zh-CN"/>
              </w:rPr>
              <w:t>73</w:t>
            </w:r>
            <w:r>
              <w:rPr>
                <w:rFonts w:ascii="宋体" w:hAnsi="宋体" w:eastAsia="宋体"/>
                <w:sz w:val="16"/>
              </w:rPr>
              <w:t>分</w:t>
            </w:r>
          </w:p>
        </w:tc>
      </w:tr>
      <w:tr w14:paraId="7EFF4D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623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BF0D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BE6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E2E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AC7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A125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8A4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53A97">
            <w:pPr>
              <w:jc w:val="center"/>
            </w:pPr>
            <w:r>
              <w:rPr>
                <w:rFonts w:ascii="宋体" w:hAnsi="宋体" w:eastAsia="宋体"/>
                <w:sz w:val="16"/>
              </w:rPr>
              <w:t>—</w:t>
            </w:r>
          </w:p>
        </w:tc>
      </w:tr>
      <w:tr w14:paraId="3F98AE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CE4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C278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B65FF">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B23CE">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BE456">
            <w:pPr>
              <w:jc w:val="center"/>
            </w:pPr>
            <w:r>
              <w:rPr>
                <w:rFonts w:ascii="宋体" w:hAnsi="宋体" w:eastAsia="宋体"/>
                <w:sz w:val="16"/>
              </w:rPr>
              <w:t>18.48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D78B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1C9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900A0">
            <w:pPr>
              <w:jc w:val="center"/>
            </w:pPr>
            <w:r>
              <w:rPr>
                <w:rFonts w:ascii="宋体" w:hAnsi="宋体" w:eastAsia="宋体"/>
                <w:sz w:val="16"/>
              </w:rPr>
              <w:t>—</w:t>
            </w:r>
          </w:p>
        </w:tc>
      </w:tr>
      <w:tr w14:paraId="612F558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32899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352D4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435272">
            <w:pPr>
              <w:jc w:val="center"/>
            </w:pPr>
            <w:r>
              <w:rPr>
                <w:rFonts w:ascii="宋体" w:hAnsi="宋体" w:eastAsia="宋体"/>
                <w:sz w:val="16"/>
              </w:rPr>
              <w:t>实际完成情况</w:t>
            </w:r>
          </w:p>
        </w:tc>
      </w:tr>
      <w:tr w14:paraId="52C9C4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C0F67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2923EA">
            <w:pPr>
              <w:jc w:val="both"/>
            </w:pPr>
            <w:r>
              <w:rPr>
                <w:rFonts w:ascii="宋体" w:hAnsi="宋体" w:eastAsia="宋体"/>
                <w:sz w:val="16"/>
              </w:rPr>
              <w:t>为深入</w:t>
            </w:r>
            <w:r>
              <w:rPr>
                <w:rFonts w:hint="eastAsia" w:ascii="宋体" w:hAnsi="宋体"/>
                <w:sz w:val="16"/>
                <w:lang w:eastAsia="zh-CN"/>
              </w:rPr>
              <w:t>学习贯彻党的二十大精神</w:t>
            </w:r>
            <w:r>
              <w:rPr>
                <w:rFonts w:ascii="宋体" w:hAnsi="宋体" w:eastAsia="宋体"/>
                <w:sz w:val="16"/>
              </w:rPr>
              <w:t>，全面贯彻落实习近平文化思想、习近平总书记关于加强和改进民族工作的重要思想，促进鲁喀两地革命文物与民族工作、红色文化旅游融合发展。项目金额19万元，保障展览天数不少于90天，展品数量不少于30件（套），有效促进喀什地区青少年对山东红色文化的认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8EACFD">
            <w:pPr>
              <w:jc w:val="both"/>
            </w:pPr>
            <w:r>
              <w:rPr>
                <w:rFonts w:ascii="宋体" w:hAnsi="宋体" w:eastAsia="宋体"/>
                <w:sz w:val="16"/>
              </w:rPr>
              <w:t>“大道之行山东近现代历史文化”巡展项目项目资金为19万元，截至2024年12月31</w:t>
            </w:r>
            <w:r>
              <w:rPr>
                <w:rFonts w:hint="eastAsia" w:ascii="宋体" w:hAnsi="宋体"/>
                <w:sz w:val="16"/>
                <w:lang w:eastAsia="zh-CN"/>
              </w:rPr>
              <w:t>日前</w:t>
            </w:r>
            <w:r>
              <w:rPr>
                <w:rFonts w:ascii="宋体" w:hAnsi="宋体" w:eastAsia="宋体"/>
                <w:sz w:val="16"/>
              </w:rPr>
              <w:t>该项目共计支出18.48万元，结余项目资金0.52万元，经与山东援疆指挥部沟通后于2025年将剩余资金退回。“大道之行山东近现代历史文化”巡展项目2024年共计开展92天的展览时间，展品数量为30件（套），该项目的实施有效促进喀什地区青少年对山东红色文化的认识，促进了鲁喀两地的文化交融与交流。</w:t>
            </w:r>
          </w:p>
        </w:tc>
      </w:tr>
      <w:tr w14:paraId="62D0BD9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FF2C0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10D5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FD24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6366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37CC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3643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29B9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F0E1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2E33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EA45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D86E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73E1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12BE7">
            <w:pPr>
              <w:jc w:val="center"/>
            </w:pPr>
            <w:r>
              <w:rPr>
                <w:rFonts w:ascii="宋体" w:hAnsi="宋体" w:eastAsia="宋体"/>
                <w:sz w:val="16"/>
              </w:rPr>
              <w:t>偏差原因分析及改进措施</w:t>
            </w:r>
          </w:p>
        </w:tc>
      </w:tr>
      <w:tr w14:paraId="2062ECA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70C33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29EA5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1E0F9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D4D02">
            <w:pPr>
              <w:jc w:val="center"/>
            </w:pPr>
            <w:r>
              <w:rPr>
                <w:rFonts w:ascii="宋体" w:hAnsi="宋体" w:eastAsia="宋体"/>
                <w:sz w:val="16"/>
              </w:rPr>
              <w:t>展览天数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D3EC7">
            <w:pPr>
              <w:jc w:val="center"/>
            </w:pPr>
            <w:r>
              <w:rPr>
                <w:rFonts w:ascii="宋体" w:hAnsi="宋体" w:eastAsia="宋体"/>
                <w:sz w:val="16"/>
              </w:rPr>
              <w:t>&gt;=90天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370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56F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7AC8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45D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26A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A0D1B">
            <w:pPr>
              <w:jc w:val="center"/>
            </w:pPr>
            <w:r>
              <w:rPr>
                <w:rFonts w:ascii="宋体" w:hAnsi="宋体" w:eastAsia="宋体"/>
                <w:sz w:val="16"/>
              </w:rPr>
              <w:t>=92天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5096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38DA6">
            <w:pPr>
              <w:jc w:val="center"/>
            </w:pPr>
          </w:p>
        </w:tc>
      </w:tr>
      <w:tr w14:paraId="4C9CAE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EEAC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334F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6D81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9E21E">
            <w:pPr>
              <w:jc w:val="center"/>
            </w:pPr>
            <w:r>
              <w:rPr>
                <w:rFonts w:ascii="宋体" w:hAnsi="宋体" w:eastAsia="宋体"/>
                <w:sz w:val="16"/>
              </w:rPr>
              <w:t>展品数量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5DDE9">
            <w:pPr>
              <w:jc w:val="center"/>
            </w:pPr>
            <w:r>
              <w:rPr>
                <w:rFonts w:ascii="宋体" w:hAnsi="宋体" w:eastAsia="宋体"/>
                <w:sz w:val="16"/>
              </w:rPr>
              <w:t>&gt;=30件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E8E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6019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4779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A07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B40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F98BE">
            <w:pPr>
              <w:jc w:val="center"/>
            </w:pPr>
            <w:r>
              <w:rPr>
                <w:rFonts w:ascii="宋体" w:hAnsi="宋体" w:eastAsia="宋体"/>
                <w:sz w:val="16"/>
              </w:rPr>
              <w:t>=30件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7E3C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AC01C">
            <w:pPr>
              <w:jc w:val="center"/>
            </w:pPr>
          </w:p>
        </w:tc>
      </w:tr>
      <w:tr w14:paraId="1BD5F3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170D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4DA4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2812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BD7E4">
            <w:pPr>
              <w:jc w:val="center"/>
            </w:pPr>
            <w:r>
              <w:rPr>
                <w:rFonts w:ascii="宋体" w:hAnsi="宋体" w:eastAsia="宋体"/>
                <w:sz w:val="16"/>
              </w:rPr>
              <w:t>质量验收合格率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9C6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10D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CAA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844C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8651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D96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4A1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7F76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E64FA">
            <w:pPr>
              <w:jc w:val="center"/>
            </w:pPr>
          </w:p>
        </w:tc>
      </w:tr>
      <w:tr w14:paraId="45EF49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B879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A32B8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EF08B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E719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60E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771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AA7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607D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615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77D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A2C3C">
            <w:pPr>
              <w:jc w:val="center"/>
            </w:pPr>
            <w:r>
              <w:rPr>
                <w:rFonts w:ascii="宋体" w:hAnsi="宋体" w:eastAsia="宋体"/>
                <w:sz w:val="16"/>
              </w:rPr>
              <w:t>=97.3%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76109">
            <w:pPr>
              <w:jc w:val="center"/>
            </w:pPr>
            <w:r>
              <w:rPr>
                <w:rFonts w:ascii="宋体" w:hAnsi="宋体" w:eastAsia="宋体"/>
                <w:sz w:val="16"/>
              </w:rPr>
              <w:t>7.46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516BE">
            <w:pPr>
              <w:jc w:val="center"/>
            </w:pPr>
            <w:r>
              <w:rPr>
                <w:rFonts w:ascii="宋体" w:hAnsi="宋体" w:eastAsia="宋体"/>
                <w:sz w:val="16"/>
              </w:rPr>
              <w:t>偏差原因：审计结束后，委托业务费资金指标和审计费指标存在结余，故该指标没有支出完毕，存在偏差；改进措施：合理安排预算资金，保证资金正常支出</w:t>
            </w:r>
          </w:p>
        </w:tc>
      </w:tr>
      <w:tr w14:paraId="09CF58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4E4F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872A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3FD4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6270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13B3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7FB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988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D8CA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3AE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DEE0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754C4">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EB6F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315F2">
            <w:pPr>
              <w:jc w:val="center"/>
            </w:pPr>
          </w:p>
        </w:tc>
      </w:tr>
      <w:tr w14:paraId="3F5BBE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3966D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F5832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3DAAD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8080A">
            <w:pPr>
              <w:jc w:val="center"/>
            </w:pPr>
            <w:r>
              <w:rPr>
                <w:rFonts w:ascii="宋体" w:hAnsi="宋体" w:eastAsia="宋体"/>
                <w:sz w:val="16"/>
              </w:rPr>
              <w:t>委托业务费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A616B">
            <w:pPr>
              <w:jc w:val="center"/>
            </w:pPr>
            <w:r>
              <w:rPr>
                <w:rFonts w:ascii="宋体" w:hAnsi="宋体" w:eastAsia="宋体"/>
                <w:sz w:val="16"/>
              </w:rPr>
              <w:t>&lt;=18.85万元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9DD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171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288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D2B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6BA7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DF071">
            <w:pPr>
              <w:jc w:val="center"/>
            </w:pPr>
            <w:r>
              <w:rPr>
                <w:rFonts w:ascii="宋体" w:hAnsi="宋体" w:eastAsia="宋体"/>
                <w:sz w:val="16"/>
              </w:rPr>
              <w:t>=18.38779万元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C0C1F">
            <w:pPr>
              <w:jc w:val="center"/>
            </w:pPr>
            <w:r>
              <w:rPr>
                <w:rFonts w:ascii="宋体" w:hAnsi="宋体" w:eastAsia="宋体"/>
                <w:sz w:val="16"/>
              </w:rPr>
              <w:t>9.39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C241D">
            <w:pPr>
              <w:jc w:val="center"/>
            </w:pPr>
            <w:r>
              <w:rPr>
                <w:rFonts w:ascii="宋体" w:hAnsi="宋体" w:eastAsia="宋体"/>
                <w:sz w:val="16"/>
              </w:rPr>
              <w:t>偏差原因：审计结束后，委托业务费资金存在结余，故该指标没有支出完毕，存在偏差；改进措施：合理安排预算资金。</w:t>
            </w:r>
          </w:p>
        </w:tc>
      </w:tr>
      <w:tr w14:paraId="1A770F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4F8B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7B2D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2E97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F8248">
            <w:pPr>
              <w:jc w:val="center"/>
            </w:pPr>
            <w:r>
              <w:rPr>
                <w:rFonts w:ascii="宋体" w:hAnsi="宋体" w:eastAsia="宋体"/>
                <w:sz w:val="16"/>
              </w:rPr>
              <w:t>审计咨询费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8DC66">
            <w:pPr>
              <w:jc w:val="center"/>
            </w:pPr>
            <w:r>
              <w:rPr>
                <w:rFonts w:ascii="宋体" w:hAnsi="宋体" w:eastAsia="宋体"/>
                <w:sz w:val="16"/>
              </w:rPr>
              <w:t>&lt;=0.15万元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DAC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185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661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ED3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B4B2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61AE8">
            <w:pPr>
              <w:jc w:val="center"/>
            </w:pPr>
            <w:r>
              <w:rPr>
                <w:rFonts w:ascii="宋体" w:hAnsi="宋体" w:eastAsia="宋体"/>
                <w:sz w:val="16"/>
              </w:rPr>
              <w:t>=0.1万元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CE786">
            <w:pPr>
              <w:jc w:val="center"/>
            </w:pPr>
            <w:r>
              <w:rPr>
                <w:rFonts w:ascii="宋体" w:hAnsi="宋体" w:eastAsia="宋体"/>
                <w:sz w:val="16"/>
              </w:rPr>
              <w:t>1.67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974CE">
            <w:pPr>
              <w:jc w:val="center"/>
            </w:pPr>
            <w:r>
              <w:rPr>
                <w:rFonts w:ascii="宋体" w:hAnsi="宋体" w:eastAsia="宋体"/>
                <w:sz w:val="16"/>
              </w:rPr>
              <w:t>偏差原因：政采云查价存在差异，以实际价格为准，故此指标存在偏差；改进措施：做好询价工作。</w:t>
            </w:r>
          </w:p>
        </w:tc>
      </w:tr>
      <w:tr w14:paraId="37564B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DBE4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EAB9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D76B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78B92">
            <w:pPr>
              <w:jc w:val="center"/>
            </w:pPr>
            <w:r>
              <w:rPr>
                <w:rFonts w:ascii="宋体" w:hAnsi="宋体" w:eastAsia="宋体"/>
                <w:sz w:val="16"/>
              </w:rPr>
              <w:t>促进鲁喀两地革命文物与民族工作、红色文化旅游融合发展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2B4CF">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A65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C6F9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02705">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63E5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EC9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19B04">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4378A">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DED84">
            <w:pPr>
              <w:jc w:val="center"/>
            </w:pPr>
          </w:p>
        </w:tc>
      </w:tr>
      <w:tr w14:paraId="2A089F1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ACFEA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B988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2857C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41ECF">
            <w:pPr>
              <w:jc w:val="center"/>
            </w:pPr>
            <w:r>
              <w:rPr>
                <w:rFonts w:ascii="宋体" w:hAnsi="宋体" w:eastAsia="宋体"/>
                <w:sz w:val="16"/>
              </w:rPr>
              <w:t>89.84分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B905FE9"/>
        </w:tc>
      </w:tr>
    </w:tbl>
    <w:p w14:paraId="1E5C815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C955583">
        <w:tc>
          <w:tcPr>
            <w:tcW w:w="8848" w:type="dxa"/>
            <w:gridSpan w:val="14"/>
            <w:vAlign w:val="center"/>
          </w:tcPr>
          <w:p w14:paraId="74F8F97D">
            <w:pPr>
              <w:jc w:val="center"/>
            </w:pPr>
            <w:r>
              <w:rPr>
                <w:rFonts w:ascii="宋体" w:hAnsi="宋体" w:eastAsia="宋体"/>
                <w:sz w:val="24"/>
              </w:rPr>
              <w:t>项目支出绩效自评表</w:t>
            </w:r>
          </w:p>
        </w:tc>
      </w:tr>
      <w:tr w14:paraId="242F4160">
        <w:tblPrEx>
          <w:tblCellMar>
            <w:top w:w="0" w:type="dxa"/>
            <w:left w:w="108" w:type="dxa"/>
            <w:bottom w:w="0" w:type="dxa"/>
            <w:right w:w="108" w:type="dxa"/>
          </w:tblCellMar>
        </w:tblPrEx>
        <w:tc>
          <w:tcPr>
            <w:tcW w:w="8848" w:type="dxa"/>
            <w:gridSpan w:val="14"/>
            <w:vAlign w:val="center"/>
          </w:tcPr>
          <w:p w14:paraId="3752C0A0">
            <w:pPr>
              <w:jc w:val="center"/>
            </w:pPr>
            <w:r>
              <w:rPr>
                <w:rFonts w:ascii="宋体" w:hAnsi="宋体" w:eastAsia="宋体"/>
                <w:sz w:val="24"/>
              </w:rPr>
              <w:t>(2024年度)</w:t>
            </w:r>
          </w:p>
        </w:tc>
      </w:tr>
      <w:tr w14:paraId="738BA9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B0F5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F0B8219">
            <w:pPr>
              <w:jc w:val="center"/>
            </w:pPr>
            <w:r>
              <w:rPr>
                <w:rFonts w:ascii="宋体" w:hAnsi="宋体" w:eastAsia="宋体"/>
                <w:sz w:val="16"/>
              </w:rPr>
              <w:t>喀什地区“铸牢中华民族共同体意识”系列文博展项目</w:t>
            </w:r>
          </w:p>
        </w:tc>
      </w:tr>
      <w:tr w14:paraId="344179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346A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4ED821">
            <w:pPr>
              <w:jc w:val="center"/>
            </w:pPr>
            <w:r>
              <w:rPr>
                <w:rFonts w:hint="eastAsia" w:ascii="宋体" w:hAnsi="宋体" w:eastAsia="宋体"/>
                <w:sz w:val="16"/>
              </w:rPr>
              <w:t>新疆维吾尔自治区喀什地区文化广播电视和旅游局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4C55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111A99">
            <w:pPr>
              <w:jc w:val="center"/>
            </w:pPr>
            <w:r>
              <w:rPr>
                <w:rFonts w:ascii="宋体" w:hAnsi="宋体" w:eastAsia="宋体"/>
                <w:sz w:val="16"/>
              </w:rPr>
              <w:t>喀什地区文物局</w:t>
            </w:r>
          </w:p>
        </w:tc>
      </w:tr>
      <w:tr w14:paraId="6B53134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C439D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FC64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7633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33FF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C2ED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D2EF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1242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33646">
            <w:pPr>
              <w:jc w:val="center"/>
            </w:pPr>
            <w:r>
              <w:rPr>
                <w:rFonts w:ascii="宋体" w:hAnsi="宋体" w:eastAsia="宋体"/>
                <w:sz w:val="16"/>
              </w:rPr>
              <w:t>得分</w:t>
            </w:r>
          </w:p>
        </w:tc>
      </w:tr>
      <w:tr w14:paraId="1C33D8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B86EE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9722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6BDCF">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54077">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E91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3F3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81D3E">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AAD39">
            <w:pPr>
              <w:jc w:val="center"/>
            </w:pPr>
            <w:r>
              <w:rPr>
                <w:rFonts w:ascii="宋体" w:hAnsi="宋体" w:eastAsia="宋体"/>
                <w:sz w:val="16"/>
              </w:rPr>
              <w:t>0.00分</w:t>
            </w:r>
          </w:p>
        </w:tc>
      </w:tr>
      <w:tr w14:paraId="24DD5F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8D72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75BF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8AC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BC7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00D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5400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B37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80BED">
            <w:pPr>
              <w:jc w:val="center"/>
            </w:pPr>
            <w:r>
              <w:rPr>
                <w:rFonts w:ascii="宋体" w:hAnsi="宋体" w:eastAsia="宋体"/>
                <w:sz w:val="16"/>
              </w:rPr>
              <w:t>—</w:t>
            </w:r>
          </w:p>
        </w:tc>
      </w:tr>
      <w:tr w14:paraId="65FADE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F11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3B57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22E3A">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74169">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364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D1FC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E0C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95FB6">
            <w:pPr>
              <w:jc w:val="center"/>
            </w:pPr>
            <w:r>
              <w:rPr>
                <w:rFonts w:ascii="宋体" w:hAnsi="宋体" w:eastAsia="宋体"/>
                <w:sz w:val="16"/>
              </w:rPr>
              <w:t>—</w:t>
            </w:r>
          </w:p>
        </w:tc>
      </w:tr>
      <w:tr w14:paraId="476C9B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E9D8B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83E7A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F4C977">
            <w:pPr>
              <w:jc w:val="center"/>
            </w:pPr>
            <w:r>
              <w:rPr>
                <w:rFonts w:ascii="宋体" w:hAnsi="宋体" w:eastAsia="宋体"/>
                <w:sz w:val="16"/>
              </w:rPr>
              <w:t>实际完成情况</w:t>
            </w:r>
          </w:p>
        </w:tc>
      </w:tr>
      <w:tr w14:paraId="02A60C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316A2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CD6DCA">
            <w:pPr>
              <w:jc w:val="both"/>
            </w:pPr>
            <w:r>
              <w:rPr>
                <w:rFonts w:ascii="宋体" w:hAnsi="宋体" w:eastAsia="宋体"/>
                <w:sz w:val="16"/>
              </w:rPr>
              <w:t>该项目计划于2024年12月底至2025年5月拟引进广东省博物馆“铸牢中华民族共同体意识”系列文博展《年画里的中国》《大海道—“南海I号”沉船与南宋海贸》等2个展览，其中，年画里的中国展览时间为2024年12月底至2025年2月，展品年画数量不少于50件；南海I号展览时间为2025年3月至2025年5月，展览涉及相关系列视频数量不少于5个，此次展览可以更好</w:t>
            </w:r>
            <w:r>
              <w:rPr>
                <w:rFonts w:hint="eastAsia" w:ascii="宋体" w:hAnsi="宋体"/>
                <w:sz w:val="16"/>
                <w:lang w:eastAsia="zh-CN"/>
              </w:rPr>
              <w:t>地</w:t>
            </w:r>
            <w:r>
              <w:rPr>
                <w:rFonts w:ascii="宋体" w:hAnsi="宋体" w:eastAsia="宋体"/>
                <w:sz w:val="16"/>
              </w:rPr>
              <w:t>促进广东与喀什地区的文化交流，增进两地人民的相互了解和友谊，让喀什地区的各族群众更好地了解中华文化的博大精深和多元一体，增强对中华民族的认同感和自豪感，提升喀什地区的文化旅游知名度和影响力，促进当地文化旅游产业的发展，激发人们对历史文化的热爱和保护意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9DB02D">
            <w:pPr>
              <w:jc w:val="both"/>
            </w:pPr>
            <w:r>
              <w:rPr>
                <w:rFonts w:ascii="宋体" w:hAnsi="宋体" w:eastAsia="宋体"/>
                <w:sz w:val="16"/>
              </w:rPr>
              <w:t>喀什地区“铸牢中华民族共同体意识”系列文博展</w:t>
            </w:r>
            <w:r>
              <w:rPr>
                <w:rFonts w:hint="eastAsia" w:ascii="宋体" w:hAnsi="宋体"/>
                <w:sz w:val="16"/>
                <w:lang w:eastAsia="zh-CN"/>
              </w:rPr>
              <w:t>项目</w:t>
            </w:r>
            <w:r>
              <w:rPr>
                <w:rFonts w:ascii="宋体" w:hAnsi="宋体" w:eastAsia="宋体"/>
                <w:sz w:val="16"/>
              </w:rPr>
              <w:t>下达时间</w:t>
            </w:r>
            <w:r>
              <w:rPr>
                <w:rFonts w:hint="eastAsia" w:ascii="宋体" w:hAnsi="宋体"/>
                <w:sz w:val="16"/>
                <w:lang w:eastAsia="zh-CN"/>
              </w:rPr>
              <w:t>为</w:t>
            </w:r>
            <w:r>
              <w:rPr>
                <w:rFonts w:ascii="宋体" w:hAnsi="宋体" w:eastAsia="宋体"/>
                <w:sz w:val="16"/>
              </w:rPr>
              <w:t>2024年12月，项目公开招标结束时间</w:t>
            </w:r>
            <w:r>
              <w:rPr>
                <w:rFonts w:hint="eastAsia" w:ascii="宋体" w:hAnsi="宋体"/>
                <w:sz w:val="16"/>
                <w:lang w:eastAsia="zh-CN"/>
              </w:rPr>
              <w:t>为</w:t>
            </w:r>
            <w:r>
              <w:rPr>
                <w:rFonts w:ascii="宋体" w:hAnsi="宋体" w:eastAsia="宋体"/>
                <w:sz w:val="16"/>
              </w:rPr>
              <w:t>12月</w:t>
            </w:r>
            <w:r>
              <w:rPr>
                <w:rFonts w:hint="eastAsia" w:ascii="宋体" w:hAnsi="宋体"/>
                <w:sz w:val="16"/>
                <w:lang w:eastAsia="zh-CN"/>
              </w:rPr>
              <w:t>25日</w:t>
            </w:r>
            <w:r>
              <w:rPr>
                <w:rFonts w:ascii="宋体" w:hAnsi="宋体" w:eastAsia="宋体"/>
                <w:sz w:val="16"/>
              </w:rPr>
              <w:t>，已达财政扎</w:t>
            </w:r>
            <w:r>
              <w:rPr>
                <w:rFonts w:hint="eastAsia" w:ascii="宋体" w:hAnsi="宋体"/>
                <w:sz w:val="16"/>
                <w:lang w:eastAsia="zh-CN"/>
              </w:rPr>
              <w:t>账</w:t>
            </w:r>
            <w:r>
              <w:rPr>
                <w:rFonts w:ascii="宋体" w:hAnsi="宋体" w:eastAsia="宋体"/>
                <w:sz w:val="16"/>
              </w:rPr>
              <w:t>时间，故该项目资金无法支出，支出进度为0，该展览计划2025年实施并开展。</w:t>
            </w:r>
          </w:p>
        </w:tc>
      </w:tr>
      <w:tr w14:paraId="7BFF68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1BAD9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5B41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14D5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200D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CA64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81A2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53A4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3C11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83A0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2F07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FFAA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EFAE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0E2CC">
            <w:pPr>
              <w:jc w:val="center"/>
            </w:pPr>
            <w:r>
              <w:rPr>
                <w:rFonts w:ascii="宋体" w:hAnsi="宋体" w:eastAsia="宋体"/>
                <w:sz w:val="16"/>
              </w:rPr>
              <w:t>偏差原因分析及改进措施</w:t>
            </w:r>
          </w:p>
        </w:tc>
      </w:tr>
      <w:tr w14:paraId="01EAF0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B69A2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ABBC9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544A4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05F7A">
            <w:pPr>
              <w:jc w:val="center"/>
            </w:pPr>
            <w:r>
              <w:rPr>
                <w:rFonts w:ascii="宋体" w:hAnsi="宋体" w:eastAsia="宋体"/>
                <w:sz w:val="16"/>
              </w:rPr>
              <w:t>南海1号展览播放视频数量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0EAAF">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398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EE1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A2D0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0E8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96F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0756A">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D13C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6B852">
            <w:pPr>
              <w:jc w:val="center"/>
            </w:pPr>
            <w:r>
              <w:rPr>
                <w:rFonts w:ascii="宋体" w:hAnsi="宋体" w:eastAsia="宋体"/>
                <w:sz w:val="16"/>
              </w:rPr>
              <w:t>偏差原因：招标结束时间为12月</w:t>
            </w:r>
            <w:r>
              <w:rPr>
                <w:rFonts w:hint="eastAsia" w:ascii="宋体" w:hAnsi="宋体"/>
                <w:sz w:val="16"/>
                <w:lang w:eastAsia="zh-CN"/>
              </w:rPr>
              <w:t>25日</w:t>
            </w:r>
            <w:r>
              <w:rPr>
                <w:rFonts w:ascii="宋体" w:hAnsi="宋体" w:eastAsia="宋体"/>
                <w:sz w:val="16"/>
              </w:rPr>
              <w:t>，已扎</w:t>
            </w:r>
            <w:r>
              <w:rPr>
                <w:rFonts w:hint="eastAsia" w:ascii="宋体" w:hAnsi="宋体"/>
                <w:sz w:val="16"/>
                <w:lang w:eastAsia="zh-CN"/>
              </w:rPr>
              <w:t>账</w:t>
            </w:r>
            <w:r>
              <w:rPr>
                <w:rFonts w:ascii="宋体" w:hAnsi="宋体" w:eastAsia="宋体"/>
                <w:sz w:val="16"/>
              </w:rPr>
              <w:t>；改进措施：资金下达后及时进行展览视频拍摄。</w:t>
            </w:r>
          </w:p>
        </w:tc>
      </w:tr>
      <w:tr w14:paraId="7AE909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396F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DDDF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EF70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73F0F">
            <w:pPr>
              <w:jc w:val="center"/>
            </w:pPr>
            <w:r>
              <w:rPr>
                <w:rFonts w:ascii="宋体" w:hAnsi="宋体" w:eastAsia="宋体"/>
                <w:sz w:val="16"/>
              </w:rPr>
              <w:t>“铸牢中华民族共同体意识”系列文博展涉及数量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BE3D1">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4C2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434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CE9C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28F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118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DDFEF">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BA6C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BD914">
            <w:pPr>
              <w:jc w:val="center"/>
            </w:pPr>
            <w:r>
              <w:rPr>
                <w:rFonts w:ascii="宋体" w:hAnsi="宋体" w:eastAsia="宋体"/>
                <w:sz w:val="16"/>
              </w:rPr>
              <w:t>偏差原因：招标结束时间为12月</w:t>
            </w:r>
            <w:r>
              <w:rPr>
                <w:rFonts w:hint="eastAsia" w:ascii="宋体" w:hAnsi="宋体"/>
                <w:sz w:val="16"/>
                <w:lang w:eastAsia="zh-CN"/>
              </w:rPr>
              <w:t>25日</w:t>
            </w:r>
            <w:r>
              <w:rPr>
                <w:rFonts w:ascii="宋体" w:hAnsi="宋体" w:eastAsia="宋体"/>
                <w:sz w:val="16"/>
              </w:rPr>
              <w:t>，已扎</w:t>
            </w:r>
            <w:r>
              <w:rPr>
                <w:rFonts w:hint="eastAsia" w:ascii="宋体" w:hAnsi="宋体"/>
                <w:sz w:val="16"/>
                <w:lang w:eastAsia="zh-CN"/>
              </w:rPr>
              <w:t>账</w:t>
            </w:r>
            <w:r>
              <w:rPr>
                <w:rFonts w:ascii="宋体" w:hAnsi="宋体" w:eastAsia="宋体"/>
                <w:sz w:val="16"/>
              </w:rPr>
              <w:t>；改进措施：提前与前指对接项目资金事宜。</w:t>
            </w:r>
          </w:p>
        </w:tc>
      </w:tr>
      <w:tr w14:paraId="3E6835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31DA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1626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8EDD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FD8D1">
            <w:pPr>
              <w:jc w:val="center"/>
            </w:pPr>
            <w:r>
              <w:rPr>
                <w:rFonts w:ascii="宋体" w:hAnsi="宋体" w:eastAsia="宋体"/>
                <w:sz w:val="16"/>
              </w:rPr>
              <w:t>展览年画数量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F055D">
            <w:pPr>
              <w:jc w:val="center"/>
            </w:pPr>
            <w:r>
              <w:rPr>
                <w:rFonts w:ascii="宋体" w:hAnsi="宋体" w:eastAsia="宋体"/>
                <w:sz w:val="16"/>
              </w:rPr>
              <w:t>&gt;=50件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9AA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D16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983B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1CE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840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4A1AC">
            <w:pPr>
              <w:jc w:val="center"/>
            </w:pPr>
            <w:r>
              <w:rPr>
                <w:rFonts w:ascii="宋体" w:hAnsi="宋体" w:eastAsia="宋体"/>
                <w:sz w:val="16"/>
              </w:rPr>
              <w:t>=0件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E4A0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A6032">
            <w:pPr>
              <w:jc w:val="center"/>
            </w:pPr>
            <w:r>
              <w:rPr>
                <w:rFonts w:ascii="宋体" w:hAnsi="宋体" w:eastAsia="宋体"/>
                <w:sz w:val="16"/>
              </w:rPr>
              <w:t>偏差原因：资金下达时间晚，截至2024年12月31日该项目暂未开展，年画展览数量为0；改进措施：资金下达后及时与第三方对接年画展览的内容。</w:t>
            </w:r>
          </w:p>
        </w:tc>
      </w:tr>
      <w:tr w14:paraId="2EBDF1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EFF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3D5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FD26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8D913">
            <w:pPr>
              <w:jc w:val="center"/>
            </w:pPr>
            <w:r>
              <w:rPr>
                <w:rFonts w:ascii="宋体" w:hAnsi="宋体" w:eastAsia="宋体"/>
                <w:sz w:val="16"/>
              </w:rPr>
              <w:t>展览验收合格率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C6F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8ED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000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8997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ECAC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C61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8A5F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934C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134B2">
            <w:pPr>
              <w:jc w:val="center"/>
            </w:pPr>
            <w:r>
              <w:rPr>
                <w:rFonts w:ascii="宋体" w:hAnsi="宋体" w:eastAsia="宋体"/>
                <w:sz w:val="16"/>
              </w:rPr>
              <w:t>偏差原因：项目资金招标结束后已达年度节点，故该指标存在偏差；改进措施：项目实施完毕后及时进行审计工作。</w:t>
            </w:r>
          </w:p>
        </w:tc>
      </w:tr>
      <w:tr w14:paraId="60E769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8DF7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007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D425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E6794">
            <w:pPr>
              <w:jc w:val="center"/>
            </w:pPr>
            <w:r>
              <w:rPr>
                <w:rFonts w:ascii="宋体" w:hAnsi="宋体" w:eastAsia="宋体"/>
                <w:sz w:val="16"/>
              </w:rPr>
              <w:t>展览时长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C8257">
            <w:pPr>
              <w:jc w:val="center"/>
            </w:pPr>
            <w:r>
              <w:rPr>
                <w:rFonts w:ascii="宋体" w:hAnsi="宋体" w:eastAsia="宋体"/>
                <w:sz w:val="16"/>
              </w:rPr>
              <w:t>&lt;=6个月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CFC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BC71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B96E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655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9DF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9BE1B">
            <w:pPr>
              <w:jc w:val="center"/>
            </w:pPr>
            <w:r>
              <w:rPr>
                <w:rFonts w:ascii="宋体" w:hAnsi="宋体" w:eastAsia="宋体"/>
                <w:sz w:val="16"/>
              </w:rPr>
              <w:t>=0个月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38D5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8E561">
            <w:pPr>
              <w:jc w:val="center"/>
            </w:pPr>
            <w:r>
              <w:rPr>
                <w:rFonts w:ascii="宋体" w:hAnsi="宋体" w:eastAsia="宋体"/>
                <w:sz w:val="16"/>
              </w:rPr>
              <w:t>偏差原因：由于项目资金下达时间晚，故该展览还未开始；改进措施：资金下达后及时进行按照合同前期约定正常开展后续工作。</w:t>
            </w:r>
          </w:p>
        </w:tc>
      </w:tr>
      <w:tr w14:paraId="1B78C7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3FF7B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CF000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F33EA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3719D">
            <w:pPr>
              <w:jc w:val="center"/>
            </w:pPr>
            <w:r>
              <w:rPr>
                <w:rFonts w:ascii="宋体" w:hAnsi="宋体" w:eastAsia="宋体"/>
                <w:sz w:val="16"/>
              </w:rPr>
              <w:t>年画里的中国展览成本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08C61">
            <w:pPr>
              <w:jc w:val="center"/>
            </w:pPr>
            <w:r>
              <w:rPr>
                <w:rFonts w:ascii="宋体" w:hAnsi="宋体" w:eastAsia="宋体"/>
                <w:sz w:val="16"/>
              </w:rPr>
              <w:t>=32.95万元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9F8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13B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BF7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DDC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ADEE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41469">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D65E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67E9A">
            <w:pPr>
              <w:jc w:val="center"/>
            </w:pPr>
            <w:r>
              <w:rPr>
                <w:rFonts w:ascii="宋体" w:hAnsi="宋体" w:eastAsia="宋体"/>
                <w:sz w:val="16"/>
              </w:rPr>
              <w:t>偏差原因：资金下达时间</w:t>
            </w:r>
            <w:r>
              <w:rPr>
                <w:rFonts w:hint="eastAsia" w:ascii="宋体" w:hAnsi="宋体"/>
                <w:sz w:val="16"/>
                <w:lang w:eastAsia="zh-CN"/>
              </w:rPr>
              <w:t>为</w:t>
            </w:r>
            <w:r>
              <w:rPr>
                <w:rFonts w:ascii="宋体" w:hAnsi="宋体" w:eastAsia="宋体"/>
                <w:sz w:val="16"/>
              </w:rPr>
              <w:t>12月中旬，招标结束后资金支付时间已</w:t>
            </w:r>
            <w:r>
              <w:rPr>
                <w:rFonts w:hint="eastAsia" w:ascii="宋体" w:hAnsi="宋体"/>
                <w:sz w:val="16"/>
                <w:lang w:eastAsia="zh-CN"/>
              </w:rPr>
              <w:t>截止</w:t>
            </w:r>
            <w:r>
              <w:rPr>
                <w:rFonts w:ascii="宋体" w:hAnsi="宋体" w:eastAsia="宋体"/>
                <w:sz w:val="16"/>
              </w:rPr>
              <w:t>，故该指标存在偏差；改进措施：资金下达后及时进行严格按照中标金额支付项目资金。</w:t>
            </w:r>
          </w:p>
        </w:tc>
      </w:tr>
      <w:tr w14:paraId="0C2E0C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748D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D1D5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9AB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BC4B8">
            <w:pPr>
              <w:jc w:val="center"/>
            </w:pPr>
            <w:r>
              <w:rPr>
                <w:rFonts w:ascii="宋体" w:hAnsi="宋体" w:eastAsia="宋体"/>
                <w:sz w:val="16"/>
              </w:rPr>
              <w:t>南海I号展览成本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4A71C">
            <w:pPr>
              <w:jc w:val="center"/>
            </w:pPr>
            <w:r>
              <w:rPr>
                <w:rFonts w:ascii="宋体" w:hAnsi="宋体" w:eastAsia="宋体"/>
                <w:sz w:val="16"/>
              </w:rPr>
              <w:t>=37.05万元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BCB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911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89B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F07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A2E6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F5AE6">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4BA2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D5EB3">
            <w:pPr>
              <w:jc w:val="center"/>
            </w:pPr>
            <w:r>
              <w:rPr>
                <w:rFonts w:ascii="宋体" w:hAnsi="宋体" w:eastAsia="宋体"/>
                <w:sz w:val="16"/>
              </w:rPr>
              <w:t>偏差原因：招标结束时间为12月</w:t>
            </w:r>
            <w:r>
              <w:rPr>
                <w:rFonts w:hint="eastAsia" w:ascii="宋体" w:hAnsi="宋体"/>
                <w:sz w:val="16"/>
                <w:lang w:eastAsia="zh-CN"/>
              </w:rPr>
              <w:t>25日</w:t>
            </w:r>
            <w:r>
              <w:rPr>
                <w:rFonts w:ascii="宋体" w:hAnsi="宋体" w:eastAsia="宋体"/>
                <w:sz w:val="16"/>
              </w:rPr>
              <w:t>，已扎</w:t>
            </w:r>
            <w:r>
              <w:rPr>
                <w:rFonts w:hint="eastAsia" w:ascii="宋体" w:hAnsi="宋体"/>
                <w:sz w:val="16"/>
                <w:lang w:eastAsia="zh-CN"/>
              </w:rPr>
              <w:t>账</w:t>
            </w:r>
            <w:r>
              <w:rPr>
                <w:rFonts w:ascii="宋体" w:hAnsi="宋体" w:eastAsia="宋体"/>
                <w:sz w:val="16"/>
              </w:rPr>
              <w:t>；改进措施：资金下达后根据中标金额及合同约定支付资金，严格控制项目资金成本。</w:t>
            </w:r>
          </w:p>
        </w:tc>
      </w:tr>
      <w:tr w14:paraId="150EEE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389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8B22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F58A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44FF2">
            <w:pPr>
              <w:jc w:val="center"/>
            </w:pPr>
            <w:r>
              <w:rPr>
                <w:rFonts w:ascii="宋体" w:hAnsi="宋体" w:eastAsia="宋体"/>
                <w:sz w:val="16"/>
              </w:rPr>
              <w:t>传承和弘扬中华文化，激发对历史文化的热爱和保护意识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103E1">
            <w:pPr>
              <w:jc w:val="center"/>
            </w:pPr>
            <w:r>
              <w:rPr>
                <w:rFonts w:ascii="宋体" w:hAnsi="宋体" w:eastAsia="宋体"/>
                <w:sz w:val="16"/>
              </w:rPr>
              <w:t>激发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65B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9DFF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4912A">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4DD2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9BD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A687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527B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2C814">
            <w:pPr>
              <w:jc w:val="center"/>
            </w:pPr>
            <w:r>
              <w:rPr>
                <w:rFonts w:ascii="宋体" w:hAnsi="宋体" w:eastAsia="宋体"/>
                <w:sz w:val="16"/>
              </w:rPr>
              <w:t>偏差原因：项目资金下达时间晚，项目还未开展；改进措施：项目实施完毕后及时进行后续报道与宣传工作，积极弘扬中华民族传统文化。</w:t>
            </w:r>
          </w:p>
        </w:tc>
      </w:tr>
      <w:tr w14:paraId="334B894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9EF42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5D13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5E36D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0CDE7">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E36BB37"/>
        </w:tc>
      </w:tr>
    </w:tbl>
    <w:p w14:paraId="45F4AD7E">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135"/>
        <w:gridCol w:w="497"/>
        <w:gridCol w:w="161"/>
        <w:gridCol w:w="615"/>
        <w:gridCol w:w="632"/>
        <w:gridCol w:w="632"/>
        <w:gridCol w:w="632"/>
        <w:gridCol w:w="632"/>
        <w:gridCol w:w="632"/>
        <w:gridCol w:w="696"/>
        <w:gridCol w:w="632"/>
        <w:gridCol w:w="632"/>
        <w:gridCol w:w="632"/>
      </w:tblGrid>
      <w:tr w14:paraId="1EACA2D6">
        <w:tblPrEx>
          <w:tblCellMar>
            <w:top w:w="0" w:type="dxa"/>
            <w:left w:w="108" w:type="dxa"/>
            <w:bottom w:w="0" w:type="dxa"/>
            <w:right w:w="108" w:type="dxa"/>
          </w:tblCellMar>
        </w:tblPrEx>
        <w:tc>
          <w:tcPr>
            <w:tcW w:w="9056" w:type="dxa"/>
            <w:gridSpan w:val="16"/>
            <w:vAlign w:val="center"/>
          </w:tcPr>
          <w:p w14:paraId="7EB59CF0">
            <w:pPr>
              <w:jc w:val="center"/>
            </w:pPr>
            <w:r>
              <w:rPr>
                <w:rFonts w:ascii="宋体" w:hAnsi="宋体" w:eastAsia="宋体"/>
                <w:sz w:val="24"/>
              </w:rPr>
              <w:t>项目支出绩效自评表</w:t>
            </w:r>
          </w:p>
        </w:tc>
      </w:tr>
      <w:tr w14:paraId="5034CB3A">
        <w:tblPrEx>
          <w:tblCellMar>
            <w:top w:w="0" w:type="dxa"/>
            <w:left w:w="108" w:type="dxa"/>
            <w:bottom w:w="0" w:type="dxa"/>
            <w:right w:w="108" w:type="dxa"/>
          </w:tblCellMar>
        </w:tblPrEx>
        <w:tc>
          <w:tcPr>
            <w:tcW w:w="9056" w:type="dxa"/>
            <w:gridSpan w:val="16"/>
            <w:vAlign w:val="center"/>
          </w:tcPr>
          <w:p w14:paraId="05E67AA8">
            <w:pPr>
              <w:jc w:val="center"/>
            </w:pPr>
            <w:r>
              <w:rPr>
                <w:rFonts w:ascii="宋体" w:hAnsi="宋体" w:eastAsia="宋体"/>
                <w:sz w:val="24"/>
              </w:rPr>
              <w:t>(2024年度)</w:t>
            </w:r>
          </w:p>
        </w:tc>
      </w:tr>
      <w:tr w14:paraId="354D15B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C5808">
            <w:pPr>
              <w:jc w:val="center"/>
            </w:pPr>
            <w:r>
              <w:rPr>
                <w:rFonts w:ascii="宋体" w:hAnsi="宋体" w:eastAsia="宋体"/>
                <w:sz w:val="16"/>
              </w:rPr>
              <w:t>项目名称</w:t>
            </w:r>
          </w:p>
        </w:tc>
        <w:tc>
          <w:tcPr>
            <w:tcW w:w="8424" w:type="dxa"/>
            <w:gridSpan w:val="15"/>
            <w:tcBorders>
              <w:top w:val="single" w:color="auto" w:sz="10" w:space="0"/>
              <w:left w:val="single" w:color="auto" w:sz="10" w:space="0"/>
              <w:bottom w:val="single" w:color="auto" w:sz="10" w:space="0"/>
              <w:right w:val="single" w:color="auto" w:sz="10" w:space="0"/>
              <w:insideV w:val="single" w:sz="10" w:space="0"/>
            </w:tcBorders>
            <w:vAlign w:val="center"/>
          </w:tcPr>
          <w:p w14:paraId="5C25CC20">
            <w:pPr>
              <w:jc w:val="center"/>
            </w:pPr>
            <w:r>
              <w:rPr>
                <w:rFonts w:ascii="宋体" w:hAnsi="宋体" w:eastAsia="宋体"/>
                <w:sz w:val="16"/>
              </w:rPr>
              <w:t>第四次全国文物普查工作经费项目</w:t>
            </w:r>
          </w:p>
        </w:tc>
      </w:tr>
      <w:tr w14:paraId="59B6CD0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C4695">
            <w:pPr>
              <w:jc w:val="center"/>
            </w:pPr>
            <w:r>
              <w:rPr>
                <w:rFonts w:ascii="宋体" w:hAnsi="宋体" w:eastAsia="宋体"/>
                <w:sz w:val="16"/>
              </w:rPr>
              <w:t>主管部门</w:t>
            </w:r>
          </w:p>
        </w:tc>
        <w:tc>
          <w:tcPr>
            <w:tcW w:w="4568"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538B10B8">
            <w:pPr>
              <w:jc w:val="center"/>
            </w:pPr>
            <w:r>
              <w:rPr>
                <w:rFonts w:hint="eastAsia" w:ascii="宋体" w:hAnsi="宋体" w:eastAsia="宋体"/>
                <w:sz w:val="16"/>
              </w:rPr>
              <w:t>新疆维吾尔自治区喀什地区文化广播电视和旅游局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FBC17">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A00FF1">
            <w:pPr>
              <w:jc w:val="center"/>
            </w:pPr>
            <w:r>
              <w:rPr>
                <w:rFonts w:ascii="宋体" w:hAnsi="宋体" w:eastAsia="宋体"/>
                <w:sz w:val="16"/>
              </w:rPr>
              <w:t>喀什地区文物局</w:t>
            </w:r>
          </w:p>
        </w:tc>
      </w:tr>
      <w:tr w14:paraId="401E3E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10B5C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FCA13">
            <w:pPr>
              <w:jc w:val="center"/>
            </w:pPr>
          </w:p>
        </w:tc>
        <w:tc>
          <w:tcPr>
            <w:tcW w:w="140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529248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1C28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375BE">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D4E8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3227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959FE">
            <w:pPr>
              <w:jc w:val="center"/>
            </w:pPr>
            <w:r>
              <w:rPr>
                <w:rFonts w:ascii="宋体" w:hAnsi="宋体" w:eastAsia="宋体"/>
                <w:sz w:val="16"/>
              </w:rPr>
              <w:t>得分</w:t>
            </w:r>
          </w:p>
        </w:tc>
      </w:tr>
      <w:tr w14:paraId="7CDDFA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0536F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D0D3C">
            <w:pPr>
              <w:jc w:val="center"/>
            </w:pPr>
            <w:r>
              <w:rPr>
                <w:rFonts w:ascii="宋体" w:hAnsi="宋体" w:eastAsia="宋体"/>
                <w:sz w:val="16"/>
              </w:rPr>
              <w:t>年度资金总额</w:t>
            </w:r>
          </w:p>
        </w:tc>
        <w:tc>
          <w:tcPr>
            <w:tcW w:w="140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69C4437">
            <w:pPr>
              <w:jc w:val="center"/>
            </w:pPr>
            <w:r>
              <w:rPr>
                <w:rFonts w:ascii="宋体" w:hAnsi="宋体" w:eastAsia="宋体"/>
                <w:sz w:val="16"/>
              </w:rPr>
              <w:t>98.72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A5C24">
            <w:pPr>
              <w:jc w:val="center"/>
            </w:pPr>
            <w:r>
              <w:rPr>
                <w:rFonts w:ascii="宋体" w:hAnsi="宋体" w:eastAsia="宋体"/>
                <w:sz w:val="16"/>
              </w:rPr>
              <w:t>98.72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BBBDC">
            <w:pPr>
              <w:jc w:val="center"/>
            </w:pPr>
            <w:r>
              <w:rPr>
                <w:rFonts w:ascii="宋体" w:hAnsi="宋体" w:eastAsia="宋体"/>
                <w:sz w:val="16"/>
              </w:rPr>
              <w:t>53.56</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265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FBC7E">
            <w:pPr>
              <w:jc w:val="center"/>
            </w:pPr>
            <w:r>
              <w:rPr>
                <w:rFonts w:ascii="宋体" w:hAnsi="宋体" w:eastAsia="宋体"/>
                <w:sz w:val="16"/>
              </w:rPr>
              <w:t>54.3%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F0EB2">
            <w:pPr>
              <w:jc w:val="center"/>
            </w:pPr>
            <w:r>
              <w:rPr>
                <w:rFonts w:ascii="宋体" w:hAnsi="宋体" w:eastAsia="宋体"/>
                <w:sz w:val="16"/>
              </w:rPr>
              <w:t>0.00分</w:t>
            </w:r>
          </w:p>
        </w:tc>
      </w:tr>
      <w:tr w14:paraId="1F3FE9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325EF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9098A">
            <w:pPr>
              <w:jc w:val="center"/>
            </w:pPr>
            <w:r>
              <w:rPr>
                <w:rFonts w:ascii="宋体" w:hAnsi="宋体" w:eastAsia="宋体"/>
                <w:sz w:val="16"/>
              </w:rPr>
              <w:t>其中：当年财政拨款</w:t>
            </w:r>
          </w:p>
        </w:tc>
        <w:tc>
          <w:tcPr>
            <w:tcW w:w="140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A97FC7A">
            <w:pPr>
              <w:jc w:val="center"/>
            </w:pPr>
            <w:r>
              <w:rPr>
                <w:rFonts w:ascii="宋体" w:hAnsi="宋体" w:eastAsia="宋体"/>
                <w:sz w:val="16"/>
              </w:rPr>
              <w:t>98.72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7FB09">
            <w:pPr>
              <w:jc w:val="center"/>
            </w:pPr>
            <w:r>
              <w:rPr>
                <w:rFonts w:ascii="宋体" w:hAnsi="宋体" w:eastAsia="宋体"/>
                <w:sz w:val="16"/>
              </w:rPr>
              <w:t>98.72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BC087">
            <w:pPr>
              <w:jc w:val="center"/>
            </w:pPr>
            <w:r>
              <w:rPr>
                <w:rFonts w:ascii="宋体" w:hAnsi="宋体" w:eastAsia="宋体"/>
                <w:sz w:val="16"/>
              </w:rPr>
              <w:t>53.56</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0757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CF0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B7346">
            <w:pPr>
              <w:jc w:val="center"/>
            </w:pPr>
            <w:r>
              <w:rPr>
                <w:rFonts w:ascii="宋体" w:hAnsi="宋体" w:eastAsia="宋体"/>
                <w:sz w:val="16"/>
              </w:rPr>
              <w:t>—</w:t>
            </w:r>
          </w:p>
        </w:tc>
      </w:tr>
      <w:tr w14:paraId="3774C8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B5E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D04D6">
            <w:pPr>
              <w:jc w:val="center"/>
            </w:pPr>
            <w:r>
              <w:rPr>
                <w:rFonts w:ascii="宋体" w:hAnsi="宋体" w:eastAsia="宋体"/>
                <w:sz w:val="16"/>
              </w:rPr>
              <w:t xml:space="preserve">  其他资金</w:t>
            </w:r>
          </w:p>
        </w:tc>
        <w:tc>
          <w:tcPr>
            <w:tcW w:w="140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2BE3D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383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8059D">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FCBB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C25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A2EA9">
            <w:pPr>
              <w:jc w:val="center"/>
            </w:pPr>
            <w:r>
              <w:rPr>
                <w:rFonts w:ascii="宋体" w:hAnsi="宋体" w:eastAsia="宋体"/>
                <w:sz w:val="16"/>
              </w:rPr>
              <w:t>—</w:t>
            </w:r>
          </w:p>
        </w:tc>
      </w:tr>
      <w:tr w14:paraId="674217E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E97E8A">
            <w:pPr>
              <w:jc w:val="center"/>
            </w:pPr>
            <w:r>
              <w:rPr>
                <w:rFonts w:ascii="宋体" w:hAnsi="宋体" w:eastAsia="宋体"/>
                <w:sz w:val="16"/>
              </w:rPr>
              <w:t>三、目标完成情况</w:t>
            </w:r>
          </w:p>
        </w:tc>
        <w:tc>
          <w:tcPr>
            <w:tcW w:w="4568"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110EF782">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F44E07">
            <w:pPr>
              <w:jc w:val="center"/>
            </w:pPr>
            <w:r>
              <w:rPr>
                <w:rFonts w:ascii="宋体" w:hAnsi="宋体" w:eastAsia="宋体"/>
                <w:sz w:val="16"/>
              </w:rPr>
              <w:t>实际完成情况</w:t>
            </w:r>
          </w:p>
        </w:tc>
      </w:tr>
      <w:tr w14:paraId="4F9C49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66A9A3"/>
        </w:tc>
        <w:tc>
          <w:tcPr>
            <w:tcW w:w="4568"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3A81B606">
            <w:pPr>
              <w:jc w:val="both"/>
            </w:pPr>
            <w:r>
              <w:rPr>
                <w:rFonts w:ascii="宋体" w:hAnsi="宋体" w:eastAsia="宋体"/>
                <w:sz w:val="16"/>
              </w:rPr>
              <w:t>2024年喀什地区第四次全国文物普查工作经费共计98.72万元，其中本级财政资金98.72万元，其他资金0。2024年第四次全国文物普查项目主要是对喀什地区所有文物进行全面摸底，准确掌握其数量、分布情况、保存状况等基本情况，对于准确判断喀什地区文物保护形势、科学制定文物保护措施，加大文物和文化遗产保护力度，加强城乡建设中历史文化保护传承，加强中华民族共同体历史、中华民族多元一体格局研究，对有形有感有效推进文化润疆、铸牢中华民族共同体意识具有重要深远意义。喀什地区第四次全国文物普查预计开展200天，主要由2支队伍，10人到各县市参与现场调查。</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069C29">
            <w:pPr>
              <w:jc w:val="both"/>
            </w:pPr>
            <w:r>
              <w:rPr>
                <w:rFonts w:ascii="宋体" w:hAnsi="宋体" w:eastAsia="宋体"/>
                <w:sz w:val="16"/>
              </w:rPr>
              <w:t>2024年喀什地区第四次全国文物普查工作经费共计98.72万元，截至2024年12月31日前共计支出53.56万元。喀什地区第四次全国文物普查2024年已开展200天，主要由2支队伍，10人到各县市参与现场调查，先后完成了全地区11县市第四次全国文物普查实地调查工作，应复查点位684处，已复查文物数量679处。2024年第四次全国文物普查项目的实施对喀什地区所有文物进行全面摸底，准确掌握其数量、分布情况、保存状况等基本情况，对于准确判断喀什地区文物保护形势、科学制定文物保护措施，加大文物和文化遗产保护力度，加强城乡建设中历史文化保护传承，加强中华民族共同体历史、中华民族多元一体格局研究，对有形有感有效推进文化润疆、铸牢中华民族共同体意识具有重要深远意义。</w:t>
            </w:r>
          </w:p>
        </w:tc>
      </w:tr>
      <w:tr w14:paraId="3527AD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60ADE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8835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39B30">
            <w:pPr>
              <w:jc w:val="center"/>
            </w:pPr>
            <w:r>
              <w:rPr>
                <w:rFonts w:ascii="宋体" w:hAnsi="宋体" w:eastAsia="宋体"/>
                <w:sz w:val="16"/>
              </w:rPr>
              <w:t>二级指标</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3C760">
            <w:pPr>
              <w:jc w:val="center"/>
            </w:pPr>
            <w:r>
              <w:rPr>
                <w:rFonts w:ascii="宋体" w:hAnsi="宋体" w:eastAsia="宋体"/>
                <w:sz w:val="16"/>
              </w:rPr>
              <w:t>三级指标</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332F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2638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F029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DD8A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76AE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A82B8">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567BFA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C10E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A790B">
            <w:pPr>
              <w:jc w:val="center"/>
            </w:pPr>
            <w:r>
              <w:rPr>
                <w:rFonts w:ascii="宋体" w:hAnsi="宋体" w:eastAsia="宋体"/>
                <w:sz w:val="16"/>
              </w:rPr>
              <w:t>偏差原因分析及改进措施</w:t>
            </w:r>
          </w:p>
        </w:tc>
      </w:tr>
      <w:tr w14:paraId="26DA469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FDFD2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67610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DCE99">
            <w:pPr>
              <w:jc w:val="center"/>
            </w:pPr>
            <w:r>
              <w:rPr>
                <w:rFonts w:ascii="宋体" w:hAnsi="宋体" w:eastAsia="宋体"/>
                <w:sz w:val="16"/>
              </w:rPr>
              <w:t>数量指标</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630BF">
            <w:pPr>
              <w:jc w:val="center"/>
            </w:pPr>
            <w:r>
              <w:rPr>
                <w:rFonts w:ascii="宋体" w:hAnsi="宋体" w:eastAsia="宋体"/>
                <w:sz w:val="16"/>
              </w:rPr>
              <w:t>普查开展天数</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5D5B9">
            <w:pPr>
              <w:jc w:val="center"/>
            </w:pPr>
            <w:r>
              <w:rPr>
                <w:rFonts w:ascii="宋体" w:hAnsi="宋体" w:eastAsia="宋体"/>
                <w:sz w:val="16"/>
              </w:rPr>
              <w:t>&gt;=200天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E56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2D1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9138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FE2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6F7C3">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76D91EA">
            <w:pPr>
              <w:jc w:val="center"/>
            </w:pPr>
            <w:r>
              <w:rPr>
                <w:rFonts w:ascii="宋体" w:hAnsi="宋体" w:eastAsia="宋体"/>
                <w:sz w:val="16"/>
              </w:rPr>
              <w:t>=200天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CABB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40D90">
            <w:pPr>
              <w:jc w:val="center"/>
            </w:pPr>
          </w:p>
        </w:tc>
      </w:tr>
      <w:tr w14:paraId="33E865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93CF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1B3605"/>
        </w:tc>
        <w:tc>
          <w:tcPr>
            <w:tcW w:w="767" w:type="dxa"/>
            <w:gridSpan w:val="2"/>
            <w:vMerge w:val="restart"/>
            <w:tcBorders>
              <w:top w:val="single" w:color="auto" w:sz="10" w:space="0"/>
              <w:left w:val="single" w:color="auto" w:sz="10" w:space="0"/>
              <w:right w:val="single" w:color="auto" w:sz="10" w:space="0"/>
              <w:insideV w:val="single" w:sz="10" w:space="0"/>
            </w:tcBorders>
          </w:tcPr>
          <w:p w14:paraId="674E0803"/>
        </w:tc>
        <w:tc>
          <w:tcPr>
            <w:tcW w:w="65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34843">
            <w:pPr>
              <w:jc w:val="center"/>
            </w:pPr>
            <w:r>
              <w:rPr>
                <w:rFonts w:ascii="宋体" w:hAnsi="宋体" w:eastAsia="宋体"/>
                <w:sz w:val="16"/>
              </w:rPr>
              <w:t>普查人数</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53F2D16">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9A2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241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6D3D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817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097BF">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60A098A">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181E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61310">
            <w:pPr>
              <w:jc w:val="center"/>
            </w:pPr>
          </w:p>
        </w:tc>
      </w:tr>
      <w:tr w14:paraId="2D6FBE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91C6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49F822"/>
        </w:tc>
        <w:tc>
          <w:tcPr>
            <w:tcW w:w="767"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D42996F"/>
        </w:tc>
        <w:tc>
          <w:tcPr>
            <w:tcW w:w="65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704D4">
            <w:pPr>
              <w:jc w:val="center"/>
            </w:pPr>
            <w:r>
              <w:rPr>
                <w:rFonts w:ascii="宋体" w:hAnsi="宋体" w:eastAsia="宋体"/>
                <w:sz w:val="16"/>
              </w:rPr>
              <w:t>普查队伍</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1962D10">
            <w:pPr>
              <w:jc w:val="center"/>
            </w:pPr>
            <w:r>
              <w:rPr>
                <w:rFonts w:ascii="宋体" w:hAnsi="宋体" w:eastAsia="宋体"/>
                <w:sz w:val="16"/>
              </w:rPr>
              <w:t>&gt;=2支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59C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7EB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0DC6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597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2911E">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95DF6FA">
            <w:pPr>
              <w:jc w:val="center"/>
            </w:pPr>
            <w:r>
              <w:rPr>
                <w:rFonts w:ascii="宋体" w:hAnsi="宋体" w:eastAsia="宋体"/>
                <w:sz w:val="16"/>
              </w:rPr>
              <w:t>=2支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8F39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071D8">
            <w:pPr>
              <w:jc w:val="center"/>
            </w:pPr>
          </w:p>
        </w:tc>
      </w:tr>
      <w:tr w14:paraId="45A952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FB29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5C1AB2"/>
        </w:tc>
        <w:tc>
          <w:tcPr>
            <w:tcW w:w="7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761F1">
            <w:pPr>
              <w:jc w:val="center"/>
            </w:pPr>
            <w:r>
              <w:rPr>
                <w:rFonts w:ascii="宋体" w:hAnsi="宋体" w:eastAsia="宋体"/>
                <w:sz w:val="16"/>
              </w:rPr>
              <w:t>质量指标</w:t>
            </w:r>
          </w:p>
        </w:tc>
        <w:tc>
          <w:tcPr>
            <w:tcW w:w="65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D9CC5">
            <w:pPr>
              <w:jc w:val="center"/>
            </w:pPr>
            <w:r>
              <w:rPr>
                <w:rFonts w:ascii="宋体" w:hAnsi="宋体" w:eastAsia="宋体"/>
                <w:sz w:val="16"/>
              </w:rPr>
              <w:t>普查完成率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5689F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098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EDF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05AD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8766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CCA2E">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8D219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8AE8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E31A0">
            <w:pPr>
              <w:jc w:val="center"/>
            </w:pPr>
          </w:p>
        </w:tc>
      </w:tr>
      <w:tr w14:paraId="38EF54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CED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0247B2"/>
        </w:tc>
        <w:tc>
          <w:tcPr>
            <w:tcW w:w="7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D62EB">
            <w:pPr>
              <w:jc w:val="center"/>
            </w:pPr>
            <w:r>
              <w:rPr>
                <w:rFonts w:ascii="宋体" w:hAnsi="宋体" w:eastAsia="宋体"/>
                <w:sz w:val="16"/>
              </w:rPr>
              <w:t>时效指标</w:t>
            </w:r>
          </w:p>
        </w:tc>
        <w:tc>
          <w:tcPr>
            <w:tcW w:w="65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AC6C1">
            <w:pPr>
              <w:jc w:val="center"/>
            </w:pPr>
            <w:r>
              <w:rPr>
                <w:rFonts w:ascii="宋体" w:hAnsi="宋体" w:eastAsia="宋体"/>
                <w:sz w:val="16"/>
              </w:rPr>
              <w:t>项目完成时间</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437C26C">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6F9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8D13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37FE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B09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35BD2">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F044015">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D40B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1CEAE">
            <w:pPr>
              <w:jc w:val="center"/>
            </w:pPr>
          </w:p>
        </w:tc>
      </w:tr>
      <w:tr w14:paraId="5D2DA5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CCF30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F10F1E">
            <w:pPr>
              <w:jc w:val="center"/>
            </w:pPr>
            <w:r>
              <w:rPr>
                <w:rFonts w:ascii="宋体" w:hAnsi="宋体" w:eastAsia="宋体"/>
                <w:sz w:val="16"/>
              </w:rPr>
              <w:t>成本指标</w:t>
            </w:r>
          </w:p>
        </w:tc>
        <w:tc>
          <w:tcPr>
            <w:tcW w:w="767"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81749F">
            <w:pPr>
              <w:jc w:val="center"/>
            </w:pPr>
            <w:r>
              <w:rPr>
                <w:rFonts w:ascii="宋体" w:hAnsi="宋体" w:eastAsia="宋体"/>
                <w:sz w:val="16"/>
              </w:rPr>
              <w:t>经济成本指标</w:t>
            </w:r>
          </w:p>
        </w:tc>
        <w:tc>
          <w:tcPr>
            <w:tcW w:w="65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7164A">
            <w:pPr>
              <w:jc w:val="center"/>
            </w:pPr>
            <w:r>
              <w:rPr>
                <w:rFonts w:ascii="宋体" w:hAnsi="宋体" w:eastAsia="宋体"/>
                <w:sz w:val="16"/>
              </w:rPr>
              <w:t>差旅费</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B2E7877">
            <w:pPr>
              <w:jc w:val="center"/>
            </w:pPr>
            <w:r>
              <w:rPr>
                <w:rFonts w:ascii="宋体" w:hAnsi="宋体" w:eastAsia="宋体"/>
                <w:sz w:val="16"/>
              </w:rPr>
              <w:t>&lt;=50.61万元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F51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6A6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C20F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60C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01D33">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7BC29B9">
            <w:pPr>
              <w:jc w:val="center"/>
            </w:pPr>
            <w:r>
              <w:rPr>
                <w:rFonts w:ascii="宋体" w:hAnsi="宋体" w:eastAsia="宋体"/>
                <w:sz w:val="16"/>
              </w:rPr>
              <w:t>=6.57万元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C74A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57639">
            <w:pPr>
              <w:jc w:val="center"/>
            </w:pPr>
            <w:r>
              <w:rPr>
                <w:rFonts w:ascii="宋体" w:hAnsi="宋体" w:eastAsia="宋体"/>
                <w:sz w:val="16"/>
              </w:rPr>
              <w:t>偏差原因：原计划拟派10人赴12县市进行实地普查，但由于工作原因无法派出那么多工作人员，故差旅费指标存在偏差；改进措施：根据单位实际情况做预算。</w:t>
            </w:r>
          </w:p>
        </w:tc>
      </w:tr>
      <w:tr w14:paraId="6C4390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528F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026FA"/>
        </w:tc>
        <w:tc>
          <w:tcPr>
            <w:tcW w:w="767"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60D444D"/>
        </w:tc>
        <w:tc>
          <w:tcPr>
            <w:tcW w:w="65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AFB91">
            <w:pPr>
              <w:jc w:val="center"/>
            </w:pPr>
            <w:r>
              <w:rPr>
                <w:rFonts w:ascii="宋体" w:hAnsi="宋体" w:eastAsia="宋体"/>
                <w:sz w:val="16"/>
              </w:rPr>
              <w:t>其他费用</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97D39AA">
            <w:pPr>
              <w:jc w:val="center"/>
            </w:pPr>
            <w:r>
              <w:rPr>
                <w:rFonts w:ascii="宋体" w:hAnsi="宋体" w:eastAsia="宋体"/>
                <w:sz w:val="16"/>
              </w:rPr>
              <w:t>&lt;=14.51万元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3C6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7242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F491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EA5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5DCE0">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A104F74">
            <w:pPr>
              <w:jc w:val="center"/>
            </w:pPr>
            <w:r>
              <w:rPr>
                <w:rFonts w:ascii="宋体" w:hAnsi="宋体" w:eastAsia="宋体"/>
                <w:sz w:val="16"/>
              </w:rPr>
              <w:t>=13.39万元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99095">
            <w:pPr>
              <w:jc w:val="center"/>
            </w:pPr>
            <w:r>
              <w:rPr>
                <w:rFonts w:ascii="宋体" w:hAnsi="宋体" w:eastAsia="宋体"/>
                <w:sz w:val="16"/>
              </w:rPr>
              <w:t>4.84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A804B">
            <w:pPr>
              <w:jc w:val="center"/>
            </w:pPr>
            <w:r>
              <w:rPr>
                <w:rFonts w:ascii="宋体" w:hAnsi="宋体" w:eastAsia="宋体"/>
                <w:sz w:val="16"/>
              </w:rPr>
              <w:t>偏差原因：政采云查价与实际采购价格存在偏差，故其他费用指标存在偏差；改进措施：精细化列支项目预算。</w:t>
            </w:r>
          </w:p>
        </w:tc>
      </w:tr>
      <w:tr w14:paraId="65BC76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AAEE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8DB74B"/>
        </w:tc>
        <w:tc>
          <w:tcPr>
            <w:tcW w:w="767"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2E0D244"/>
        </w:tc>
        <w:tc>
          <w:tcPr>
            <w:tcW w:w="65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B453D">
            <w:pPr>
              <w:jc w:val="center"/>
            </w:pPr>
            <w:r>
              <w:rPr>
                <w:rFonts w:ascii="宋体" w:hAnsi="宋体" w:eastAsia="宋体"/>
                <w:sz w:val="16"/>
              </w:rPr>
              <w:t>租车费</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7D895A7">
            <w:pPr>
              <w:jc w:val="center"/>
            </w:pPr>
            <w:r>
              <w:rPr>
                <w:rFonts w:ascii="宋体" w:hAnsi="宋体" w:eastAsia="宋体"/>
                <w:sz w:val="16"/>
              </w:rPr>
              <w:t>&lt;=33.60万元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D15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A3E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B943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FBD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7DF7B">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F432E8F">
            <w:pPr>
              <w:jc w:val="center"/>
            </w:pPr>
            <w:r>
              <w:rPr>
                <w:rFonts w:ascii="宋体" w:hAnsi="宋体" w:eastAsia="宋体"/>
                <w:sz w:val="16"/>
              </w:rPr>
              <w:t>=33.6万元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11D6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0EAA8">
            <w:pPr>
              <w:jc w:val="center"/>
            </w:pPr>
          </w:p>
        </w:tc>
      </w:tr>
      <w:tr w14:paraId="666601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D599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C134E">
            <w:pPr>
              <w:jc w:val="center"/>
            </w:pPr>
            <w:r>
              <w:rPr>
                <w:rFonts w:ascii="宋体" w:hAnsi="宋体" w:eastAsia="宋体"/>
                <w:sz w:val="16"/>
              </w:rPr>
              <w:t>效益指标</w:t>
            </w:r>
          </w:p>
        </w:tc>
        <w:tc>
          <w:tcPr>
            <w:tcW w:w="7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CD910">
            <w:pPr>
              <w:jc w:val="center"/>
            </w:pPr>
            <w:r>
              <w:rPr>
                <w:rFonts w:ascii="宋体" w:hAnsi="宋体" w:eastAsia="宋体"/>
                <w:sz w:val="16"/>
              </w:rPr>
              <w:t>社会效益指标</w:t>
            </w:r>
          </w:p>
        </w:tc>
        <w:tc>
          <w:tcPr>
            <w:tcW w:w="65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05732">
            <w:pPr>
              <w:jc w:val="center"/>
            </w:pPr>
            <w:r>
              <w:rPr>
                <w:rFonts w:ascii="宋体" w:hAnsi="宋体" w:eastAsia="宋体"/>
                <w:sz w:val="16"/>
              </w:rPr>
              <w:t>提升社会公众文物保护意识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31C988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6B9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2C8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127E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5C73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C33C1">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A2A35E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95B8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96900">
            <w:pPr>
              <w:jc w:val="center"/>
            </w:pPr>
          </w:p>
        </w:tc>
      </w:tr>
      <w:tr w14:paraId="14B9DA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97A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149C2">
            <w:pPr>
              <w:jc w:val="center"/>
            </w:pPr>
            <w:r>
              <w:rPr>
                <w:rFonts w:ascii="宋体" w:hAnsi="宋体" w:eastAsia="宋体"/>
                <w:sz w:val="16"/>
              </w:rPr>
              <w:t>满意度指标</w:t>
            </w:r>
          </w:p>
        </w:tc>
        <w:tc>
          <w:tcPr>
            <w:tcW w:w="7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FA474">
            <w:pPr>
              <w:jc w:val="center"/>
            </w:pPr>
            <w:r>
              <w:rPr>
                <w:rFonts w:ascii="宋体" w:hAnsi="宋体" w:eastAsia="宋体"/>
                <w:sz w:val="16"/>
              </w:rPr>
              <w:t>满意度指标</w:t>
            </w:r>
          </w:p>
        </w:tc>
        <w:tc>
          <w:tcPr>
            <w:tcW w:w="65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CCFFE">
            <w:pPr>
              <w:jc w:val="center"/>
            </w:pPr>
            <w:r>
              <w:rPr>
                <w:rFonts w:ascii="宋体" w:hAnsi="宋体" w:eastAsia="宋体"/>
                <w:sz w:val="16"/>
              </w:rPr>
              <w:t>参与人员满意度</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9AFB22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D90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0C3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B32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A23F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AB5ED">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945D50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57A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52FC6">
            <w:pPr>
              <w:jc w:val="center"/>
            </w:pPr>
          </w:p>
        </w:tc>
      </w:tr>
      <w:tr w14:paraId="6C479260">
        <w:tblPrEx>
          <w:tblCellMar>
            <w:top w:w="0" w:type="dxa"/>
            <w:left w:w="108" w:type="dxa"/>
            <w:bottom w:w="0" w:type="dxa"/>
            <w:right w:w="108" w:type="dxa"/>
          </w:tblCellMar>
        </w:tblPrEx>
        <w:tc>
          <w:tcPr>
            <w:tcW w:w="4568"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72366E1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D3D30">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14:paraId="1B7A5A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85FEA">
            <w:pPr>
              <w:jc w:val="center"/>
            </w:pPr>
            <w:r>
              <w:rPr>
                <w:rFonts w:ascii="宋体" w:hAnsi="宋体" w:eastAsia="宋体"/>
                <w:sz w:val="16"/>
              </w:rPr>
              <w:t>81.84分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6D8DACE"/>
        </w:tc>
      </w:tr>
    </w:tbl>
    <w:p w14:paraId="11FE16A7">
      <w:r>
        <w:br w:type="page"/>
      </w:r>
    </w:p>
    <w:p w14:paraId="6C0C9F9D">
      <w:pPr>
        <w:spacing w:line="640" w:lineRule="exact"/>
        <w:ind w:firstLine="640"/>
        <w:jc w:val="both"/>
        <w:outlineLvl w:val="2"/>
      </w:pPr>
      <w:r>
        <w:rPr>
          <w:rFonts w:ascii="黑体" w:hAnsi="黑体" w:eastAsia="黑体"/>
          <w:sz w:val="32"/>
        </w:rPr>
        <w:t>十二、其他需说明的事项</w:t>
      </w:r>
    </w:p>
    <w:p w14:paraId="57B0A77D">
      <w:pPr>
        <w:spacing w:line="580" w:lineRule="exact"/>
        <w:ind w:firstLine="640"/>
        <w:jc w:val="both"/>
      </w:pPr>
      <w:r>
        <w:rPr>
          <w:rFonts w:ascii="仿宋_GB2312" w:hAnsi="仿宋_GB2312" w:eastAsia="仿宋_GB2312"/>
          <w:b w:val="0"/>
          <w:sz w:val="32"/>
        </w:rPr>
        <w:t>本年</w:t>
      </w:r>
      <w:r>
        <w:rPr>
          <w:rFonts w:hint="eastAsia" w:ascii="仿宋_GB2312" w:hAnsi="仿宋_GB2312" w:eastAsia="仿宋_GB2312"/>
          <w:b w:val="0"/>
          <w:sz w:val="32"/>
          <w:lang w:val="en-US" w:eastAsia="zh-CN"/>
        </w:rPr>
        <w:t>涉密</w:t>
      </w:r>
      <w:r>
        <w:rPr>
          <w:rFonts w:ascii="仿宋_GB2312" w:hAnsi="仿宋_GB2312" w:eastAsia="仿宋_GB2312"/>
          <w:b w:val="0"/>
          <w:sz w:val="32"/>
        </w:rPr>
        <w:t>项目1个，全年</w:t>
      </w:r>
      <w:bookmarkStart w:id="0" w:name="_GoBack"/>
      <w:bookmarkEnd w:id="0"/>
      <w:r>
        <w:rPr>
          <w:rFonts w:ascii="仿宋_GB2312" w:hAnsi="仿宋_GB2312" w:eastAsia="仿宋_GB2312"/>
          <w:b w:val="0"/>
          <w:sz w:val="32"/>
        </w:rPr>
        <w:t>预算数10万元，全年执行数10万元。</w:t>
      </w:r>
    </w:p>
    <w:p w14:paraId="7A0AF708">
      <w:r>
        <w:br w:type="page"/>
      </w:r>
    </w:p>
    <w:p w14:paraId="5DA6C9EF">
      <w:pPr>
        <w:spacing w:line="240" w:lineRule="auto"/>
        <w:jc w:val="center"/>
        <w:outlineLvl w:val="1"/>
      </w:pPr>
      <w:r>
        <w:rPr>
          <w:rFonts w:ascii="黑体" w:hAnsi="黑体" w:eastAsia="黑体"/>
          <w:sz w:val="32"/>
        </w:rPr>
        <w:t>第三部分 专业名词解释</w:t>
      </w:r>
    </w:p>
    <w:p w14:paraId="22ABEEA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B4C938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0C911A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958F80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AB4A70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5AAA52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D24AF5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2A44F5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798733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D0781B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594E2E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3DC350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D1725F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73B23F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F163E13">
      <w:r>
        <w:br w:type="page"/>
      </w:r>
    </w:p>
    <w:p w14:paraId="35A5D0E9">
      <w:pPr>
        <w:spacing w:line="240" w:lineRule="auto"/>
        <w:jc w:val="center"/>
        <w:outlineLvl w:val="1"/>
      </w:pPr>
      <w:r>
        <w:rPr>
          <w:rFonts w:ascii="黑体" w:hAnsi="黑体" w:eastAsia="黑体"/>
          <w:sz w:val="32"/>
        </w:rPr>
        <w:t>第四部分 部门决算报表（见附表）</w:t>
      </w:r>
    </w:p>
    <w:p w14:paraId="12AFA1D0">
      <w:pPr>
        <w:spacing w:line="240" w:lineRule="auto"/>
        <w:ind w:firstLine="640"/>
        <w:jc w:val="both"/>
      </w:pPr>
      <w:r>
        <w:rPr>
          <w:rFonts w:ascii="仿宋_GB2312" w:hAnsi="仿宋_GB2312" w:eastAsia="仿宋_GB2312"/>
          <w:b w:val="0"/>
          <w:sz w:val="32"/>
        </w:rPr>
        <w:t>一、《收入支出决算总表》</w:t>
      </w:r>
    </w:p>
    <w:p w14:paraId="23022E4B">
      <w:pPr>
        <w:spacing w:line="240" w:lineRule="auto"/>
        <w:ind w:firstLine="640"/>
        <w:jc w:val="both"/>
      </w:pPr>
      <w:r>
        <w:rPr>
          <w:rFonts w:ascii="仿宋_GB2312" w:hAnsi="仿宋_GB2312" w:eastAsia="仿宋_GB2312"/>
          <w:b w:val="0"/>
          <w:sz w:val="32"/>
        </w:rPr>
        <w:t>二、《收入决算表》</w:t>
      </w:r>
    </w:p>
    <w:p w14:paraId="7B5C26D4">
      <w:pPr>
        <w:spacing w:line="240" w:lineRule="auto"/>
        <w:ind w:firstLine="640"/>
        <w:jc w:val="both"/>
      </w:pPr>
      <w:r>
        <w:rPr>
          <w:rFonts w:ascii="仿宋_GB2312" w:hAnsi="仿宋_GB2312" w:eastAsia="仿宋_GB2312"/>
          <w:b w:val="0"/>
          <w:sz w:val="32"/>
        </w:rPr>
        <w:t>三、《支出决算表》</w:t>
      </w:r>
    </w:p>
    <w:p w14:paraId="54A471D6">
      <w:pPr>
        <w:spacing w:line="240" w:lineRule="auto"/>
        <w:ind w:firstLine="640"/>
        <w:jc w:val="both"/>
      </w:pPr>
      <w:r>
        <w:rPr>
          <w:rFonts w:ascii="仿宋_GB2312" w:hAnsi="仿宋_GB2312" w:eastAsia="仿宋_GB2312"/>
          <w:b w:val="0"/>
          <w:sz w:val="32"/>
        </w:rPr>
        <w:t>四、《财政拨款收入支出决算总表》</w:t>
      </w:r>
    </w:p>
    <w:p w14:paraId="00CBCCAA">
      <w:pPr>
        <w:spacing w:line="240" w:lineRule="auto"/>
        <w:ind w:firstLine="640"/>
        <w:jc w:val="both"/>
      </w:pPr>
      <w:r>
        <w:rPr>
          <w:rFonts w:ascii="仿宋_GB2312" w:hAnsi="仿宋_GB2312" w:eastAsia="仿宋_GB2312"/>
          <w:b w:val="0"/>
          <w:sz w:val="32"/>
        </w:rPr>
        <w:t>五、《一般公共预算财政拨款支出决算表》</w:t>
      </w:r>
    </w:p>
    <w:p w14:paraId="771A1D41">
      <w:pPr>
        <w:spacing w:line="240" w:lineRule="auto"/>
        <w:ind w:firstLine="640"/>
        <w:jc w:val="both"/>
      </w:pPr>
      <w:r>
        <w:rPr>
          <w:rFonts w:ascii="仿宋_GB2312" w:hAnsi="仿宋_GB2312" w:eastAsia="仿宋_GB2312"/>
          <w:b w:val="0"/>
          <w:sz w:val="32"/>
        </w:rPr>
        <w:t>六、《一般公共预算财政拨款基本支出决算表》</w:t>
      </w:r>
    </w:p>
    <w:p w14:paraId="1DEBE338">
      <w:pPr>
        <w:spacing w:line="240" w:lineRule="auto"/>
        <w:ind w:firstLine="640"/>
        <w:jc w:val="both"/>
      </w:pPr>
      <w:r>
        <w:rPr>
          <w:rFonts w:ascii="仿宋_GB2312" w:hAnsi="仿宋_GB2312" w:eastAsia="仿宋_GB2312"/>
          <w:b w:val="0"/>
          <w:sz w:val="32"/>
        </w:rPr>
        <w:t>七、《政府性基金预算财政拨款收入支出决算表》</w:t>
      </w:r>
    </w:p>
    <w:p w14:paraId="11678292">
      <w:pPr>
        <w:spacing w:line="240" w:lineRule="auto"/>
        <w:ind w:firstLine="640"/>
        <w:jc w:val="both"/>
      </w:pPr>
      <w:r>
        <w:rPr>
          <w:rFonts w:ascii="仿宋_GB2312" w:hAnsi="仿宋_GB2312" w:eastAsia="仿宋_GB2312"/>
          <w:b w:val="0"/>
          <w:sz w:val="32"/>
        </w:rPr>
        <w:t>八、《国有资本经营预算财政拨款收入支出决算表》</w:t>
      </w:r>
    </w:p>
    <w:p w14:paraId="259F888A">
      <w:pPr>
        <w:spacing w:line="240" w:lineRule="auto"/>
        <w:ind w:firstLine="640"/>
        <w:jc w:val="both"/>
      </w:pPr>
      <w:r>
        <w:rPr>
          <w:rFonts w:ascii="仿宋_GB2312" w:hAnsi="仿宋_GB2312" w:eastAsia="仿宋_GB2312"/>
          <w:b w:val="0"/>
          <w:sz w:val="32"/>
        </w:rPr>
        <w:t>九、《财政拨款“三公”经费支出决算表》</w:t>
      </w:r>
    </w:p>
    <w:p w14:paraId="116C26C3">
      <w:pPr>
        <w:spacing w:line="240" w:lineRule="auto"/>
        <w:ind w:firstLine="640"/>
        <w:jc w:val="both"/>
      </w:pPr>
    </w:p>
    <w:p w14:paraId="0D727747">
      <w:pPr>
        <w:spacing w:line="240" w:lineRule="auto"/>
        <w:ind w:firstLine="640"/>
        <w:jc w:val="both"/>
      </w:pPr>
    </w:p>
    <w:p w14:paraId="69CF290B">
      <w:pPr>
        <w:spacing w:line="240" w:lineRule="auto"/>
        <w:ind w:firstLine="640"/>
        <w:jc w:val="both"/>
      </w:pPr>
    </w:p>
    <w:p w14:paraId="197E8768">
      <w:pPr>
        <w:spacing w:line="240" w:lineRule="auto"/>
        <w:ind w:firstLine="640"/>
        <w:jc w:val="both"/>
      </w:pPr>
    </w:p>
    <w:p w14:paraId="799B691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2CB89FB-7EB8-4B97-8D16-016F7DBC5CE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C95594ED-F030-4557-9D4C-427765BD5B6D}"/>
  </w:font>
  <w:font w:name="方正小标宋_GBK">
    <w:panose1 w:val="02000000000000000000"/>
    <w:charset w:val="86"/>
    <w:family w:val="script"/>
    <w:pitch w:val="default"/>
    <w:sig w:usb0="A00002BF" w:usb1="38CF7CFA" w:usb2="00082016" w:usb3="00000000" w:csb0="00040001" w:csb1="00000000"/>
    <w:embedRegular r:id="rId3" w:fontKey="{BE10E2E7-D192-49B0-BC8B-C97E1EA4412E}"/>
  </w:font>
  <w:font w:name="楷体_GB2312">
    <w:altName w:val="楷体"/>
    <w:panose1 w:val="00000000000000000000"/>
    <w:charset w:val="00"/>
    <w:family w:val="auto"/>
    <w:pitch w:val="default"/>
    <w:sig w:usb0="00000000" w:usb1="00000000" w:usb2="00000000" w:usb3="00000000" w:csb0="00000000" w:csb1="00000000"/>
    <w:embedRegular r:id="rId4" w:fontKey="{027778E1-AF40-4E58-9CC5-9879CAB70C9F}"/>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41B0B29"/>
    <w:rsid w:val="464B7E04"/>
    <w:rsid w:val="464F7E64"/>
    <w:rsid w:val="46901EEE"/>
    <w:rsid w:val="469C74D2"/>
    <w:rsid w:val="47445515"/>
    <w:rsid w:val="4B4C0111"/>
    <w:rsid w:val="4BB23021"/>
    <w:rsid w:val="4F3F074E"/>
    <w:rsid w:val="50DB5F45"/>
    <w:rsid w:val="52F92565"/>
    <w:rsid w:val="543D17CB"/>
    <w:rsid w:val="55096974"/>
    <w:rsid w:val="55DA564E"/>
    <w:rsid w:val="56E07045"/>
    <w:rsid w:val="583059FA"/>
    <w:rsid w:val="587E6212"/>
    <w:rsid w:val="5AFC6609"/>
    <w:rsid w:val="5CBA3AE4"/>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57B55B8"/>
    <w:rsid w:val="76660D7C"/>
    <w:rsid w:val="77ED6F44"/>
    <w:rsid w:val="795A0A34"/>
    <w:rsid w:val="796A0859"/>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6152</Words>
  <Characters>7048</Characters>
  <Lines>0</Lines>
  <Paragraphs>0</Paragraphs>
  <TotalTime>9</TotalTime>
  <ScaleCrop>false</ScaleCrop>
  <LinksUpToDate>false</LinksUpToDate>
  <CharactersWithSpaces>7056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2025-09-28T11:48:55Z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