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新疆维吾尔自治区喀什地区体育局2024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707CA0">
      <w:r>
        <w:br w:type="page"/>
      </w:r>
    </w:p>
    <w:p w14:paraId="6C0CA572">
      <w:pPr>
        <w:spacing w:line="640" w:lineRule="exact"/>
        <w:jc w:val="center"/>
        <w:outlineLvl w:val="1"/>
      </w:pPr>
      <w:r>
        <w:rPr>
          <w:rFonts w:ascii="黑体" w:hAnsi="黑体" w:eastAsia="黑体"/>
          <w:sz w:val="32"/>
        </w:rPr>
        <w:t>第一部分 部门概况</w:t>
      </w:r>
    </w:p>
    <w:p w14:paraId="296EA116">
      <w:pPr>
        <w:spacing w:line="640" w:lineRule="exact"/>
        <w:ind w:firstLine="640"/>
        <w:jc w:val="both"/>
        <w:outlineLvl w:val="2"/>
      </w:pPr>
      <w:r>
        <w:rPr>
          <w:rFonts w:ascii="黑体" w:hAnsi="黑体" w:eastAsia="黑体"/>
          <w:sz w:val="32"/>
        </w:rPr>
        <w:t>一、主要职能</w:t>
      </w:r>
    </w:p>
    <w:p w14:paraId="74152F1B">
      <w:pPr>
        <w:spacing w:line="580" w:lineRule="exact"/>
        <w:ind w:firstLine="640"/>
        <w:jc w:val="both"/>
      </w:pPr>
      <w:r>
        <w:rPr>
          <w:rFonts w:ascii="仿宋_GB2312" w:hAnsi="仿宋_GB2312" w:eastAsia="仿宋_GB2312"/>
          <w:sz w:val="32"/>
        </w:rPr>
        <w:t>（1）贯彻执行国家、自治区有关体育工作的方针、政策、法规，研究拟定相关的政策和发展规划、年度计划并组织实施。</w:t>
      </w:r>
    </w:p>
    <w:p w14:paraId="6AAC6879">
      <w:pPr>
        <w:spacing w:line="580" w:lineRule="exact"/>
        <w:ind w:firstLine="640"/>
        <w:jc w:val="both"/>
      </w:pPr>
      <w:r>
        <w:rPr>
          <w:rFonts w:ascii="仿宋_GB2312" w:hAnsi="仿宋_GB2312" w:eastAsia="仿宋_GB2312"/>
          <w:sz w:val="32"/>
        </w:rPr>
        <w:t>（2）负责规划运动项目的布局，研究和指导体育运动队伍的建设；承办和参加全国及自治区的体育运动竞赛；编制体育竞赛计划；指导竞技体育工作，培训体育干部和专业人才。</w:t>
      </w:r>
    </w:p>
    <w:p w14:paraId="41086B89">
      <w:pPr>
        <w:spacing w:line="580" w:lineRule="exact"/>
        <w:ind w:firstLine="640"/>
        <w:jc w:val="both"/>
      </w:pPr>
      <w:r>
        <w:rPr>
          <w:rFonts w:ascii="仿宋_GB2312" w:hAnsi="仿宋_GB2312" w:eastAsia="仿宋_GB2312"/>
          <w:sz w:val="32"/>
        </w:rPr>
        <w:t>（3）统筹规划地区青少年体育发展，</w:t>
      </w:r>
      <w:r>
        <w:rPr>
          <w:rFonts w:hint="eastAsia" w:ascii="仿宋_GB2312" w:hAnsi="仿宋_GB2312" w:eastAsia="仿宋_GB2312"/>
          <w:sz w:val="32"/>
          <w:lang w:eastAsia="zh-CN"/>
        </w:rPr>
        <w:t>开展业余</w:t>
      </w:r>
      <w:r>
        <w:rPr>
          <w:rFonts w:ascii="仿宋_GB2312" w:hAnsi="仿宋_GB2312" w:eastAsia="仿宋_GB2312"/>
          <w:sz w:val="32"/>
        </w:rPr>
        <w:t>训练，指导和推进青少年体育工作。</w:t>
      </w:r>
    </w:p>
    <w:p w14:paraId="102263FD">
      <w:pPr>
        <w:spacing w:line="580" w:lineRule="exact"/>
        <w:ind w:firstLine="640"/>
        <w:jc w:val="both"/>
      </w:pPr>
      <w:r>
        <w:rPr>
          <w:rFonts w:ascii="仿宋_GB2312" w:hAnsi="仿宋_GB2312" w:eastAsia="仿宋_GB2312"/>
          <w:sz w:val="32"/>
        </w:rPr>
        <w:t>（4）统筹规划地区群众体育发展，负责推行全民健身计划，监督实施国家体育锻炼标准，推动体质监测和社会体育指导工作及制度建设；指导公共体育设施的建设，负责对公共体育设施的监督管理。</w:t>
      </w:r>
    </w:p>
    <w:p w14:paraId="15464939">
      <w:pPr>
        <w:spacing w:line="580" w:lineRule="exact"/>
        <w:ind w:firstLine="640"/>
        <w:jc w:val="both"/>
      </w:pPr>
      <w:r>
        <w:rPr>
          <w:rFonts w:ascii="仿宋_GB2312" w:hAnsi="仿宋_GB2312" w:eastAsia="仿宋_GB2312"/>
          <w:sz w:val="32"/>
        </w:rPr>
        <w:t>（5）指导地区体育系统及民间体育交流活动，协调、指导、管理地区境内承办的国际性、商业性体育比赛和经批准开展的特殊体育经营活动。</w:t>
      </w:r>
    </w:p>
    <w:p w14:paraId="59C8F133">
      <w:pPr>
        <w:spacing w:line="580" w:lineRule="exact"/>
        <w:ind w:firstLine="640"/>
        <w:jc w:val="both"/>
      </w:pPr>
      <w:r>
        <w:rPr>
          <w:rFonts w:ascii="仿宋_GB2312" w:hAnsi="仿宋_GB2312" w:eastAsia="仿宋_GB2312"/>
          <w:sz w:val="32"/>
        </w:rPr>
        <w:t>（6）拟订地区体育产业发展规划、政策，规范体育服务、经营管理，推动体育标准化建设；负责体育彩票发行管理。</w:t>
      </w:r>
    </w:p>
    <w:p w14:paraId="60B8B281">
      <w:pPr>
        <w:spacing w:line="580" w:lineRule="exact"/>
        <w:ind w:firstLine="640"/>
        <w:jc w:val="both"/>
      </w:pPr>
      <w:r>
        <w:rPr>
          <w:rFonts w:ascii="仿宋_GB2312" w:hAnsi="仿宋_GB2312" w:eastAsia="仿宋_GB2312"/>
          <w:sz w:val="32"/>
        </w:rPr>
        <w:t>（7）承办地委、行署及上级机关交办的其他事项。</w:t>
      </w:r>
    </w:p>
    <w:p w14:paraId="7F87E0CA">
      <w:pPr>
        <w:spacing w:line="640" w:lineRule="exact"/>
        <w:ind w:firstLine="640"/>
        <w:jc w:val="both"/>
        <w:outlineLvl w:val="2"/>
      </w:pPr>
      <w:r>
        <w:rPr>
          <w:rFonts w:ascii="黑体" w:hAnsi="黑体" w:eastAsia="黑体"/>
          <w:sz w:val="32"/>
        </w:rPr>
        <w:t>二、机构设置及人员情况</w:t>
      </w:r>
    </w:p>
    <w:p w14:paraId="246DAF29">
      <w:pPr>
        <w:spacing w:line="580" w:lineRule="exact"/>
        <w:ind w:firstLine="640"/>
        <w:jc w:val="both"/>
      </w:pPr>
      <w:r>
        <w:rPr>
          <w:rFonts w:ascii="仿宋_GB2312" w:hAnsi="仿宋_GB2312" w:eastAsia="仿宋_GB2312"/>
          <w:sz w:val="32"/>
        </w:rPr>
        <w:t>新疆维吾尔自治区喀什地区体育局2024年度，实有人数45人，其中：在职人员15人，增加0人；离休人员0人，增加0人；退休人员30人,增加0人。</w:t>
      </w:r>
    </w:p>
    <w:p w14:paraId="0D735BE1">
      <w:pPr>
        <w:spacing w:line="580" w:lineRule="exact"/>
        <w:ind w:firstLine="640"/>
        <w:jc w:val="both"/>
      </w:pPr>
      <w:r>
        <w:rPr>
          <w:rFonts w:ascii="仿宋_GB2312" w:hAnsi="仿宋_GB2312" w:eastAsia="仿宋_GB2312"/>
          <w:sz w:val="32"/>
        </w:rPr>
        <w:t>新疆维吾尔自治区喀什地区体育局无下属预算单位，下设4个科室，分别是：办公室、竞技体育科室、群众体育科室、体育总会（事业编制）。</w:t>
      </w:r>
    </w:p>
    <w:p w14:paraId="74A1F137">
      <w:r>
        <w:br w:type="page"/>
      </w:r>
    </w:p>
    <w:p w14:paraId="1DB00CF7">
      <w:pPr>
        <w:spacing w:line="240" w:lineRule="auto"/>
        <w:jc w:val="center"/>
        <w:outlineLvl w:val="1"/>
      </w:pPr>
      <w:r>
        <w:rPr>
          <w:rFonts w:ascii="黑体" w:hAnsi="黑体" w:eastAsia="黑体"/>
          <w:sz w:val="32"/>
        </w:rPr>
        <w:t>第二部分 部门决算情况说明</w:t>
      </w:r>
    </w:p>
    <w:p w14:paraId="29C203CD">
      <w:pPr>
        <w:spacing w:line="640" w:lineRule="exact"/>
        <w:ind w:firstLine="640"/>
        <w:jc w:val="both"/>
        <w:outlineLvl w:val="2"/>
      </w:pPr>
      <w:r>
        <w:rPr>
          <w:rFonts w:ascii="黑体" w:hAnsi="黑体" w:eastAsia="黑体"/>
          <w:sz w:val="32"/>
        </w:rPr>
        <w:t>一、收入支出决算总体情况说明</w:t>
      </w:r>
    </w:p>
    <w:p w14:paraId="569F3975">
      <w:pPr>
        <w:spacing w:line="580" w:lineRule="exact"/>
        <w:ind w:firstLine="640"/>
        <w:jc w:val="both"/>
      </w:pPr>
      <w:r>
        <w:rPr>
          <w:rFonts w:ascii="仿宋_GB2312" w:hAnsi="仿宋_GB2312" w:eastAsia="仿宋_GB2312"/>
          <w:b/>
          <w:sz w:val="32"/>
        </w:rPr>
        <w:t>2024年度收入总计1,916.07万元，</w:t>
      </w:r>
      <w:r>
        <w:rPr>
          <w:rFonts w:ascii="仿宋_GB2312" w:hAnsi="仿宋_GB2312" w:eastAsia="仿宋_GB2312"/>
          <w:b w:val="0"/>
          <w:sz w:val="32"/>
        </w:rPr>
        <w:t>其中：本年收入合计1,779.56万元，使用非财政拨款结余（含专用结余）0.00万元，年初结转和结余136.51万元。</w:t>
      </w:r>
    </w:p>
    <w:p w14:paraId="0DD3993A">
      <w:pPr>
        <w:spacing w:line="580" w:lineRule="exact"/>
        <w:ind w:firstLine="640"/>
        <w:jc w:val="both"/>
      </w:pPr>
      <w:r>
        <w:rPr>
          <w:rFonts w:ascii="仿宋_GB2312" w:hAnsi="仿宋_GB2312" w:eastAsia="仿宋_GB2312"/>
          <w:b/>
          <w:sz w:val="32"/>
        </w:rPr>
        <w:t>2024年度支出总计1,916.07万元，</w:t>
      </w:r>
      <w:r>
        <w:rPr>
          <w:rFonts w:ascii="仿宋_GB2312" w:hAnsi="仿宋_GB2312" w:eastAsia="仿宋_GB2312"/>
          <w:b w:val="0"/>
          <w:sz w:val="32"/>
        </w:rPr>
        <w:t>其中：本年支出合计1,810.73万元，结余分配0.00万元，年末结转和结余105.35万元。</w:t>
      </w:r>
    </w:p>
    <w:p w14:paraId="6B7FB3CC">
      <w:pPr>
        <w:spacing w:line="580" w:lineRule="exact"/>
        <w:ind w:firstLine="640"/>
        <w:jc w:val="both"/>
      </w:pPr>
      <w:r>
        <w:rPr>
          <w:rFonts w:ascii="仿宋_GB2312" w:hAnsi="仿宋_GB2312" w:eastAsia="仿宋_GB2312"/>
          <w:b w:val="0"/>
          <w:sz w:val="32"/>
        </w:rPr>
        <w:t>收入支出总体与上年相比，增加41.04万元，增长2.19%，主要原因是：一是本年新增2024年参加、举办比赛及开展全民健身活动和培训项目（单位资金项目），二是本年在职人员工资调增，社保、公积金基数调增，人员经费增加。</w:t>
      </w:r>
    </w:p>
    <w:p w14:paraId="6CFCC0E4">
      <w:pPr>
        <w:spacing w:line="640" w:lineRule="exact"/>
        <w:ind w:firstLine="640"/>
        <w:jc w:val="both"/>
        <w:outlineLvl w:val="2"/>
      </w:pPr>
      <w:r>
        <w:rPr>
          <w:rFonts w:ascii="黑体" w:hAnsi="黑体" w:eastAsia="黑体"/>
          <w:sz w:val="32"/>
        </w:rPr>
        <w:t>二、收入决算情况说明</w:t>
      </w:r>
    </w:p>
    <w:p w14:paraId="564EA2A1">
      <w:pPr>
        <w:spacing w:line="580" w:lineRule="exact"/>
        <w:ind w:firstLine="640"/>
        <w:jc w:val="both"/>
      </w:pPr>
      <w:r>
        <w:rPr>
          <w:rFonts w:ascii="仿宋_GB2312" w:hAnsi="仿宋_GB2312" w:eastAsia="仿宋_GB2312"/>
          <w:b/>
          <w:sz w:val="32"/>
        </w:rPr>
        <w:t>本年收入1,779.56万元，</w:t>
      </w:r>
      <w:r>
        <w:rPr>
          <w:rFonts w:ascii="仿宋_GB2312" w:hAnsi="仿宋_GB2312" w:eastAsia="仿宋_GB2312"/>
          <w:b w:val="0"/>
          <w:sz w:val="32"/>
        </w:rPr>
        <w:t>其中：财政拨款收入1,589.56万元，占89.32%；上级补助收入0.00万元，占0.00%；事业收入0.00万元，占0.00%；经营收入0.00万元，占0.00%；附属单位上缴收入0.00万元，占0.00%；其他收入190.00万元，占10.68%。</w:t>
      </w:r>
    </w:p>
    <w:p w14:paraId="02C68B70">
      <w:pPr>
        <w:spacing w:line="640" w:lineRule="exact"/>
        <w:ind w:firstLine="640"/>
        <w:jc w:val="both"/>
        <w:outlineLvl w:val="2"/>
      </w:pPr>
      <w:r>
        <w:rPr>
          <w:rFonts w:ascii="黑体" w:hAnsi="黑体" w:eastAsia="黑体"/>
          <w:sz w:val="32"/>
        </w:rPr>
        <w:t>三、支出决算情况说明</w:t>
      </w:r>
    </w:p>
    <w:p w14:paraId="0C585718">
      <w:pPr>
        <w:spacing w:line="580" w:lineRule="exact"/>
        <w:ind w:firstLine="640"/>
        <w:jc w:val="both"/>
      </w:pPr>
      <w:r>
        <w:rPr>
          <w:rFonts w:ascii="仿宋_GB2312" w:hAnsi="仿宋_GB2312" w:eastAsia="仿宋_GB2312"/>
          <w:b/>
          <w:sz w:val="32"/>
        </w:rPr>
        <w:t>本年支出1,810.73万元，</w:t>
      </w:r>
      <w:r>
        <w:rPr>
          <w:rFonts w:ascii="仿宋_GB2312" w:hAnsi="仿宋_GB2312" w:eastAsia="仿宋_GB2312"/>
          <w:b w:val="0"/>
          <w:sz w:val="32"/>
        </w:rPr>
        <w:t>其中：基本支出406.15万元，占22.43%；项目支出1,404.57万元，占77.57%；上缴上级支出0.00万元，占0.00%；经营支出0.00万元，占0.00%；对附属单位补助支出0.00万元，占0.00%。</w:t>
      </w:r>
    </w:p>
    <w:p w14:paraId="340E5665">
      <w:pPr>
        <w:spacing w:line="640" w:lineRule="exact"/>
        <w:ind w:firstLine="640"/>
        <w:jc w:val="both"/>
        <w:outlineLvl w:val="2"/>
      </w:pPr>
      <w:r>
        <w:rPr>
          <w:rFonts w:ascii="黑体" w:hAnsi="黑体" w:eastAsia="黑体"/>
          <w:sz w:val="32"/>
        </w:rPr>
        <w:t>四、财政拨款收入支出决算总体情况说明</w:t>
      </w:r>
    </w:p>
    <w:p w14:paraId="5B6F75D0">
      <w:pPr>
        <w:spacing w:line="580" w:lineRule="exact"/>
        <w:ind w:firstLine="640"/>
        <w:jc w:val="both"/>
      </w:pPr>
      <w:r>
        <w:rPr>
          <w:rFonts w:ascii="仿宋_GB2312" w:hAnsi="仿宋_GB2312" w:eastAsia="仿宋_GB2312"/>
          <w:b/>
          <w:sz w:val="32"/>
        </w:rPr>
        <w:t>2024年度财政拨款收入总计1,589.56万元，</w:t>
      </w:r>
      <w:r>
        <w:rPr>
          <w:rFonts w:ascii="仿宋_GB2312" w:hAnsi="仿宋_GB2312" w:eastAsia="仿宋_GB2312"/>
          <w:b w:val="0"/>
          <w:sz w:val="32"/>
        </w:rPr>
        <w:t>其中：年初财政拨款结转和结余0.00万元，本年财政拨款收入1,589.56万元。</w:t>
      </w:r>
      <w:r>
        <w:rPr>
          <w:rFonts w:ascii="仿宋_GB2312" w:hAnsi="仿宋_GB2312" w:eastAsia="仿宋_GB2312"/>
          <w:b/>
          <w:sz w:val="32"/>
        </w:rPr>
        <w:t>财政拨款支出总计1,589.56万元，</w:t>
      </w:r>
      <w:r>
        <w:rPr>
          <w:rFonts w:ascii="仿宋_GB2312" w:hAnsi="仿宋_GB2312" w:eastAsia="仿宋_GB2312"/>
          <w:b w:val="0"/>
          <w:sz w:val="32"/>
        </w:rPr>
        <w:t>其中：年末财政拨款结转和结余0.00万元，本年财政拨款支出1,589.56万元。</w:t>
      </w:r>
    </w:p>
    <w:p w14:paraId="7BADCEC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增加26.27万元，增长1.68%，主要原因是：本年在职人员工资调增，社保、公积金基数调增，人员经费增加。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年初预算数1,103.29万元，决算数1,589.56万元，预决算差异率44.07%，主要原因是：一是年中追加人员工资、社保、公积金基数调增部分资金，二是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追加人员抚恤金，</w:t>
      </w:r>
      <w:r>
        <w:rPr>
          <w:rFonts w:hint="eastAsia" w:ascii="仿宋_GB2312" w:hAnsi="仿宋_GB2312" w:eastAsia="仿宋_GB2312"/>
          <w:b w:val="0"/>
          <w:sz w:val="32"/>
          <w:lang w:val="en-US" w:eastAsia="zh-CN"/>
        </w:rPr>
        <w:t>三是</w:t>
      </w:r>
      <w:r>
        <w:rPr>
          <w:rFonts w:ascii="仿宋_GB2312" w:hAnsi="仿宋_GB2312" w:eastAsia="仿宋_GB2312"/>
          <w:b w:val="0"/>
          <w:sz w:val="32"/>
        </w:rPr>
        <w:t>年中追加2024年中央集中彩票公益金支持体育事业项目、2024年自治区体彩公益金开展全民健身体育赛事活动项目、参加自治区第十四届运动会奖励资金项目，导致预决算存在差异。</w:t>
      </w:r>
    </w:p>
    <w:p w14:paraId="47019ADA">
      <w:pPr>
        <w:spacing w:line="640" w:lineRule="exact"/>
        <w:ind w:firstLine="640"/>
        <w:jc w:val="both"/>
        <w:outlineLvl w:val="2"/>
      </w:pPr>
      <w:r>
        <w:rPr>
          <w:rFonts w:ascii="黑体" w:hAnsi="黑体" w:eastAsia="黑体"/>
          <w:sz w:val="32"/>
        </w:rPr>
        <w:t>五、一般公共预算财政拨款支出决算情况说明</w:t>
      </w:r>
    </w:p>
    <w:p w14:paraId="1BCD241B">
      <w:pPr>
        <w:spacing w:line="640" w:lineRule="exact"/>
        <w:ind w:firstLine="640"/>
        <w:jc w:val="both"/>
        <w:outlineLvl w:val="3"/>
      </w:pPr>
      <w:r>
        <w:rPr>
          <w:rFonts w:ascii="楷体_GB2312" w:hAnsi="楷体_GB2312" w:eastAsia="楷体_GB2312"/>
          <w:b/>
          <w:sz w:val="32"/>
        </w:rPr>
        <w:t>（一）一般公共预算财政拨款支出决算总体情况</w:t>
      </w:r>
    </w:p>
    <w:p w14:paraId="1DC0E553">
      <w:pPr>
        <w:spacing w:line="580" w:lineRule="exact"/>
        <w:ind w:firstLine="640"/>
        <w:jc w:val="both"/>
      </w:pPr>
      <w:r>
        <w:rPr>
          <w:rFonts w:ascii="仿宋_GB2312" w:hAnsi="仿宋_GB2312" w:eastAsia="仿宋_GB2312"/>
          <w:b/>
          <w:sz w:val="32"/>
        </w:rPr>
        <w:t>2024年度一般公共预算财政拨款支出448.80万元，</w:t>
      </w:r>
      <w:r>
        <w:rPr>
          <w:rFonts w:ascii="仿宋_GB2312" w:hAnsi="仿宋_GB2312" w:eastAsia="仿宋_GB2312"/>
          <w:b w:val="0"/>
          <w:sz w:val="32"/>
        </w:rPr>
        <w:t>占本年支出合计的24.79%。</w:t>
      </w:r>
      <w:r>
        <w:rPr>
          <w:rFonts w:ascii="仿宋_GB2312" w:hAnsi="仿宋_GB2312" w:eastAsia="仿宋_GB2312"/>
          <w:b/>
          <w:sz w:val="32"/>
        </w:rPr>
        <w:t>与上年相比，</w:t>
      </w:r>
      <w:r>
        <w:rPr>
          <w:rFonts w:ascii="仿宋_GB2312" w:hAnsi="仿宋_GB2312" w:eastAsia="仿宋_GB2312"/>
          <w:b w:val="0"/>
          <w:sz w:val="32"/>
        </w:rPr>
        <w:t>减少507.65万元，下降53.08%，主要原因是：本年参加自治</w:t>
      </w:r>
      <w:r>
        <w:rPr>
          <w:rFonts w:hint="eastAsia" w:ascii="仿宋_GB2312" w:hAnsi="仿宋_GB2312" w:eastAsia="仿宋_GB2312"/>
          <w:b w:val="0"/>
          <w:sz w:val="32"/>
          <w:lang w:eastAsia="zh-CN"/>
        </w:rPr>
        <w:t>区第</w:t>
      </w:r>
      <w:r>
        <w:rPr>
          <w:rFonts w:ascii="仿宋_GB2312" w:hAnsi="仿宋_GB2312" w:eastAsia="仿宋_GB2312"/>
          <w:b w:val="0"/>
          <w:sz w:val="32"/>
        </w:rPr>
        <w:t>十四届运动会项目、全民健身设施补短板工程中央基建（巴楚县唐王朝健走步道建设项目、喀什体育公园建设项目）等项目资金较上年减少。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年初预算数396.91万元，决算数448.80万元，预决算差异率13.07%，主要原因是：一是年中追加人员工资、社保、公积金基数调增部分资金，二是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追加人员抚恤金，导致预决算存在差异。</w:t>
      </w:r>
    </w:p>
    <w:p w14:paraId="1ECBDE81">
      <w:pPr>
        <w:spacing w:line="640" w:lineRule="exact"/>
        <w:ind w:firstLine="640"/>
        <w:jc w:val="both"/>
        <w:outlineLvl w:val="3"/>
      </w:pPr>
      <w:r>
        <w:rPr>
          <w:rFonts w:ascii="楷体_GB2312" w:hAnsi="楷体_GB2312" w:eastAsia="楷体_GB2312"/>
          <w:b/>
          <w:sz w:val="32"/>
        </w:rPr>
        <w:t>（二）一般公共预算财政拨款支出决算结构情况</w:t>
      </w:r>
    </w:p>
    <w:p w14:paraId="06073342">
      <w:pPr>
        <w:spacing w:line="580" w:lineRule="exact"/>
        <w:ind w:firstLine="640"/>
        <w:jc w:val="both"/>
      </w:pPr>
      <w:r>
        <w:rPr>
          <w:rFonts w:ascii="仿宋_GB2312" w:hAnsi="仿宋_GB2312" w:eastAsia="仿宋_GB2312"/>
          <w:b w:val="0"/>
          <w:sz w:val="32"/>
        </w:rPr>
        <w:t>1.一般公共服务支出(类)1.19万元,占0.27%。</w:t>
      </w:r>
    </w:p>
    <w:p w14:paraId="7C4EF0FF">
      <w:pPr>
        <w:spacing w:line="580" w:lineRule="exact"/>
        <w:ind w:firstLine="640"/>
        <w:jc w:val="both"/>
      </w:pPr>
      <w:r>
        <w:rPr>
          <w:rFonts w:ascii="仿宋_GB2312" w:hAnsi="仿宋_GB2312" w:eastAsia="仿宋_GB2312"/>
          <w:b w:val="0"/>
          <w:sz w:val="32"/>
        </w:rPr>
        <w:t>2.文化旅游体育与传媒支出(类)316.86万元,占70.60%。</w:t>
      </w:r>
    </w:p>
    <w:p w14:paraId="4C7EBC52">
      <w:pPr>
        <w:spacing w:line="580" w:lineRule="exact"/>
        <w:ind w:firstLine="640"/>
        <w:jc w:val="both"/>
      </w:pPr>
      <w:r>
        <w:rPr>
          <w:rFonts w:ascii="仿宋_GB2312" w:hAnsi="仿宋_GB2312" w:eastAsia="仿宋_GB2312"/>
          <w:b w:val="0"/>
          <w:sz w:val="32"/>
        </w:rPr>
        <w:t>3.社会保障和就业支出(类)88.16万元,占19.64%。</w:t>
      </w:r>
    </w:p>
    <w:p w14:paraId="56229489">
      <w:pPr>
        <w:spacing w:line="580" w:lineRule="exact"/>
        <w:ind w:firstLine="640"/>
        <w:jc w:val="both"/>
      </w:pPr>
      <w:r>
        <w:rPr>
          <w:rFonts w:ascii="仿宋_GB2312" w:hAnsi="仿宋_GB2312" w:eastAsia="仿宋_GB2312"/>
          <w:b w:val="0"/>
          <w:sz w:val="32"/>
        </w:rPr>
        <w:t>4.卫生健康支出(类)16.44万元,占3.66%。</w:t>
      </w:r>
    </w:p>
    <w:p w14:paraId="7D0E6C52">
      <w:pPr>
        <w:spacing w:line="580" w:lineRule="exact"/>
        <w:ind w:firstLine="640"/>
        <w:jc w:val="both"/>
      </w:pPr>
      <w:r>
        <w:rPr>
          <w:rFonts w:ascii="仿宋_GB2312" w:hAnsi="仿宋_GB2312" w:eastAsia="仿宋_GB2312"/>
          <w:b w:val="0"/>
          <w:sz w:val="32"/>
        </w:rPr>
        <w:t>5.住房保障支出(类)26.16万元,占5.83%。</w:t>
      </w:r>
    </w:p>
    <w:p w14:paraId="102D1AB8">
      <w:pPr>
        <w:spacing w:line="640" w:lineRule="exact"/>
        <w:ind w:firstLine="640"/>
        <w:jc w:val="both"/>
        <w:outlineLvl w:val="3"/>
      </w:pPr>
      <w:r>
        <w:rPr>
          <w:rFonts w:ascii="楷体_GB2312" w:hAnsi="楷体_GB2312" w:eastAsia="楷体_GB2312"/>
          <w:b/>
          <w:sz w:val="32"/>
        </w:rPr>
        <w:t>（三）一般公共预算财政拨款支出决算具体情况</w:t>
      </w:r>
    </w:p>
    <w:p w14:paraId="1033B5CB">
      <w:pPr>
        <w:spacing w:line="580" w:lineRule="exact"/>
        <w:ind w:firstLine="640"/>
        <w:jc w:val="both"/>
      </w:pPr>
      <w:r>
        <w:rPr>
          <w:rFonts w:ascii="仿宋_GB2312" w:hAnsi="仿宋_GB2312" w:eastAsia="仿宋_GB2312"/>
          <w:b w:val="0"/>
          <w:sz w:val="32"/>
        </w:rPr>
        <w:t>1.一般公共服务支出(类)统战事务(款)宗教事务(项):支出决算数为1.19万元，比上年决算增加0.70万元，增长142.86%,主要原因是：本年补助经费标准提升，经费增加。</w:t>
      </w:r>
    </w:p>
    <w:p w14:paraId="542A9FE1">
      <w:pPr>
        <w:spacing w:line="580" w:lineRule="exact"/>
        <w:ind w:firstLine="640"/>
        <w:jc w:val="both"/>
      </w:pPr>
      <w:r>
        <w:rPr>
          <w:rFonts w:ascii="仿宋_GB2312" w:hAnsi="仿宋_GB2312" w:eastAsia="仿宋_GB2312"/>
          <w:b w:val="0"/>
          <w:sz w:val="32"/>
        </w:rPr>
        <w:t>2.文化旅游体育与传媒支出(类)体育(款)行政运行(项):支出决算数为274.21万元，比上年决算增加18.15万元，增长7.09%,主要原因是：本年在职人员工资调增，导致相关人员经费较上年有所增加。</w:t>
      </w:r>
    </w:p>
    <w:p w14:paraId="2360FE42">
      <w:pPr>
        <w:spacing w:line="580" w:lineRule="exact"/>
        <w:ind w:firstLine="640"/>
        <w:jc w:val="both"/>
      </w:pPr>
      <w:r>
        <w:rPr>
          <w:rFonts w:ascii="仿宋_GB2312" w:hAnsi="仿宋_GB2312" w:eastAsia="仿宋_GB2312"/>
          <w:b w:val="0"/>
          <w:sz w:val="32"/>
        </w:rPr>
        <w:t>3.文化旅游体育与传媒支出(类)体育(款)一般行政管理事务(项):支出决算数为42.59万元，比上年决算增加30.86万元，增长263.09%,主要原因是：本年基层工作补助经费增加。</w:t>
      </w:r>
    </w:p>
    <w:p w14:paraId="094D0751">
      <w:pPr>
        <w:spacing w:line="580" w:lineRule="exact"/>
        <w:ind w:firstLine="640"/>
        <w:jc w:val="both"/>
      </w:pPr>
      <w:r>
        <w:rPr>
          <w:rFonts w:ascii="仿宋_GB2312" w:hAnsi="仿宋_GB2312" w:eastAsia="仿宋_GB2312"/>
          <w:b w:val="0"/>
          <w:sz w:val="32"/>
        </w:rPr>
        <w:t>4.文化旅游体育与传媒支出(类)体育(款)其他体育支出(项):支出决算数为0.05万元，比上年决算减少276.38万元，下降99.98%,主要原因是：本年减少全民健身设施补短板工程（巴楚唐王城健走步道建设）项目资金。</w:t>
      </w:r>
    </w:p>
    <w:p w14:paraId="2B982684">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293.50万元，下降100.00%,主要原因是：本年减少全民健身设施补短板工程（喀什体育公园建设）项目资金。</w:t>
      </w:r>
    </w:p>
    <w:p w14:paraId="74AD08EA">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6.社会保障和就业支出(类)行政事业单位养老支出(款)行政单位离退休(项):支出决算数为31.20万元，比上年决算增加6.72万元，增长27.45%,主要原因是：本年增加退休人员基础绩效奖，退休费支出增加。</w:t>
      </w:r>
    </w:p>
    <w:p w14:paraId="75C4A189">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31.41万元，比上年决算增加3.48万元，增长12.46%,主要原因是：本年在职人员工资基数调增，养老缴费基数上涨，相应支出增加。</w:t>
      </w:r>
    </w:p>
    <w:p w14:paraId="011DCCE9">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2.27万元，比上年决算增加2.27万元，增长100.00%,主要原因是：上年年底退休人员增加，职业年金在本年支付，导致经费增加。</w:t>
      </w:r>
    </w:p>
    <w:p w14:paraId="3D416D40">
      <w:pPr>
        <w:spacing w:line="580" w:lineRule="exact"/>
        <w:ind w:firstLine="640"/>
        <w:jc w:val="both"/>
      </w:pPr>
      <w:r>
        <w:rPr>
          <w:rFonts w:ascii="仿宋_GB2312" w:hAnsi="仿宋_GB2312" w:eastAsia="仿宋_GB2312"/>
          <w:b w:val="0"/>
          <w:sz w:val="32"/>
        </w:rPr>
        <w:t>9.社会保障和就业支出(类)抚恤(款)死亡抚恤(项):支出决算数为23.27万元，比上年决算减少3.77万元，下降13.94%,主要原因是：本年新增死亡人员较上年减少，死亡抚恤支出较上年减少。</w:t>
      </w:r>
    </w:p>
    <w:p w14:paraId="53CC5223">
      <w:pPr>
        <w:spacing w:line="580" w:lineRule="exact"/>
        <w:ind w:firstLine="640"/>
        <w:jc w:val="both"/>
      </w:pPr>
      <w:r>
        <w:rPr>
          <w:rFonts w:ascii="仿宋_GB2312" w:hAnsi="仿宋_GB2312" w:eastAsia="仿宋_GB2312"/>
          <w:b w:val="0"/>
          <w:sz w:val="32"/>
        </w:rPr>
        <w:t>10.卫生健康支出(类)行政事业单位医疗(款)行政单位医疗(项):支出决算数为13.35万元，比上年决算增加1.45万元，增长12.18%,主要原因是：本年在职人员工资基数调增，医疗缴费基数上涨，相应支出增加。</w:t>
      </w:r>
    </w:p>
    <w:p w14:paraId="05A6EF25">
      <w:pPr>
        <w:spacing w:line="580" w:lineRule="exact"/>
        <w:ind w:firstLine="640"/>
        <w:jc w:val="both"/>
      </w:pPr>
      <w:r>
        <w:rPr>
          <w:rFonts w:ascii="仿宋_GB2312" w:hAnsi="仿宋_GB2312" w:eastAsia="仿宋_GB2312"/>
          <w:b w:val="0"/>
          <w:sz w:val="32"/>
        </w:rPr>
        <w:t>11.卫生健康支出(类)行政事业单位医疗(款)公务员医疗补助(项):支出决算数为3.08万元，比上年决算增加0.36万元，增长13.24%,主要原因是：本年在职人员工资基数调增，医疗缴费基数上涨，相应支出增加。</w:t>
      </w:r>
    </w:p>
    <w:p w14:paraId="22C5B383">
      <w:pPr>
        <w:spacing w:line="580" w:lineRule="exact"/>
        <w:ind w:firstLine="640"/>
        <w:jc w:val="both"/>
      </w:pPr>
      <w:r>
        <w:rPr>
          <w:rFonts w:ascii="仿宋_GB2312" w:hAnsi="仿宋_GB2312" w:eastAsia="仿宋_GB2312"/>
          <w:b w:val="0"/>
          <w:sz w:val="32"/>
        </w:rPr>
        <w:t>12.住房保障支出(类)住房改革支出(款)住房公积金(项):支出决算数为26.16万元，比上年决算增加3.07万元，增长13.30%,主要原因是：本年在职人员工资基数调增，公积金缴费基数上涨，相应支出增加。</w:t>
      </w:r>
    </w:p>
    <w:p w14:paraId="11302C31">
      <w:pPr>
        <w:spacing w:line="580" w:lineRule="exact"/>
        <w:ind w:firstLine="640"/>
        <w:jc w:val="both"/>
      </w:pPr>
      <w:r>
        <w:rPr>
          <w:rFonts w:ascii="仿宋_GB2312" w:hAnsi="仿宋_GB2312" w:eastAsia="仿宋_GB2312"/>
          <w:b w:val="0"/>
          <w:sz w:val="32"/>
        </w:rPr>
        <w:t>13.其他支出(类)其他支出(款)其他支出(项):支出决算数为0.00万元，比上年决算减少1.07万元，下降100.00%,主要原因是：</w:t>
      </w:r>
      <w:r>
        <w:rPr>
          <w:rFonts w:hint="eastAsia" w:ascii="仿宋_GB2312" w:hAnsi="仿宋_GB2312" w:eastAsia="仿宋_GB2312"/>
          <w:b w:val="0"/>
          <w:sz w:val="32"/>
        </w:rPr>
        <w:t>本年干部生活补助专项项目经费减少</w:t>
      </w:r>
      <w:r>
        <w:rPr>
          <w:rFonts w:ascii="仿宋_GB2312" w:hAnsi="仿宋_GB2312" w:eastAsia="仿宋_GB2312"/>
          <w:b w:val="0"/>
          <w:sz w:val="32"/>
        </w:rPr>
        <w:t>。</w:t>
      </w:r>
    </w:p>
    <w:p w14:paraId="7D08E673">
      <w:pPr>
        <w:spacing w:line="640" w:lineRule="exact"/>
        <w:ind w:firstLine="640"/>
        <w:jc w:val="both"/>
        <w:outlineLvl w:val="2"/>
      </w:pPr>
      <w:r>
        <w:rPr>
          <w:rFonts w:ascii="黑体" w:hAnsi="黑体" w:eastAsia="黑体"/>
          <w:sz w:val="32"/>
        </w:rPr>
        <w:t>六、一般公共预算财政拨款基本支出决算情况说明</w:t>
      </w:r>
    </w:p>
    <w:p w14:paraId="3E96BAC8">
      <w:pPr>
        <w:spacing w:line="580" w:lineRule="exact"/>
        <w:ind w:firstLine="640"/>
        <w:jc w:val="both"/>
      </w:pPr>
      <w:r>
        <w:rPr>
          <w:rFonts w:ascii="仿宋_GB2312" w:hAnsi="仿宋_GB2312" w:eastAsia="仿宋_GB2312"/>
          <w:b w:val="0"/>
          <w:sz w:val="32"/>
        </w:rPr>
        <w:t>2024年度一般公共预算财政拨款基本支出406.15万元，其中：</w:t>
      </w:r>
      <w:r>
        <w:rPr>
          <w:rFonts w:ascii="仿宋_GB2312" w:hAnsi="仿宋_GB2312" w:eastAsia="仿宋_GB2312"/>
          <w:b/>
          <w:sz w:val="32"/>
        </w:rPr>
        <w:t>人员经费386.79万元，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72870078">
      <w:pPr>
        <w:spacing w:line="580" w:lineRule="exact"/>
        <w:ind w:firstLine="640"/>
        <w:jc w:val="both"/>
      </w:pPr>
      <w:r>
        <w:rPr>
          <w:rFonts w:ascii="仿宋_GB2312" w:hAnsi="仿宋_GB2312" w:eastAsia="仿宋_GB2312"/>
          <w:b/>
          <w:sz w:val="32"/>
        </w:rPr>
        <w:t>公用经费19.37万元，</w:t>
      </w:r>
      <w:r>
        <w:rPr>
          <w:rFonts w:ascii="仿宋_GB2312" w:hAnsi="仿宋_GB2312" w:eastAsia="仿宋_GB2312"/>
          <w:b w:val="0"/>
          <w:sz w:val="32"/>
        </w:rPr>
        <w:t>包括：办公费、邮电费、差旅费、维修（护）费、专用材料费、工会经费、公务用车运行维护费、其他交通费用、其他商品和服务支出。</w:t>
      </w:r>
    </w:p>
    <w:p w14:paraId="1AAD2B9F">
      <w:pPr>
        <w:spacing w:line="640" w:lineRule="exact"/>
        <w:ind w:firstLine="640"/>
        <w:jc w:val="both"/>
        <w:outlineLvl w:val="2"/>
      </w:pPr>
      <w:r>
        <w:rPr>
          <w:rFonts w:ascii="黑体" w:hAnsi="黑体" w:eastAsia="黑体"/>
          <w:sz w:val="32"/>
        </w:rPr>
        <w:t>七、政府性基金预算财政拨款收入支出决算情况说明</w:t>
      </w:r>
    </w:p>
    <w:p w14:paraId="38E44145">
      <w:pPr>
        <w:spacing w:line="580" w:lineRule="exact"/>
        <w:ind w:firstLine="640"/>
        <w:jc w:val="both"/>
      </w:pPr>
      <w:r>
        <w:rPr>
          <w:rFonts w:ascii="仿宋_GB2312" w:hAnsi="仿宋_GB2312" w:eastAsia="仿宋_GB2312"/>
          <w:b/>
          <w:sz w:val="32"/>
        </w:rPr>
        <w:t>2024年度政府性基金预算财政拨款收入总计1,140.77万元，</w:t>
      </w:r>
      <w:r>
        <w:rPr>
          <w:rFonts w:ascii="仿宋_GB2312" w:hAnsi="仿宋_GB2312" w:eastAsia="仿宋_GB2312"/>
          <w:b w:val="0"/>
          <w:sz w:val="32"/>
        </w:rPr>
        <w:t>其中：年初结转和结余0.00万元，本年收入1,140.77万元。</w:t>
      </w:r>
      <w:r>
        <w:rPr>
          <w:rFonts w:ascii="仿宋_GB2312" w:hAnsi="仿宋_GB2312" w:eastAsia="仿宋_GB2312"/>
          <w:b/>
          <w:sz w:val="32"/>
        </w:rPr>
        <w:t>政府性基金预算财政拨款支出总计1,140.77万元，</w:t>
      </w:r>
      <w:r>
        <w:rPr>
          <w:rFonts w:ascii="仿宋_GB2312" w:hAnsi="仿宋_GB2312" w:eastAsia="仿宋_GB2312"/>
          <w:b w:val="0"/>
          <w:sz w:val="32"/>
        </w:rPr>
        <w:t>其中：年末结转和结余0.00万元，本年支出1,140.77万元。</w:t>
      </w:r>
    </w:p>
    <w:p w14:paraId="00BCDFC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增加533.93万元，增长87.99%，主要原因是：本年增加2024年中央集中彩票公益金支持体育事业项目、2024年自治区体彩公益金开展全民健身体育赛事活动项目、参加自治区第十四届运动会奖励资金项目。</w:t>
      </w:r>
      <w:r>
        <w:rPr>
          <w:rFonts w:ascii="仿宋_GB2312" w:hAnsi="仿宋_GB2312" w:eastAsia="仿宋_GB2312"/>
          <w:b/>
          <w:sz w:val="32"/>
        </w:rPr>
        <w:t>与年初预算相比，</w:t>
      </w:r>
      <w:r>
        <w:rPr>
          <w:rFonts w:ascii="仿宋_GB2312" w:hAnsi="仿宋_GB2312" w:eastAsia="仿宋_GB2312"/>
          <w:b w:val="0"/>
          <w:sz w:val="32"/>
        </w:rPr>
        <w:t>年初预算数706.38万元，决算数1,140.77万元，预决算差异率61.50%，主要原因是：年中追加2024年中央集中彩票公益金支持体育事业项目、2024年自治区体彩公益金开展全民健身体育赛事活动项目、参加自治区第十四届运动会奖励资金项目导致预决算存在差异。</w:t>
      </w:r>
    </w:p>
    <w:p w14:paraId="1207761B">
      <w:pPr>
        <w:spacing w:line="580" w:lineRule="exact"/>
        <w:ind w:firstLine="640"/>
        <w:jc w:val="both"/>
      </w:pPr>
      <w:r>
        <w:rPr>
          <w:rFonts w:ascii="仿宋_GB2312" w:hAnsi="仿宋_GB2312" w:eastAsia="仿宋_GB2312"/>
          <w:b w:val="0"/>
          <w:sz w:val="32"/>
        </w:rPr>
        <w:t>政府性基金预算财政拨款支出1,140.77万元。</w:t>
      </w:r>
    </w:p>
    <w:p w14:paraId="37381C15">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1,140.77万元，比上年决算增加533.93万元，增长87.99%,主要原因是：本年增加2024年中央集中彩票公益金支持体育事业项目、2024年自治区体彩公益金开展全民健身体育赛事活动项目、参加自治区第十四届运动会奖励资金项目。</w:t>
      </w:r>
    </w:p>
    <w:p w14:paraId="7BB5B031">
      <w:pPr>
        <w:spacing w:line="640" w:lineRule="exact"/>
        <w:ind w:firstLine="640"/>
        <w:jc w:val="both"/>
        <w:outlineLvl w:val="2"/>
      </w:pPr>
      <w:r>
        <w:rPr>
          <w:rFonts w:ascii="黑体" w:hAnsi="黑体" w:eastAsia="黑体"/>
          <w:sz w:val="32"/>
        </w:rPr>
        <w:t>八、国有资本经营预算财政拨款收入支出决算情况说明</w:t>
      </w:r>
    </w:p>
    <w:p w14:paraId="4C4ED07A">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7A8D282">
      <w:pPr>
        <w:spacing w:line="640" w:lineRule="exact"/>
        <w:ind w:firstLine="640"/>
        <w:jc w:val="both"/>
        <w:outlineLvl w:val="2"/>
      </w:pPr>
      <w:r>
        <w:rPr>
          <w:rFonts w:ascii="黑体" w:hAnsi="黑体" w:eastAsia="黑体"/>
          <w:sz w:val="32"/>
        </w:rPr>
        <w:t>九、财政拨款“三公”经费支出决算情况说明</w:t>
      </w:r>
    </w:p>
    <w:p w14:paraId="1953B497">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0.00万元，增长0.00%，主要原因是：本部门财政拨款“三公”经费支出与上年一致无变化。其中：因公出国（境）费支出0.00万元，占0.00%，比上年增加0.00万元，增长0.00%，主要原因是：2023年与2024年均未安排因公出国（境）费支出。公务用车购置及运行维护费支出4.20万元，占100.00%，比上年增加0.00万元，增长0.00%，主要原因是：本部门公务用车运行维护费与上年一致无变化。公务接待费支出0.00万元，占0.00%，比上年增加0.00万元，增长0.00%，主要原因是：2023年与2024年均未安排公务接待费支出。</w:t>
      </w:r>
    </w:p>
    <w:p w14:paraId="3BFEAB03">
      <w:pPr>
        <w:spacing w:line="580" w:lineRule="exact"/>
        <w:ind w:firstLine="640"/>
        <w:jc w:val="both"/>
      </w:pPr>
      <w:r>
        <w:rPr>
          <w:rFonts w:ascii="仿宋_GB2312" w:hAnsi="仿宋_GB2312" w:eastAsia="仿宋_GB2312"/>
          <w:b/>
          <w:sz w:val="32"/>
        </w:rPr>
        <w:t>具体情况如下：</w:t>
      </w:r>
    </w:p>
    <w:p w14:paraId="3677A1A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5DBAEC8">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燃油费、保险费、维修维护费、过路费等。公务用车购置数0辆，公务用车保有量1辆。国有资产占用情况中固定资产车辆1辆，与公务用车保有量差异原因是：本部门固定资产车辆与公务用车保有量一致无差异。</w:t>
      </w:r>
    </w:p>
    <w:p w14:paraId="38EE7AA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29AC8E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4.20万元，决算数4.20万元，预决算差异率0.00%，主要原因是：严格按照预算执行，预决算无差异。公务接待费全年预算数0.00万元，决算数0.00万元，预决算差异率0.00%，主要原因是：本部门无公务接待费。</w:t>
      </w:r>
    </w:p>
    <w:p w14:paraId="12548EAE">
      <w:pPr>
        <w:spacing w:line="640" w:lineRule="exact"/>
        <w:ind w:firstLine="640"/>
        <w:jc w:val="both"/>
        <w:outlineLvl w:val="2"/>
      </w:pPr>
      <w:r>
        <w:rPr>
          <w:rFonts w:ascii="黑体" w:hAnsi="黑体" w:eastAsia="黑体"/>
          <w:sz w:val="32"/>
        </w:rPr>
        <w:t>十、其他重要事项的情况说明</w:t>
      </w:r>
    </w:p>
    <w:p w14:paraId="1CFD6475">
      <w:pPr>
        <w:spacing w:line="640" w:lineRule="exact"/>
        <w:ind w:firstLine="640"/>
        <w:jc w:val="both"/>
        <w:outlineLvl w:val="3"/>
      </w:pPr>
      <w:r>
        <w:rPr>
          <w:rFonts w:ascii="楷体_GB2312" w:hAnsi="楷体_GB2312" w:eastAsia="楷体_GB2312"/>
          <w:b/>
          <w:sz w:val="32"/>
        </w:rPr>
        <w:t>（一）机关运行经费及公用经费支出情况</w:t>
      </w:r>
    </w:p>
    <w:p w14:paraId="3D150DF8">
      <w:pPr>
        <w:spacing w:line="580" w:lineRule="exact"/>
        <w:ind w:firstLine="640"/>
        <w:jc w:val="both"/>
      </w:pPr>
      <w:r>
        <w:rPr>
          <w:rFonts w:ascii="仿宋_GB2312" w:hAnsi="仿宋_GB2312" w:eastAsia="仿宋_GB2312"/>
          <w:b w:val="0"/>
          <w:sz w:val="32"/>
        </w:rPr>
        <w:t>2024年度新疆维吾尔自治区喀什地区体育局（行政单位和参照公务员法管理事业单位）机关运行经费支出19.37万元，比上年增加4.35万元，增长28.96%，主要原因是：本年更新、维护补充办公用品，导致机关运行经费较上年增加。</w:t>
      </w:r>
    </w:p>
    <w:p w14:paraId="28320903">
      <w:pPr>
        <w:spacing w:line="640" w:lineRule="exact"/>
        <w:ind w:firstLine="640"/>
        <w:jc w:val="both"/>
        <w:outlineLvl w:val="3"/>
      </w:pPr>
      <w:r>
        <w:rPr>
          <w:rFonts w:ascii="楷体_GB2312" w:hAnsi="楷体_GB2312" w:eastAsia="楷体_GB2312"/>
          <w:b/>
          <w:sz w:val="32"/>
        </w:rPr>
        <w:t>（二）政府采购情况</w:t>
      </w:r>
    </w:p>
    <w:p w14:paraId="07176882">
      <w:pPr>
        <w:spacing w:line="580" w:lineRule="exact"/>
        <w:ind w:firstLine="640"/>
        <w:jc w:val="both"/>
      </w:pPr>
      <w:r>
        <w:rPr>
          <w:rFonts w:ascii="仿宋_GB2312" w:hAnsi="仿宋_GB2312" w:eastAsia="仿宋_GB2312"/>
          <w:b w:val="0"/>
          <w:sz w:val="32"/>
        </w:rPr>
        <w:t>2024年度政府采购支出总额511.80万元，其中：政府采购货物支出101.24万元、政府采购工程支出0.00万元、政府采购服务支出410.56万元。</w:t>
      </w:r>
    </w:p>
    <w:p w14:paraId="331BE7EB">
      <w:pPr>
        <w:spacing w:line="580" w:lineRule="exact"/>
        <w:ind w:firstLine="640"/>
        <w:jc w:val="both"/>
      </w:pPr>
      <w:r>
        <w:rPr>
          <w:rFonts w:ascii="仿宋_GB2312" w:hAnsi="仿宋_GB2312" w:eastAsia="仿宋_GB2312"/>
          <w:b w:val="0"/>
          <w:sz w:val="32"/>
        </w:rPr>
        <w:t>授予中小企业合同金额505.44万元，占政府采购支出总额的98.76%，其中：授予小微企业合同金额383.51万元，占政府采购支出总额的74.93%。</w:t>
      </w:r>
    </w:p>
    <w:p w14:paraId="79BAA778">
      <w:pPr>
        <w:spacing w:line="640" w:lineRule="exact"/>
        <w:ind w:firstLine="640"/>
        <w:jc w:val="both"/>
        <w:outlineLvl w:val="3"/>
      </w:pPr>
      <w:r>
        <w:rPr>
          <w:rFonts w:ascii="楷体_GB2312" w:hAnsi="楷体_GB2312" w:eastAsia="楷体_GB2312"/>
          <w:b/>
          <w:sz w:val="32"/>
        </w:rPr>
        <w:t>（三）国有资产占用情况说明</w:t>
      </w:r>
    </w:p>
    <w:p w14:paraId="7FEFB6A1">
      <w:pPr>
        <w:spacing w:line="580" w:lineRule="exact"/>
        <w:ind w:firstLine="640"/>
        <w:jc w:val="both"/>
      </w:pPr>
      <w:r>
        <w:rPr>
          <w:rFonts w:ascii="仿宋_GB2312" w:hAnsi="仿宋_GB2312" w:eastAsia="仿宋_GB2312"/>
          <w:b w:val="0"/>
          <w:sz w:val="32"/>
        </w:rPr>
        <w:t>截至2024年12月31日，房屋0.00平方米，价值0.00万元。车辆1辆，价值19.68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DA8481A">
      <w:pPr>
        <w:spacing w:line="640" w:lineRule="exact"/>
        <w:ind w:firstLine="640"/>
        <w:jc w:val="both"/>
        <w:outlineLvl w:val="2"/>
      </w:pPr>
      <w:r>
        <w:rPr>
          <w:rFonts w:ascii="黑体" w:hAnsi="黑体" w:eastAsia="黑体"/>
          <w:sz w:val="32"/>
        </w:rPr>
        <w:t>十一、预算绩效的情况说明</w:t>
      </w:r>
    </w:p>
    <w:p w14:paraId="5F6E345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根据预算绩效管理要求，本部门2024年度预算绩效管理形成整体支出绩效自评表1个，全年预算总额2,486.26万元，实际执行总额1,810.72万元；预算绩效评价项目1</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rPr>
        <w:t>2</w:t>
      </w:r>
      <w:r>
        <w:rPr>
          <w:rFonts w:ascii="仿宋_GB2312" w:hAnsi="仿宋_GB2312" w:eastAsia="仿宋_GB2312"/>
          <w:b w:val="0"/>
          <w:sz w:val="32"/>
        </w:rPr>
        <w:t>,</w:t>
      </w:r>
      <w:r>
        <w:rPr>
          <w:rFonts w:hint="eastAsia" w:ascii="仿宋_GB2312" w:hAnsi="仿宋_GB2312" w:eastAsia="仿宋_GB2312"/>
          <w:b w:val="0"/>
          <w:sz w:val="32"/>
        </w:rPr>
        <w:t>067.77</w:t>
      </w:r>
      <w:r>
        <w:rPr>
          <w:rFonts w:ascii="仿宋_GB2312" w:hAnsi="仿宋_GB2312" w:eastAsia="仿宋_GB2312"/>
          <w:b w:val="0"/>
          <w:sz w:val="32"/>
        </w:rPr>
        <w:t>万元，全年执行数</w:t>
      </w:r>
      <w:r>
        <w:rPr>
          <w:rFonts w:hint="eastAsia" w:ascii="仿宋_GB2312" w:hAnsi="仿宋_GB2312" w:eastAsia="仿宋_GB2312"/>
          <w:b w:val="0"/>
          <w:sz w:val="32"/>
        </w:rPr>
        <w:t>1,395.28</w:t>
      </w:r>
      <w:r>
        <w:rPr>
          <w:rFonts w:ascii="仿宋_GB2312" w:hAnsi="仿宋_GB2312" w:eastAsia="仿宋_GB2312"/>
          <w:b w:val="0"/>
          <w:sz w:val="32"/>
        </w:rPr>
        <w:t>万元。预算绩效管理取得的成效：一是本项目能够严格按照《项目实施方案》执行，项目执行情况较好。二是加强组织领导，本项目绩效评价工作，有主要领导亲自挂帅，分管领导具体负责，从项目到资金，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沟通协调，我单位及时向主管领导汇报项目进度，确保项目按期完工。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项目前期做好可行性研究报告，更加细化实施方案，严格执行资金管理办法和财政资金管理制度，严格按照项目实施方案、招投标管理办法等稳步推进工作，各部门单位根据自己项目的特点进行总结。二是项目启动时同步做好档案的归纳与整理，及时整理、收集、汇总，健全档案资料。</w:t>
      </w:r>
      <w:r>
        <w:rPr>
          <w:rFonts w:hint="eastAsia" w:ascii="仿宋_GB2312" w:hAnsi="仿宋_GB2312" w:eastAsia="仿宋_GB2312"/>
          <w:b w:val="0"/>
          <w:sz w:val="32"/>
        </w:rPr>
        <w:t>对项目后续管理进一步加强和跟踪</w:t>
      </w:r>
      <w:r>
        <w:rPr>
          <w:rFonts w:ascii="仿宋_GB2312" w:hAnsi="仿宋_GB2312" w:eastAsia="仿宋_GB2312"/>
          <w:b w:val="0"/>
          <w:sz w:val="32"/>
        </w:rPr>
        <w:t>。三是通过绩效管理，发现实施中存在漏洞，以后加强管理，及时掌握与之相关的各类信息，减少成本，使资金效益最大化。四是评价工作应从项目实施方案源头抓起，评价工作和意识应贯穿项目整个过程。具体附部门整体支出绩效自评表，项目支出绩效自评表和部门评价报告。</w:t>
      </w:r>
    </w:p>
    <w:p w14:paraId="0D84E8F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5426958">
        <w:tblPrEx>
          <w:tblCellMar>
            <w:top w:w="0" w:type="dxa"/>
            <w:left w:w="108" w:type="dxa"/>
            <w:bottom w:w="0" w:type="dxa"/>
            <w:right w:w="108" w:type="dxa"/>
          </w:tblCellMar>
        </w:tblPrEx>
        <w:tc>
          <w:tcPr>
            <w:tcW w:w="8847" w:type="dxa"/>
            <w:gridSpan w:val="9"/>
            <w:vAlign w:val="center"/>
          </w:tcPr>
          <w:p w14:paraId="2B3FB6B0">
            <w:pPr>
              <w:jc w:val="center"/>
            </w:pPr>
            <w:r>
              <w:rPr>
                <w:rFonts w:ascii="宋体" w:hAnsi="宋体" w:eastAsia="宋体"/>
                <w:sz w:val="24"/>
              </w:rPr>
              <w:t>部门整体支出绩效自评表</w:t>
            </w:r>
          </w:p>
        </w:tc>
      </w:tr>
      <w:tr w14:paraId="743653A1">
        <w:tblPrEx>
          <w:tblCellMar>
            <w:top w:w="0" w:type="dxa"/>
            <w:left w:w="108" w:type="dxa"/>
            <w:bottom w:w="0" w:type="dxa"/>
            <w:right w:w="108" w:type="dxa"/>
          </w:tblCellMar>
        </w:tblPrEx>
        <w:tc>
          <w:tcPr>
            <w:tcW w:w="8847" w:type="dxa"/>
            <w:gridSpan w:val="9"/>
            <w:vAlign w:val="center"/>
          </w:tcPr>
          <w:p w14:paraId="55FBC858">
            <w:pPr>
              <w:jc w:val="center"/>
            </w:pPr>
            <w:r>
              <w:rPr>
                <w:rFonts w:ascii="宋体" w:hAnsi="宋体" w:eastAsia="宋体"/>
                <w:sz w:val="24"/>
              </w:rPr>
              <w:t>（2024年度）</w:t>
            </w:r>
          </w:p>
        </w:tc>
      </w:tr>
      <w:tr w14:paraId="3F688B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1BCB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9DBC45">
            <w:pPr>
              <w:jc w:val="center"/>
            </w:pPr>
            <w:r>
              <w:rPr>
                <w:rFonts w:ascii="宋体" w:hAnsi="宋体" w:eastAsia="宋体"/>
                <w:sz w:val="16"/>
              </w:rPr>
              <w:t>新疆维吾尔自治区喀什地区体育局</w:t>
            </w:r>
          </w:p>
        </w:tc>
      </w:tr>
      <w:tr w14:paraId="59B3FA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B8AC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28C9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140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5EDA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CA9B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A8B0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8B07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5960">
            <w:pPr>
              <w:jc w:val="center"/>
            </w:pPr>
            <w:r>
              <w:rPr>
                <w:rFonts w:ascii="宋体" w:hAnsi="宋体" w:eastAsia="宋体"/>
                <w:sz w:val="16"/>
              </w:rPr>
              <w:t>得分</w:t>
            </w:r>
          </w:p>
        </w:tc>
      </w:tr>
      <w:tr w14:paraId="40357B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217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1CE3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56DBC">
            <w:pPr>
              <w:jc w:val="center"/>
            </w:pPr>
            <w:r>
              <w:rPr>
                <w:rFonts w:ascii="宋体" w:hAnsi="宋体" w:eastAsia="宋体"/>
                <w:sz w:val="16"/>
              </w:rPr>
              <w:t>1,143.49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4DBFE">
            <w:pPr>
              <w:jc w:val="center"/>
            </w:pPr>
            <w:r>
              <w:rPr>
                <w:rFonts w:ascii="宋体" w:hAnsi="宋体" w:eastAsia="宋体"/>
                <w:sz w:val="16"/>
              </w:rPr>
              <w:t>2,486.26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D68F2">
            <w:pPr>
              <w:jc w:val="center"/>
            </w:pPr>
            <w:r>
              <w:rPr>
                <w:rFonts w:ascii="宋体" w:hAnsi="宋体" w:eastAsia="宋体"/>
                <w:sz w:val="16"/>
              </w:rPr>
              <w:t>1,810.72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B7E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87806">
            <w:pPr>
              <w:jc w:val="center"/>
            </w:pPr>
            <w:r>
              <w:rPr>
                <w:rFonts w:ascii="宋体" w:hAnsi="宋体" w:eastAsia="宋体"/>
                <w:sz w:val="16"/>
              </w:rPr>
              <w:t>72.83%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1EEA">
            <w:pPr>
              <w:jc w:val="center"/>
            </w:pPr>
            <w:r>
              <w:rPr>
                <w:rFonts w:ascii="宋体" w:hAnsi="宋体" w:eastAsia="宋体"/>
                <w:sz w:val="16"/>
              </w:rPr>
              <w:t>7.28</w:t>
            </w:r>
          </w:p>
        </w:tc>
      </w:tr>
      <w:tr w14:paraId="3A5A8A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912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A7AD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CE7E3">
            <w:pPr>
              <w:jc w:val="center"/>
            </w:pPr>
            <w:r>
              <w:rPr>
                <w:rFonts w:ascii="宋体" w:hAnsi="宋体" w:eastAsia="宋体"/>
                <w:sz w:val="16"/>
              </w:rPr>
              <w:t>35.43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0377E">
            <w:pPr>
              <w:jc w:val="center"/>
            </w:pPr>
            <w:r>
              <w:rPr>
                <w:rFonts w:ascii="宋体" w:hAnsi="宋体" w:eastAsia="宋体"/>
                <w:sz w:val="16"/>
              </w:rPr>
              <w:t>731.86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4F681">
            <w:pPr>
              <w:jc w:val="center"/>
            </w:pPr>
            <w:r>
              <w:rPr>
                <w:rFonts w:ascii="宋体" w:hAnsi="宋体" w:eastAsia="宋体"/>
                <w:sz w:val="16"/>
              </w:rPr>
              <w:t>183.02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324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B248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0C9FE">
            <w:pPr>
              <w:jc w:val="center"/>
            </w:pPr>
            <w:r>
              <w:rPr>
                <w:rFonts w:ascii="宋体" w:hAnsi="宋体" w:eastAsia="宋体"/>
                <w:sz w:val="16"/>
              </w:rPr>
              <w:t>—</w:t>
            </w:r>
          </w:p>
        </w:tc>
      </w:tr>
      <w:tr w14:paraId="137E35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7F8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81D0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EE087">
            <w:pPr>
              <w:jc w:val="center"/>
            </w:pPr>
            <w:r>
              <w:rPr>
                <w:rFonts w:ascii="宋体" w:hAnsi="宋体" w:eastAsia="宋体"/>
                <w:sz w:val="16"/>
              </w:rPr>
              <w:t>1,067.87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72381">
            <w:pPr>
              <w:jc w:val="center"/>
            </w:pPr>
            <w:r>
              <w:rPr>
                <w:rFonts w:ascii="宋体" w:hAnsi="宋体" w:eastAsia="宋体"/>
                <w:sz w:val="16"/>
              </w:rPr>
              <w:t>1,509.55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8FF01">
            <w:pPr>
              <w:jc w:val="center"/>
            </w:pPr>
            <w:r>
              <w:rPr>
                <w:rFonts w:ascii="宋体" w:hAnsi="宋体" w:eastAsia="宋体"/>
                <w:sz w:val="16"/>
              </w:rPr>
              <w:t>1,406.54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E15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3751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689D">
            <w:pPr>
              <w:jc w:val="center"/>
            </w:pPr>
            <w:r>
              <w:rPr>
                <w:rFonts w:ascii="宋体" w:hAnsi="宋体" w:eastAsia="宋体"/>
                <w:sz w:val="16"/>
              </w:rPr>
              <w:t>—</w:t>
            </w:r>
          </w:p>
        </w:tc>
      </w:tr>
      <w:tr w14:paraId="66ECA2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AC6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042D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5C179">
            <w:pPr>
              <w:jc w:val="center"/>
            </w:pPr>
            <w:r>
              <w:rPr>
                <w:rFonts w:ascii="宋体" w:hAnsi="宋体" w:eastAsia="宋体"/>
                <w:sz w:val="16"/>
              </w:rPr>
              <w:t>40.19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842BD">
            <w:pPr>
              <w:jc w:val="center"/>
            </w:pPr>
            <w:r>
              <w:rPr>
                <w:rFonts w:ascii="宋体" w:hAnsi="宋体" w:eastAsia="宋体"/>
                <w:sz w:val="16"/>
              </w:rPr>
              <w:t>244.85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1AE45">
            <w:pPr>
              <w:jc w:val="center"/>
            </w:pPr>
            <w:r>
              <w:rPr>
                <w:rFonts w:ascii="宋体" w:hAnsi="宋体" w:eastAsia="宋体"/>
                <w:sz w:val="16"/>
              </w:rPr>
              <w:t>221.16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F23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BBCC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7E2CD">
            <w:pPr>
              <w:jc w:val="center"/>
            </w:pPr>
            <w:r>
              <w:rPr>
                <w:rFonts w:ascii="宋体" w:hAnsi="宋体" w:eastAsia="宋体"/>
                <w:sz w:val="16"/>
              </w:rPr>
              <w:t>—</w:t>
            </w:r>
          </w:p>
        </w:tc>
      </w:tr>
      <w:tr w14:paraId="3E55CE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D545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BCC76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9571AE">
            <w:pPr>
              <w:jc w:val="center"/>
            </w:pPr>
            <w:r>
              <w:rPr>
                <w:rFonts w:ascii="宋体" w:hAnsi="宋体" w:eastAsia="宋体"/>
                <w:sz w:val="16"/>
              </w:rPr>
              <w:t>实际完成情况</w:t>
            </w:r>
          </w:p>
        </w:tc>
      </w:tr>
      <w:tr w14:paraId="10B83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8BE4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F742B8">
            <w:pPr>
              <w:jc w:val="both"/>
            </w:pPr>
            <w:r>
              <w:rPr>
                <w:rFonts w:ascii="宋体" w:hAnsi="宋体" w:eastAsia="宋体"/>
                <w:sz w:val="16"/>
              </w:rPr>
              <w:t>喀什地区体育局贯彻执行国家、自治区有关体育的方针、政策、法规，研究拟订相关的政策和发展规划、年度计划、并组织实施。开展社会体育指导员培训4期，举办竞技体育比赛3次，举办群众体育比赛3次，开展教练员或裁判员培训班4期，开展群众体育活动12次。有效促进竞技体育和群众体育发展，推动全民健身活动开展，提高体育指导员、教练员和裁判员等体育从业者的业务能力，促进我区体育事业开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E81BC2">
            <w:pPr>
              <w:jc w:val="both"/>
            </w:pPr>
            <w:r>
              <w:rPr>
                <w:rFonts w:ascii="宋体" w:hAnsi="宋体" w:eastAsia="宋体"/>
                <w:sz w:val="16"/>
              </w:rPr>
              <w:t>我单位开展社会体育指导员培训4期，举办竞技体育比赛3次，举办群众体育比赛3次，开展教练员或裁判员培训班4期，开展群众体育活动12次。加强了竞技体育发展，推动了全民健身活动开展，提高了体育指导员和裁判员等体育从业者的业务能力，促进了我区体育事业开展。广泛开展全民健身活动。立足地区实际，成功举办了少数民族传统体育运动会、地区直属机关首届职工运动会、喀什马拉松、冰雪季·嘉年华第二届冬季运动会等10余场赛事，承办自治区第一届智力运动会及2024年棋牌项目西部行新疆站活动、自治区第六届老年运动会、全国钓鱼大赛，开展“8.8”全民健身日系列活动暨“有肌人生·健康未来”体育科普中国行活动、2024年中国职工体质检测万里行助力职工健康（新疆站）活动、2024年喀什地区常态化</w:t>
            </w:r>
            <w:r>
              <w:rPr>
                <w:rFonts w:hint="eastAsia" w:ascii="宋体" w:hAnsi="宋体"/>
                <w:sz w:val="16"/>
                <w:lang w:val="en-US" w:eastAsia="zh-CN"/>
              </w:rPr>
              <w:t>民众</w:t>
            </w:r>
            <w:r>
              <w:rPr>
                <w:rFonts w:ascii="宋体" w:hAnsi="宋体" w:eastAsia="宋体"/>
                <w:sz w:val="16"/>
              </w:rPr>
              <w:t>体质监测活动，监测样本3000余个，在第一届全国全民健身大赛总决赛足球（五人制）比赛中岳普湖代表队获得季军；参加自治区2024年女性社会体育指导员技能交流展示大会荣获健身操舞类、科学健身创新项目、优秀社会体育指导员故事宣讲和科学健身指导教学第二名，最具特色奖和优秀组织奖。竞技体育比赛成绩斐然。一是组织583名运动员，参加2024年自治区青少年锦标赛的足球、田径、柔道、跆拳道、国际式摔跤、排球、沙滩排球、拳击、武术散打、篮球、三人篮球、乒乓球、游泳、航模、武术套路、轮滑、羽毛球、举重等18个项目，夺得56金43银46铜共145枚奖牌。二是组队参加2024年中西部青少年足球邀请赛， 获得勇于拼搏奖2名（男女各1名）、最佳球员奖2名（男女各1名）、最佳射手奖2名（男女各1名）、最佳守门员奖1名（男子队）、优秀教练员奖1名（男队教练），道德风尚奖2个（男女队均获），公平竞争奖共设6个奖项，喀什荣获2个（男女队均获），优秀奖共设10个奖项，喀什荣获2个（男女队均获），优胜奖共设3个奖项，喀什荣获1个（男子队）。三是组队参加2024年第十届全国大众冰雪季“雪耀天山”自治区雪地足球比赛，获得体育道德风尚奖。四是组队参加克拉玛依市第二届“为梦想加油”兵、地、油全疆篮球邀请赛获得男子组全疆冠军。</w:t>
            </w:r>
          </w:p>
        </w:tc>
      </w:tr>
      <w:tr w14:paraId="4C36AA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E9CC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5F6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7A95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B99B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DFFF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8F5A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9F6C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EC19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78FC3">
            <w:pPr>
              <w:jc w:val="center"/>
            </w:pPr>
            <w:r>
              <w:rPr>
                <w:rFonts w:ascii="宋体" w:hAnsi="宋体" w:eastAsia="宋体"/>
                <w:sz w:val="16"/>
              </w:rPr>
              <w:t>得分</w:t>
            </w:r>
          </w:p>
        </w:tc>
      </w:tr>
      <w:tr w14:paraId="6A41C6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119F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D31E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9E20B">
            <w:pPr>
              <w:jc w:val="center"/>
            </w:pPr>
            <w:r>
              <w:rPr>
                <w:rFonts w:ascii="宋体" w:hAnsi="宋体" w:eastAsia="宋体"/>
                <w:sz w:val="16"/>
              </w:rPr>
              <w:t>开展社会体育指导员培训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6220D">
            <w:pPr>
              <w:jc w:val="center"/>
            </w:pPr>
            <w:r>
              <w:rPr>
                <w:rFonts w:ascii="宋体" w:hAnsi="宋体" w:eastAsia="宋体"/>
                <w:sz w:val="16"/>
              </w:rPr>
              <w:t>&gt;=4期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F5B95">
            <w:pPr>
              <w:jc w:val="center"/>
            </w:pPr>
            <w:r>
              <w:rPr>
                <w:rFonts w:ascii="宋体" w:hAnsi="宋体" w:eastAsia="宋体"/>
                <w:sz w:val="16"/>
              </w:rPr>
              <w:t>地区体育局2024年工作计划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3BC8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11712">
            <w:pPr>
              <w:jc w:val="center"/>
            </w:pPr>
            <w:r>
              <w:rPr>
                <w:rFonts w:ascii="宋体" w:hAnsi="宋体" w:eastAsia="宋体"/>
                <w:sz w:val="16"/>
              </w:rPr>
              <w: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54F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6DFAF">
            <w:pPr>
              <w:jc w:val="center"/>
            </w:pPr>
            <w:r>
              <w:rPr>
                <w:rFonts w:ascii="宋体" w:hAnsi="宋体" w:eastAsia="宋体"/>
                <w:sz w:val="16"/>
              </w:rPr>
              <w:t>18</w:t>
            </w:r>
          </w:p>
        </w:tc>
      </w:tr>
      <w:tr w14:paraId="7346D4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08E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84B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C0743">
            <w:pPr>
              <w:jc w:val="center"/>
            </w:pPr>
            <w:r>
              <w:rPr>
                <w:rFonts w:ascii="宋体" w:hAnsi="宋体" w:eastAsia="宋体"/>
                <w:sz w:val="16"/>
              </w:rPr>
              <w:t>举办竞技体育比赛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EED59">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088C4">
            <w:pPr>
              <w:jc w:val="center"/>
            </w:pPr>
            <w:r>
              <w:rPr>
                <w:rFonts w:ascii="宋体" w:hAnsi="宋体" w:eastAsia="宋体"/>
                <w:sz w:val="16"/>
              </w:rPr>
              <w:t>地区体育局2024年工作计划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BB40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E3F20">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86F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22746">
            <w:pPr>
              <w:jc w:val="center"/>
            </w:pPr>
            <w:r>
              <w:rPr>
                <w:rFonts w:ascii="宋体" w:hAnsi="宋体" w:eastAsia="宋体"/>
                <w:sz w:val="16"/>
              </w:rPr>
              <w:t>18</w:t>
            </w:r>
          </w:p>
        </w:tc>
      </w:tr>
      <w:tr w14:paraId="22A983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D52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E3F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0583A">
            <w:pPr>
              <w:jc w:val="center"/>
            </w:pPr>
            <w:r>
              <w:rPr>
                <w:rFonts w:ascii="宋体" w:hAnsi="宋体" w:eastAsia="宋体"/>
                <w:sz w:val="16"/>
              </w:rPr>
              <w:t>举办群众体育比赛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814FD">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9686">
            <w:pPr>
              <w:jc w:val="center"/>
            </w:pPr>
            <w:r>
              <w:rPr>
                <w:rFonts w:ascii="宋体" w:hAnsi="宋体" w:eastAsia="宋体"/>
                <w:sz w:val="16"/>
              </w:rPr>
              <w:t>地区体育局2024年工作计划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4E4E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F47AC">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B13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35537">
            <w:pPr>
              <w:jc w:val="center"/>
            </w:pPr>
            <w:r>
              <w:rPr>
                <w:rFonts w:ascii="宋体" w:hAnsi="宋体" w:eastAsia="宋体"/>
                <w:sz w:val="16"/>
              </w:rPr>
              <w:t>18</w:t>
            </w:r>
          </w:p>
        </w:tc>
      </w:tr>
      <w:tr w14:paraId="24C880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550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B4C5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33F5D">
            <w:pPr>
              <w:jc w:val="center"/>
            </w:pPr>
            <w:r>
              <w:rPr>
                <w:rFonts w:ascii="宋体" w:hAnsi="宋体" w:eastAsia="宋体"/>
                <w:sz w:val="16"/>
              </w:rPr>
              <w:t>开展教练员或裁判员培训班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56AFD">
            <w:pPr>
              <w:jc w:val="center"/>
            </w:pPr>
            <w:r>
              <w:rPr>
                <w:rFonts w:ascii="宋体" w:hAnsi="宋体" w:eastAsia="宋体"/>
                <w:sz w:val="16"/>
              </w:rPr>
              <w:t>&gt;=4期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18F94">
            <w:pPr>
              <w:jc w:val="center"/>
            </w:pPr>
            <w:r>
              <w:rPr>
                <w:rFonts w:ascii="宋体" w:hAnsi="宋体" w:eastAsia="宋体"/>
                <w:sz w:val="16"/>
              </w:rPr>
              <w:t>地区体育局2024年工作计划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609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370F4">
            <w:pPr>
              <w:jc w:val="center"/>
            </w:pPr>
            <w:r>
              <w:rPr>
                <w:rFonts w:ascii="宋体" w:hAnsi="宋体" w:eastAsia="宋体"/>
                <w:sz w:val="16"/>
              </w:rPr>
              <w:t>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1AD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D5179">
            <w:pPr>
              <w:jc w:val="center"/>
            </w:pPr>
            <w:r>
              <w:rPr>
                <w:rFonts w:ascii="宋体" w:hAnsi="宋体" w:eastAsia="宋体"/>
                <w:sz w:val="16"/>
              </w:rPr>
              <w:t>18</w:t>
            </w:r>
          </w:p>
        </w:tc>
      </w:tr>
      <w:tr w14:paraId="30F58C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C42D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A92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5ED96">
            <w:pPr>
              <w:jc w:val="center"/>
            </w:pPr>
            <w:r>
              <w:rPr>
                <w:rFonts w:ascii="宋体" w:hAnsi="宋体" w:eastAsia="宋体"/>
                <w:sz w:val="16"/>
              </w:rPr>
              <w:t>开展群众体育活动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65ED5">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6BCE2">
            <w:pPr>
              <w:jc w:val="center"/>
            </w:pPr>
            <w:r>
              <w:rPr>
                <w:rFonts w:ascii="宋体" w:hAnsi="宋体" w:eastAsia="宋体"/>
                <w:sz w:val="16"/>
              </w:rPr>
              <w:t>地区体育局2024年工作计划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6879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8F6E2">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AEE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4D236">
            <w:pPr>
              <w:jc w:val="center"/>
            </w:pPr>
            <w:r>
              <w:rPr>
                <w:rFonts w:ascii="宋体" w:hAnsi="宋体" w:eastAsia="宋体"/>
                <w:sz w:val="16"/>
              </w:rPr>
              <w:t>18</w:t>
            </w:r>
          </w:p>
        </w:tc>
      </w:tr>
    </w:tbl>
    <w:p w14:paraId="082629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A20C11E">
        <w:tc>
          <w:tcPr>
            <w:tcW w:w="8848" w:type="dxa"/>
            <w:gridSpan w:val="14"/>
            <w:vAlign w:val="center"/>
          </w:tcPr>
          <w:p w14:paraId="4A46F2D0">
            <w:pPr>
              <w:jc w:val="center"/>
            </w:pPr>
            <w:r>
              <w:rPr>
                <w:rFonts w:ascii="宋体" w:hAnsi="宋体" w:eastAsia="宋体"/>
                <w:sz w:val="24"/>
              </w:rPr>
              <w:t>项目支出绩效自评表</w:t>
            </w:r>
          </w:p>
        </w:tc>
      </w:tr>
      <w:tr w14:paraId="59412663">
        <w:tblPrEx>
          <w:tblCellMar>
            <w:top w:w="0" w:type="dxa"/>
            <w:left w:w="108" w:type="dxa"/>
            <w:bottom w:w="0" w:type="dxa"/>
            <w:right w:w="108" w:type="dxa"/>
          </w:tblCellMar>
        </w:tblPrEx>
        <w:tc>
          <w:tcPr>
            <w:tcW w:w="8848" w:type="dxa"/>
            <w:gridSpan w:val="14"/>
            <w:vAlign w:val="center"/>
          </w:tcPr>
          <w:p w14:paraId="10110DC4">
            <w:pPr>
              <w:jc w:val="center"/>
            </w:pPr>
            <w:r>
              <w:rPr>
                <w:rFonts w:ascii="宋体" w:hAnsi="宋体" w:eastAsia="宋体"/>
                <w:sz w:val="24"/>
              </w:rPr>
              <w:t>(2024年度)</w:t>
            </w:r>
          </w:p>
        </w:tc>
      </w:tr>
      <w:tr w14:paraId="67A79F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D7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D216B5">
            <w:pPr>
              <w:jc w:val="center"/>
            </w:pPr>
            <w:r>
              <w:rPr>
                <w:rFonts w:ascii="宋体" w:hAnsi="宋体" w:eastAsia="宋体"/>
                <w:sz w:val="16"/>
              </w:rPr>
              <w:t>2024年中央集中彩票公益金支持体育事业项目</w:t>
            </w:r>
          </w:p>
        </w:tc>
      </w:tr>
      <w:tr w14:paraId="22C3DF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2B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DEDB9">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31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3B4313">
            <w:pPr>
              <w:jc w:val="center"/>
            </w:pPr>
            <w:r>
              <w:rPr>
                <w:rFonts w:ascii="宋体" w:hAnsi="宋体" w:eastAsia="宋体"/>
                <w:sz w:val="16"/>
              </w:rPr>
              <w:t>新疆维吾尔自治区喀什地区体育局</w:t>
            </w:r>
          </w:p>
        </w:tc>
      </w:tr>
      <w:tr w14:paraId="01518D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DAF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508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764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F90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81A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11B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BC3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618B">
            <w:pPr>
              <w:jc w:val="center"/>
            </w:pPr>
            <w:r>
              <w:rPr>
                <w:rFonts w:ascii="宋体" w:hAnsi="宋体" w:eastAsia="宋体"/>
                <w:sz w:val="16"/>
              </w:rPr>
              <w:t>得分</w:t>
            </w:r>
          </w:p>
        </w:tc>
      </w:tr>
      <w:tr w14:paraId="32FD1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5B7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1EC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7698F">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CCD7E">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E9CF">
            <w:pPr>
              <w:jc w:val="center"/>
            </w:pPr>
            <w:r>
              <w:rPr>
                <w:rFonts w:ascii="宋体" w:hAnsi="宋体" w:eastAsia="宋体"/>
                <w:sz w:val="16"/>
              </w:rPr>
              <w:t>22.08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D2B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438D">
            <w:pPr>
              <w:jc w:val="center"/>
            </w:pPr>
            <w:r>
              <w:rPr>
                <w:rFonts w:ascii="宋体" w:hAnsi="宋体" w:eastAsia="宋体"/>
                <w:sz w:val="16"/>
              </w:rPr>
              <w:t>69.0%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F782">
            <w:pPr>
              <w:jc w:val="center"/>
            </w:pPr>
            <w:r>
              <w:rPr>
                <w:rFonts w:ascii="宋体" w:hAnsi="宋体" w:eastAsia="宋体"/>
                <w:sz w:val="16"/>
              </w:rPr>
              <w:t>2.25分</w:t>
            </w:r>
          </w:p>
        </w:tc>
      </w:tr>
      <w:tr w14:paraId="07A6D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BE8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C0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F20D0">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A1FA">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7633">
            <w:pPr>
              <w:jc w:val="center"/>
            </w:pPr>
            <w:r>
              <w:rPr>
                <w:rFonts w:ascii="宋体" w:hAnsi="宋体" w:eastAsia="宋体"/>
                <w:sz w:val="16"/>
              </w:rPr>
              <w:t>22.08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082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3E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11C0">
            <w:pPr>
              <w:jc w:val="center"/>
            </w:pPr>
            <w:r>
              <w:rPr>
                <w:rFonts w:ascii="宋体" w:hAnsi="宋体" w:eastAsia="宋体"/>
                <w:sz w:val="16"/>
              </w:rPr>
              <w:t>—</w:t>
            </w:r>
          </w:p>
        </w:tc>
      </w:tr>
      <w:tr w14:paraId="4134F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D31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4AC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B7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2A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274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FF8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E34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5D58">
            <w:pPr>
              <w:jc w:val="center"/>
            </w:pPr>
            <w:r>
              <w:rPr>
                <w:rFonts w:ascii="宋体" w:hAnsi="宋体" w:eastAsia="宋体"/>
                <w:sz w:val="16"/>
              </w:rPr>
              <w:t>—</w:t>
            </w:r>
          </w:p>
        </w:tc>
      </w:tr>
      <w:tr w14:paraId="15E77E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638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E9B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4A6A69">
            <w:pPr>
              <w:jc w:val="center"/>
            </w:pPr>
            <w:r>
              <w:rPr>
                <w:rFonts w:ascii="宋体" w:hAnsi="宋体" w:eastAsia="宋体"/>
                <w:sz w:val="16"/>
              </w:rPr>
              <w:t>实际完成情况</w:t>
            </w:r>
          </w:p>
        </w:tc>
      </w:tr>
      <w:tr w14:paraId="001F8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A44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ADE20">
            <w:pPr>
              <w:jc w:val="both"/>
            </w:pPr>
            <w:r>
              <w:rPr>
                <w:rFonts w:ascii="宋体" w:hAnsi="宋体" w:eastAsia="宋体"/>
                <w:sz w:val="16"/>
              </w:rPr>
              <w:t>举办不少于一次全民健身大赛，举办不少于一次全民健身主题活动，在喀什地区范围内为各社区公园购买乒乓球设施。进一步丰富完善全民健身公共服务体系，促进全民健身事业发展。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53877C">
            <w:pPr>
              <w:jc w:val="both"/>
            </w:pPr>
            <w:r>
              <w:rPr>
                <w:rFonts w:ascii="宋体" w:hAnsi="宋体" w:eastAsia="宋体"/>
                <w:sz w:val="16"/>
              </w:rPr>
              <w:t>我单位举办一次太极拳、八段锦进机关全民健身主题活动、为喀什地区范围内为各社区公园购买乒乓球设施、举办</w:t>
            </w:r>
            <w:r>
              <w:rPr>
                <w:rFonts w:hint="eastAsia" w:ascii="宋体" w:hAnsi="宋体"/>
                <w:sz w:val="16"/>
                <w:lang w:eastAsia="zh-CN"/>
              </w:rPr>
              <w:t>一场</w:t>
            </w:r>
            <w:r>
              <w:rPr>
                <w:rFonts w:ascii="宋体" w:hAnsi="宋体" w:eastAsia="宋体"/>
                <w:sz w:val="16"/>
              </w:rPr>
              <w:t>全民健身主题活动。提升了机关干部对参加太极拳、八段锦等体育活动的积极性。提升了广大居民的体育锻炼热情。</w:t>
            </w:r>
          </w:p>
        </w:tc>
      </w:tr>
      <w:tr w14:paraId="48A8F7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9BA9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B3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1F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21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BA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C1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9E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6C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1E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71E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D5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88B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16C6">
            <w:pPr>
              <w:jc w:val="center"/>
            </w:pPr>
            <w:r>
              <w:rPr>
                <w:rFonts w:ascii="宋体" w:hAnsi="宋体" w:eastAsia="宋体"/>
                <w:sz w:val="16"/>
              </w:rPr>
              <w:t>偏差原因分析及改进措施</w:t>
            </w:r>
          </w:p>
        </w:tc>
      </w:tr>
      <w:tr w14:paraId="19CC85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FB5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BF88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1D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68AC">
            <w:pPr>
              <w:jc w:val="center"/>
            </w:pPr>
            <w:r>
              <w:rPr>
                <w:rFonts w:ascii="宋体" w:hAnsi="宋体" w:eastAsia="宋体"/>
                <w:sz w:val="16"/>
              </w:rPr>
              <w:t>支持赛事活动数量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8393">
            <w:pPr>
              <w:jc w:val="center"/>
            </w:pPr>
            <w:r>
              <w:rPr>
                <w:rFonts w:ascii="宋体" w:hAnsi="宋体" w:eastAsia="宋体"/>
                <w:sz w:val="16"/>
              </w:rPr>
              <w:t>&gt;=2场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0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B6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AE2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69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C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09FD">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31F0">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BECF0">
            <w:pPr>
              <w:jc w:val="center"/>
            </w:pPr>
          </w:p>
        </w:tc>
      </w:tr>
      <w:tr w14:paraId="13B22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8E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94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8E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EDE2">
            <w:pPr>
              <w:jc w:val="center"/>
            </w:pPr>
            <w:r>
              <w:rPr>
                <w:rFonts w:ascii="宋体" w:hAnsi="宋体" w:eastAsia="宋体"/>
                <w:sz w:val="16"/>
              </w:rPr>
              <w:t>赛事和活动任务完成率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F77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86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7E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751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3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C5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5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66DB">
            <w:pPr>
              <w:jc w:val="center"/>
            </w:pPr>
            <w:r>
              <w:rPr>
                <w:rFonts w:ascii="宋体" w:hAnsi="宋体" w:eastAsia="宋体"/>
                <w:sz w:val="16"/>
              </w:rPr>
              <w:t>11.56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86A9">
            <w:pPr>
              <w:jc w:val="center"/>
            </w:pPr>
            <w:r>
              <w:rPr>
                <w:rFonts w:ascii="宋体" w:hAnsi="宋体" w:eastAsia="宋体"/>
                <w:sz w:val="16"/>
              </w:rPr>
              <w:t>偏差原因：项目实施效果超预期，任务完成率高于预计值。</w:t>
            </w:r>
          </w:p>
        </w:tc>
      </w:tr>
      <w:tr w14:paraId="5DCFD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A3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11C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D2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D7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88F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CE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8F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A94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00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B2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B6E2">
            <w:pPr>
              <w:jc w:val="center"/>
            </w:pPr>
            <w:r>
              <w:rPr>
                <w:rFonts w:ascii="宋体" w:hAnsi="宋体" w:eastAsia="宋体"/>
                <w:sz w:val="16"/>
              </w:rPr>
              <w:t>=12月21日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D73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E8E6">
            <w:pPr>
              <w:jc w:val="center"/>
            </w:pPr>
          </w:p>
        </w:tc>
      </w:tr>
      <w:tr w14:paraId="2B822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29D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871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73E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DFCE">
            <w:pPr>
              <w:jc w:val="center"/>
            </w:pPr>
            <w:r>
              <w:rPr>
                <w:rFonts w:ascii="宋体" w:hAnsi="宋体" w:eastAsia="宋体"/>
                <w:sz w:val="16"/>
              </w:rPr>
              <w:t>国球进社区、公园项目（配建乒乓球台）成本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5FC8">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30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7C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56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61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E5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1868">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1D8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25523">
            <w:pPr>
              <w:jc w:val="center"/>
            </w:pPr>
          </w:p>
        </w:tc>
      </w:tr>
      <w:tr w14:paraId="4386A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8D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AB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25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248F">
            <w:pPr>
              <w:jc w:val="center"/>
            </w:pPr>
            <w:r>
              <w:rPr>
                <w:rFonts w:ascii="宋体" w:hAnsi="宋体" w:eastAsia="宋体"/>
                <w:sz w:val="16"/>
              </w:rPr>
              <w:t>举办全民健身大赛成本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0C28">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9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7A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83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FD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14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B340">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646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0F694">
            <w:pPr>
              <w:jc w:val="center"/>
            </w:pPr>
            <w:r>
              <w:rPr>
                <w:rFonts w:ascii="宋体" w:hAnsi="宋体" w:eastAsia="宋体"/>
                <w:sz w:val="16"/>
              </w:rPr>
              <w:t>偏差原因：预算编制不精准，全民健身大赛成本低于预算。改进措施：编制精准项目预算</w:t>
            </w:r>
          </w:p>
        </w:tc>
      </w:tr>
      <w:tr w14:paraId="59398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A5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2C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57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378D">
            <w:pPr>
              <w:jc w:val="center"/>
            </w:pPr>
            <w:r>
              <w:rPr>
                <w:rFonts w:ascii="宋体" w:hAnsi="宋体" w:eastAsia="宋体"/>
                <w:sz w:val="16"/>
              </w:rPr>
              <w:t>举办全民健身主题活动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A59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2D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06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557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19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FB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A93E">
            <w:pPr>
              <w:jc w:val="center"/>
            </w:pPr>
            <w:r>
              <w:rPr>
                <w:rFonts w:ascii="宋体" w:hAnsi="宋体" w:eastAsia="宋体"/>
                <w:sz w:val="16"/>
              </w:rPr>
              <w:t>=5.23万元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A2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83CF6">
            <w:pPr>
              <w:jc w:val="center"/>
            </w:pPr>
            <w:r>
              <w:rPr>
                <w:rFonts w:ascii="宋体" w:hAnsi="宋体" w:eastAsia="宋体"/>
                <w:sz w:val="16"/>
              </w:rPr>
              <w:t>偏差原因：全民健身主题活动节约成本，支付资金低于预算资金。改进措施：今后严格按照预算金额编制项目预算</w:t>
            </w:r>
          </w:p>
        </w:tc>
      </w:tr>
      <w:tr w14:paraId="02A97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192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A1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E7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636A">
            <w:pPr>
              <w:jc w:val="center"/>
            </w:pPr>
            <w:r>
              <w:rPr>
                <w:rFonts w:ascii="宋体" w:hAnsi="宋体" w:eastAsia="宋体"/>
                <w:sz w:val="16"/>
              </w:rPr>
              <w:t>有效促进全民健身事业发展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D3A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90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08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F2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5F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5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882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53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CD58B">
            <w:pPr>
              <w:jc w:val="center"/>
            </w:pPr>
          </w:p>
        </w:tc>
      </w:tr>
      <w:tr w14:paraId="79199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45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C0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CD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8981">
            <w:pPr>
              <w:jc w:val="center"/>
            </w:pPr>
            <w:r>
              <w:rPr>
                <w:rFonts w:ascii="宋体" w:hAnsi="宋体" w:eastAsia="宋体"/>
                <w:sz w:val="16"/>
              </w:rPr>
              <w:t>参加全民健身活动群众满意度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9E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AE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9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20A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E2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34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94F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72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454F6">
            <w:pPr>
              <w:jc w:val="center"/>
            </w:pPr>
          </w:p>
        </w:tc>
      </w:tr>
      <w:tr w14:paraId="2F7FFE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64E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46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388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BFDC">
            <w:pPr>
              <w:jc w:val="center"/>
            </w:pPr>
            <w:r>
              <w:rPr>
                <w:rFonts w:ascii="宋体" w:hAnsi="宋体" w:eastAsia="宋体"/>
                <w:sz w:val="16"/>
              </w:rPr>
              <w:t>77.81分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27E5E2"/>
        </w:tc>
      </w:tr>
    </w:tbl>
    <w:p w14:paraId="0B333B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4DC7D65">
        <w:tc>
          <w:tcPr>
            <w:tcW w:w="8848" w:type="dxa"/>
            <w:gridSpan w:val="14"/>
            <w:vAlign w:val="center"/>
          </w:tcPr>
          <w:p w14:paraId="00ACDC8C">
            <w:pPr>
              <w:jc w:val="center"/>
            </w:pPr>
            <w:r>
              <w:rPr>
                <w:rFonts w:ascii="宋体" w:hAnsi="宋体" w:eastAsia="宋体"/>
                <w:sz w:val="24"/>
              </w:rPr>
              <w:t>项目支出绩效自评表</w:t>
            </w:r>
          </w:p>
        </w:tc>
      </w:tr>
      <w:tr w14:paraId="1901645D">
        <w:tblPrEx>
          <w:tblCellMar>
            <w:top w:w="0" w:type="dxa"/>
            <w:left w:w="108" w:type="dxa"/>
            <w:bottom w:w="0" w:type="dxa"/>
            <w:right w:w="108" w:type="dxa"/>
          </w:tblCellMar>
        </w:tblPrEx>
        <w:tc>
          <w:tcPr>
            <w:tcW w:w="8848" w:type="dxa"/>
            <w:gridSpan w:val="14"/>
            <w:vAlign w:val="center"/>
          </w:tcPr>
          <w:p w14:paraId="342653B4">
            <w:pPr>
              <w:jc w:val="center"/>
            </w:pPr>
            <w:r>
              <w:rPr>
                <w:rFonts w:ascii="宋体" w:hAnsi="宋体" w:eastAsia="宋体"/>
                <w:sz w:val="24"/>
              </w:rPr>
              <w:t>(2024年度)</w:t>
            </w:r>
          </w:p>
        </w:tc>
      </w:tr>
      <w:tr w14:paraId="257A4D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9F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6D2948">
            <w:pPr>
              <w:jc w:val="center"/>
            </w:pPr>
            <w:r>
              <w:rPr>
                <w:rFonts w:ascii="宋体" w:hAnsi="宋体" w:eastAsia="宋体"/>
                <w:sz w:val="16"/>
              </w:rPr>
              <w:t>2024年参加、举办比赛及开展全民健身活动和培训项目（单位资金项目）</w:t>
            </w:r>
          </w:p>
        </w:tc>
      </w:tr>
      <w:tr w14:paraId="3EB79D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3A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1D29D6">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D9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5FEB0">
            <w:pPr>
              <w:jc w:val="center"/>
            </w:pPr>
            <w:r>
              <w:rPr>
                <w:rFonts w:ascii="宋体" w:hAnsi="宋体" w:eastAsia="宋体"/>
                <w:sz w:val="16"/>
              </w:rPr>
              <w:t>新疆维吾尔自治区喀什地区体育局</w:t>
            </w:r>
          </w:p>
        </w:tc>
      </w:tr>
      <w:tr w14:paraId="1A65B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757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C5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A58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198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A4D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553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080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EE7D">
            <w:pPr>
              <w:jc w:val="center"/>
            </w:pPr>
            <w:r>
              <w:rPr>
                <w:rFonts w:ascii="宋体" w:hAnsi="宋体" w:eastAsia="宋体"/>
                <w:sz w:val="16"/>
              </w:rPr>
              <w:t>得分</w:t>
            </w:r>
          </w:p>
        </w:tc>
      </w:tr>
      <w:tr w14:paraId="39C93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8B2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CCE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9C3D7">
            <w:pPr>
              <w:jc w:val="center"/>
            </w:pPr>
            <w:r>
              <w:rPr>
                <w:rFonts w:ascii="宋体" w:hAnsi="宋体" w:eastAsia="宋体"/>
                <w:sz w:val="16"/>
              </w:rPr>
              <w:t>40.19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B480">
            <w:pPr>
              <w:jc w:val="center"/>
            </w:pPr>
            <w:r>
              <w:rPr>
                <w:rFonts w:ascii="宋体" w:hAnsi="宋体" w:eastAsia="宋体"/>
                <w:sz w:val="16"/>
              </w:rPr>
              <w:t>40.19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C7AEE">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1FB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5F5EC">
            <w:pPr>
              <w:jc w:val="center"/>
            </w:pPr>
            <w:r>
              <w:rPr>
                <w:rFonts w:ascii="宋体" w:hAnsi="宋体" w:eastAsia="宋体"/>
                <w:sz w:val="16"/>
              </w:rPr>
              <w:t>79.9%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9051">
            <w:pPr>
              <w:jc w:val="center"/>
            </w:pPr>
            <w:r>
              <w:rPr>
                <w:rFonts w:ascii="宋体" w:hAnsi="宋体" w:eastAsia="宋体"/>
                <w:sz w:val="16"/>
              </w:rPr>
              <w:t>4.98分</w:t>
            </w:r>
          </w:p>
        </w:tc>
      </w:tr>
      <w:tr w14:paraId="5AAA7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AD8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CF1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C24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8B8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3DF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5FA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97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ED54">
            <w:pPr>
              <w:jc w:val="center"/>
            </w:pPr>
            <w:r>
              <w:rPr>
                <w:rFonts w:ascii="宋体" w:hAnsi="宋体" w:eastAsia="宋体"/>
                <w:sz w:val="16"/>
              </w:rPr>
              <w:t>—</w:t>
            </w:r>
          </w:p>
        </w:tc>
      </w:tr>
      <w:tr w14:paraId="5DE01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A54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D8B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48443">
            <w:pPr>
              <w:jc w:val="center"/>
            </w:pPr>
            <w:r>
              <w:rPr>
                <w:rFonts w:ascii="宋体" w:hAnsi="宋体" w:eastAsia="宋体"/>
                <w:sz w:val="16"/>
              </w:rPr>
              <w:t>40.19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4FF9D">
            <w:pPr>
              <w:jc w:val="center"/>
            </w:pPr>
            <w:r>
              <w:rPr>
                <w:rFonts w:ascii="宋体" w:hAnsi="宋体" w:eastAsia="宋体"/>
                <w:sz w:val="16"/>
              </w:rPr>
              <w:t>40.19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B9DDB">
            <w:pPr>
              <w:jc w:val="center"/>
            </w:pPr>
            <w:r>
              <w:rPr>
                <w:rFonts w:ascii="宋体" w:hAnsi="宋体" w:eastAsia="宋体"/>
                <w:sz w:val="16"/>
              </w:rPr>
              <w:t>32.11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6C8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A52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1BE4">
            <w:pPr>
              <w:jc w:val="center"/>
            </w:pPr>
            <w:r>
              <w:rPr>
                <w:rFonts w:ascii="宋体" w:hAnsi="宋体" w:eastAsia="宋体"/>
                <w:sz w:val="16"/>
              </w:rPr>
              <w:t>—</w:t>
            </w:r>
          </w:p>
        </w:tc>
      </w:tr>
      <w:tr w14:paraId="1F35A3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4F5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D9EF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6E0930">
            <w:pPr>
              <w:jc w:val="center"/>
            </w:pPr>
            <w:r>
              <w:rPr>
                <w:rFonts w:ascii="宋体" w:hAnsi="宋体" w:eastAsia="宋体"/>
                <w:sz w:val="16"/>
              </w:rPr>
              <w:t>实际完成情况</w:t>
            </w:r>
          </w:p>
        </w:tc>
      </w:tr>
      <w:tr w14:paraId="0D088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2A6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7FD5E">
            <w:pPr>
              <w:jc w:val="both"/>
            </w:pPr>
            <w:r>
              <w:rPr>
                <w:rFonts w:ascii="宋体" w:hAnsi="宋体" w:eastAsia="宋体"/>
                <w:sz w:val="16"/>
              </w:rPr>
              <w:t>此项目预计举办竞技体育活动2场次，群众体育活动6场次，举办各类会议培训活动2场次。项目预算资金40.19万元，主要用于参加举办各类体育活动专用材料、集训伙食和差旅费等。该项目的实施能有效促进竞技体育发展，推动全民健身活动开展，提高体育指导员和裁判员等体育从业者的业务能力，促进我区体育事业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A8196D">
            <w:pPr>
              <w:jc w:val="both"/>
            </w:pPr>
            <w:r>
              <w:rPr>
                <w:rFonts w:ascii="宋体" w:hAnsi="宋体" w:eastAsia="宋体"/>
                <w:sz w:val="16"/>
              </w:rPr>
              <w:t>举办竞技体育活动2场次，群众体育活动6场次，举办各类会议培训活动2场次。有效</w:t>
            </w:r>
            <w:r>
              <w:rPr>
                <w:rFonts w:hint="eastAsia" w:ascii="宋体" w:hAnsi="宋体"/>
                <w:sz w:val="16"/>
                <w:lang w:eastAsia="zh-CN"/>
              </w:rPr>
              <w:t>地</w:t>
            </w:r>
            <w:r>
              <w:rPr>
                <w:rFonts w:ascii="宋体" w:hAnsi="宋体" w:eastAsia="宋体"/>
                <w:sz w:val="16"/>
              </w:rPr>
              <w:t>促进竞技体育和群众发展，提高了体育指导员和裁判员等体育从业者的业务能力。</w:t>
            </w:r>
          </w:p>
        </w:tc>
      </w:tr>
      <w:tr w14:paraId="33108E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938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87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04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9A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50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2B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6F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A8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A0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A3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D1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E5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49EA9">
            <w:pPr>
              <w:jc w:val="center"/>
            </w:pPr>
            <w:r>
              <w:rPr>
                <w:rFonts w:ascii="宋体" w:hAnsi="宋体" w:eastAsia="宋体"/>
                <w:sz w:val="16"/>
              </w:rPr>
              <w:t>偏差原因分析及改进措施</w:t>
            </w:r>
          </w:p>
        </w:tc>
      </w:tr>
      <w:tr w14:paraId="61D139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4D4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B21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4AA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6A97">
            <w:pPr>
              <w:jc w:val="center"/>
            </w:pPr>
            <w:r>
              <w:rPr>
                <w:rFonts w:ascii="宋体" w:hAnsi="宋体" w:eastAsia="宋体"/>
                <w:sz w:val="16"/>
              </w:rPr>
              <w:t>参加竞技体育比赛场次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8D3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55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F0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1F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0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06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F61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6F9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BAE07">
            <w:pPr>
              <w:jc w:val="center"/>
            </w:pPr>
          </w:p>
        </w:tc>
      </w:tr>
      <w:tr w14:paraId="57CEC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7DA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D33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16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7AD6">
            <w:pPr>
              <w:jc w:val="center"/>
            </w:pPr>
            <w:r>
              <w:rPr>
                <w:rFonts w:ascii="宋体" w:hAnsi="宋体" w:eastAsia="宋体"/>
                <w:sz w:val="16"/>
              </w:rPr>
              <w:t>举办群众体育活动场次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56E1">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4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0A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DB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A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61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122C">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214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64B1C">
            <w:pPr>
              <w:jc w:val="center"/>
            </w:pPr>
          </w:p>
        </w:tc>
      </w:tr>
      <w:tr w14:paraId="77F1E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6D0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9F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175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AD8E">
            <w:pPr>
              <w:jc w:val="center"/>
            </w:pPr>
            <w:r>
              <w:rPr>
                <w:rFonts w:ascii="宋体" w:hAnsi="宋体" w:eastAsia="宋体"/>
                <w:sz w:val="16"/>
              </w:rPr>
              <w:t>举办会议培训活动场次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F33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E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09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87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5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14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86B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9A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D5DA1">
            <w:pPr>
              <w:jc w:val="center"/>
            </w:pPr>
          </w:p>
        </w:tc>
      </w:tr>
      <w:tr w14:paraId="34C97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8F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E9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5D2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56D7">
            <w:pPr>
              <w:jc w:val="center"/>
            </w:pPr>
            <w:r>
              <w:rPr>
                <w:rFonts w:ascii="宋体" w:hAnsi="宋体" w:eastAsia="宋体"/>
                <w:sz w:val="16"/>
              </w:rPr>
              <w:t>比赛和活动任务完成率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94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8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C4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43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3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79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0E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8D3B">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0A50C">
            <w:pPr>
              <w:jc w:val="center"/>
            </w:pPr>
            <w:r>
              <w:rPr>
                <w:rFonts w:ascii="宋体" w:hAnsi="宋体" w:eastAsia="宋体"/>
                <w:sz w:val="16"/>
              </w:rPr>
              <w:t>偏差原因：项目实施效果突出，完成率超过预期目标值。</w:t>
            </w:r>
          </w:p>
        </w:tc>
      </w:tr>
      <w:tr w14:paraId="1B24A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A4A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D9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B8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E96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68E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21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16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42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B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49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460D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25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E3A1">
            <w:pPr>
              <w:jc w:val="center"/>
            </w:pPr>
          </w:p>
        </w:tc>
      </w:tr>
      <w:tr w14:paraId="6D818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E9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39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86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380E">
            <w:pPr>
              <w:jc w:val="center"/>
            </w:pPr>
            <w:r>
              <w:rPr>
                <w:rFonts w:ascii="宋体" w:hAnsi="宋体" w:eastAsia="宋体"/>
                <w:sz w:val="16"/>
              </w:rPr>
              <w:t>平均每次活动成本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168B">
            <w:pPr>
              <w:jc w:val="center"/>
            </w:pPr>
            <w:r>
              <w:rPr>
                <w:rFonts w:ascii="宋体" w:hAnsi="宋体" w:eastAsia="宋体"/>
                <w:sz w:val="16"/>
              </w:rPr>
              <w:t>&lt;=4.02万元/次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67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B2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8A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8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C2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5BCD">
            <w:pPr>
              <w:jc w:val="center"/>
            </w:pPr>
            <w:r>
              <w:rPr>
                <w:rFonts w:ascii="宋体" w:hAnsi="宋体" w:eastAsia="宋体"/>
                <w:sz w:val="16"/>
              </w:rPr>
              <w:t>=3.21万元/次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01EB7">
            <w:pPr>
              <w:jc w:val="center"/>
            </w:pPr>
            <w:r>
              <w:rPr>
                <w:rFonts w:ascii="宋体" w:hAnsi="宋体" w:eastAsia="宋体"/>
                <w:sz w:val="16"/>
              </w:rPr>
              <w:t>9.92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D83D1">
            <w:pPr>
              <w:jc w:val="center"/>
            </w:pPr>
            <w:r>
              <w:rPr>
                <w:rFonts w:ascii="宋体" w:hAnsi="宋体" w:eastAsia="宋体"/>
                <w:sz w:val="16"/>
              </w:rPr>
              <w:t>偏差原因：项目预算编制不精准，导致平均每次活动成本低于预算金额。改进措施：今后加强预算编制，提高预算编制准确率。</w:t>
            </w:r>
          </w:p>
        </w:tc>
      </w:tr>
      <w:tr w14:paraId="763FA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B5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55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97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67C4">
            <w:pPr>
              <w:jc w:val="center"/>
            </w:pPr>
            <w:r>
              <w:rPr>
                <w:rFonts w:ascii="宋体" w:hAnsi="宋体" w:eastAsia="宋体"/>
                <w:sz w:val="16"/>
              </w:rPr>
              <w:t>促进全民健身事业发展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27A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4A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A9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10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2B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A2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B51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B8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82DB">
            <w:pPr>
              <w:jc w:val="center"/>
            </w:pPr>
          </w:p>
        </w:tc>
      </w:tr>
      <w:tr w14:paraId="5BAC5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49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3E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E3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A2702">
            <w:pPr>
              <w:jc w:val="center"/>
            </w:pPr>
            <w:r>
              <w:rPr>
                <w:rFonts w:ascii="宋体" w:hAnsi="宋体" w:eastAsia="宋体"/>
                <w:sz w:val="16"/>
              </w:rPr>
              <w:t>参加体育活动人员满意度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48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5A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6C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0E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0C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C1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DBF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75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F6EBC">
            <w:pPr>
              <w:jc w:val="center"/>
            </w:pPr>
          </w:p>
        </w:tc>
      </w:tr>
      <w:tr w14:paraId="6BD5D62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761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B0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A26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6EA0">
            <w:pPr>
              <w:jc w:val="center"/>
            </w:pPr>
            <w:r>
              <w:rPr>
                <w:rFonts w:ascii="宋体" w:hAnsi="宋体" w:eastAsia="宋体"/>
                <w:sz w:val="16"/>
              </w:rPr>
              <w:t>84.5分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A91C7F"/>
        </w:tc>
      </w:tr>
    </w:tbl>
    <w:p w14:paraId="018BB46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7ED7F80">
        <w:tblPrEx>
          <w:tblCellMar>
            <w:top w:w="0" w:type="dxa"/>
            <w:left w:w="108" w:type="dxa"/>
            <w:bottom w:w="0" w:type="dxa"/>
            <w:right w:w="108" w:type="dxa"/>
          </w:tblCellMar>
        </w:tblPrEx>
        <w:tc>
          <w:tcPr>
            <w:tcW w:w="8848" w:type="dxa"/>
            <w:gridSpan w:val="14"/>
            <w:vAlign w:val="center"/>
          </w:tcPr>
          <w:p w14:paraId="662510AB">
            <w:pPr>
              <w:jc w:val="center"/>
            </w:pPr>
            <w:r>
              <w:rPr>
                <w:rFonts w:ascii="宋体" w:hAnsi="宋体" w:eastAsia="宋体"/>
                <w:sz w:val="24"/>
              </w:rPr>
              <w:t>项目支出绩效自评表</w:t>
            </w:r>
          </w:p>
        </w:tc>
      </w:tr>
      <w:tr w14:paraId="32707E78">
        <w:tblPrEx>
          <w:tblCellMar>
            <w:top w:w="0" w:type="dxa"/>
            <w:left w:w="108" w:type="dxa"/>
            <w:bottom w:w="0" w:type="dxa"/>
            <w:right w:w="108" w:type="dxa"/>
          </w:tblCellMar>
        </w:tblPrEx>
        <w:tc>
          <w:tcPr>
            <w:tcW w:w="8848" w:type="dxa"/>
            <w:gridSpan w:val="14"/>
            <w:vAlign w:val="center"/>
          </w:tcPr>
          <w:p w14:paraId="635F8565">
            <w:pPr>
              <w:jc w:val="center"/>
            </w:pPr>
            <w:r>
              <w:rPr>
                <w:rFonts w:ascii="宋体" w:hAnsi="宋体" w:eastAsia="宋体"/>
                <w:sz w:val="24"/>
              </w:rPr>
              <w:t>(2024年度)</w:t>
            </w:r>
          </w:p>
        </w:tc>
      </w:tr>
      <w:tr w14:paraId="19CD49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20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5B0863">
            <w:pPr>
              <w:jc w:val="center"/>
            </w:pPr>
            <w:r>
              <w:rPr>
                <w:rFonts w:ascii="宋体" w:hAnsi="宋体" w:eastAsia="宋体"/>
                <w:sz w:val="16"/>
              </w:rPr>
              <w:t>2024年参加举办竞技体育、群众体育比赛及培训项目</w:t>
            </w:r>
          </w:p>
        </w:tc>
      </w:tr>
      <w:tr w14:paraId="441BCB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58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8BA9D">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BA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CFC1B3">
            <w:pPr>
              <w:jc w:val="center"/>
            </w:pPr>
            <w:r>
              <w:rPr>
                <w:rFonts w:ascii="宋体" w:hAnsi="宋体" w:eastAsia="宋体"/>
                <w:sz w:val="16"/>
              </w:rPr>
              <w:t>新疆维吾尔自治区喀什地区体育局</w:t>
            </w:r>
          </w:p>
        </w:tc>
      </w:tr>
      <w:tr w14:paraId="345234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024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56F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539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23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F2B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CEE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EEA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145B">
            <w:pPr>
              <w:jc w:val="center"/>
            </w:pPr>
            <w:r>
              <w:rPr>
                <w:rFonts w:ascii="宋体" w:hAnsi="宋体" w:eastAsia="宋体"/>
                <w:sz w:val="16"/>
              </w:rPr>
              <w:t>得分</w:t>
            </w:r>
          </w:p>
        </w:tc>
      </w:tr>
      <w:tr w14:paraId="3B1F7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997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CF2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C2C74">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E9E21">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15DA2">
            <w:pPr>
              <w:jc w:val="center"/>
            </w:pPr>
            <w:r>
              <w:rPr>
                <w:rFonts w:ascii="宋体" w:hAnsi="宋体" w:eastAsia="宋体"/>
                <w:sz w:val="16"/>
              </w:rPr>
              <w:t>178.45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AD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36AD1">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CB09">
            <w:pPr>
              <w:jc w:val="center"/>
            </w:pPr>
            <w:r>
              <w:rPr>
                <w:rFonts w:ascii="宋体" w:hAnsi="宋体" w:eastAsia="宋体"/>
                <w:sz w:val="16"/>
              </w:rPr>
              <w:t>9.79分</w:t>
            </w:r>
          </w:p>
        </w:tc>
      </w:tr>
      <w:tr w14:paraId="728EE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847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CC1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82153">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B66C">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CE2F4">
            <w:pPr>
              <w:jc w:val="center"/>
            </w:pPr>
            <w:r>
              <w:rPr>
                <w:rFonts w:ascii="宋体" w:hAnsi="宋体" w:eastAsia="宋体"/>
                <w:sz w:val="16"/>
              </w:rPr>
              <w:t>178.45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A6F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5B0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2D70">
            <w:pPr>
              <w:jc w:val="center"/>
            </w:pPr>
            <w:r>
              <w:rPr>
                <w:rFonts w:ascii="宋体" w:hAnsi="宋体" w:eastAsia="宋体"/>
                <w:sz w:val="16"/>
              </w:rPr>
              <w:t>—</w:t>
            </w:r>
          </w:p>
        </w:tc>
      </w:tr>
      <w:tr w14:paraId="7C1DA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305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2BC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0CE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BDE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88B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F8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1B8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DEA5">
            <w:pPr>
              <w:jc w:val="center"/>
            </w:pPr>
            <w:r>
              <w:rPr>
                <w:rFonts w:ascii="宋体" w:hAnsi="宋体" w:eastAsia="宋体"/>
                <w:sz w:val="16"/>
              </w:rPr>
              <w:t>—</w:t>
            </w:r>
          </w:p>
        </w:tc>
      </w:tr>
      <w:tr w14:paraId="77F7E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B86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102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59BB57">
            <w:pPr>
              <w:jc w:val="center"/>
            </w:pPr>
            <w:r>
              <w:rPr>
                <w:rFonts w:ascii="宋体" w:hAnsi="宋体" w:eastAsia="宋体"/>
                <w:sz w:val="16"/>
              </w:rPr>
              <w:t>实际完成情况</w:t>
            </w:r>
          </w:p>
        </w:tc>
      </w:tr>
      <w:tr w14:paraId="36841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B5E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A3DE0">
            <w:pPr>
              <w:jc w:val="both"/>
            </w:pPr>
            <w:r>
              <w:rPr>
                <w:rFonts w:ascii="宋体" w:hAnsi="宋体" w:eastAsia="宋体"/>
                <w:sz w:val="16"/>
              </w:rPr>
              <w:t>此项目预计举办竞技体育活动2场次，群众体育活动6场次，举办各类会议培训2场次，参加人数13000余人。项目预算资金180万元，主要用于体育活动专用材料、集训伙食和差旅费等。该项目的实施能有效促进竞技体育发展，推动全民健身活动开展，提高体育指导员和裁判员等体育从业者的业务能力，促进我区体育事业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4C69C7">
            <w:pPr>
              <w:jc w:val="both"/>
            </w:pPr>
            <w:r>
              <w:rPr>
                <w:rFonts w:ascii="宋体" w:hAnsi="宋体" w:eastAsia="宋体"/>
                <w:sz w:val="16"/>
              </w:rPr>
              <w:t>截至目前已完成竞技体育活动2场次，群众体育活动6场次，举办各类会议培训2场次。促进了全民健身事业发展，提高了体育指导员和裁判员等体育从业者的业务能力。</w:t>
            </w:r>
          </w:p>
        </w:tc>
      </w:tr>
      <w:tr w14:paraId="492883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FAB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4D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C7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38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47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9B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F5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B9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625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6D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B8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EE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C49C4">
            <w:pPr>
              <w:jc w:val="center"/>
            </w:pPr>
            <w:r>
              <w:rPr>
                <w:rFonts w:ascii="宋体" w:hAnsi="宋体" w:eastAsia="宋体"/>
                <w:sz w:val="16"/>
              </w:rPr>
              <w:t>偏差原因分析及改进措施</w:t>
            </w:r>
          </w:p>
        </w:tc>
      </w:tr>
      <w:tr w14:paraId="094806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DD5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43B1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127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8DBC">
            <w:pPr>
              <w:jc w:val="center"/>
            </w:pPr>
            <w:r>
              <w:rPr>
                <w:rFonts w:ascii="宋体" w:hAnsi="宋体" w:eastAsia="宋体"/>
                <w:sz w:val="16"/>
              </w:rPr>
              <w:t>参加竞技体育比赛场次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065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297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3F6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07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AE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2A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46B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FA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D2D1F">
            <w:pPr>
              <w:jc w:val="center"/>
            </w:pPr>
          </w:p>
        </w:tc>
      </w:tr>
      <w:tr w14:paraId="418D9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8B0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89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58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C8D4">
            <w:pPr>
              <w:jc w:val="center"/>
            </w:pPr>
            <w:r>
              <w:rPr>
                <w:rFonts w:ascii="宋体" w:hAnsi="宋体" w:eastAsia="宋体"/>
                <w:sz w:val="16"/>
              </w:rPr>
              <w:t>举办群众体育活动场次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EDC3">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1E5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D57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6C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D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AE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EA6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E8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6C34">
            <w:pPr>
              <w:jc w:val="center"/>
            </w:pPr>
          </w:p>
        </w:tc>
      </w:tr>
      <w:tr w14:paraId="0971F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57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E9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F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8BB1">
            <w:pPr>
              <w:jc w:val="center"/>
            </w:pPr>
            <w:r>
              <w:rPr>
                <w:rFonts w:ascii="宋体" w:hAnsi="宋体" w:eastAsia="宋体"/>
                <w:sz w:val="16"/>
              </w:rPr>
              <w:t>举办会议培训场次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B9F7">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F7D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563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32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5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16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BB9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43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8F7F3">
            <w:pPr>
              <w:jc w:val="center"/>
            </w:pPr>
          </w:p>
        </w:tc>
      </w:tr>
      <w:tr w14:paraId="253C2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CC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04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D8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150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7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B39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F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6A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2D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C8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F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BD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F8EE0">
            <w:pPr>
              <w:jc w:val="center"/>
            </w:pPr>
          </w:p>
        </w:tc>
      </w:tr>
      <w:tr w14:paraId="069BA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90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A0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B3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47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94B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58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EF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03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2C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ED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63D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37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5A45A">
            <w:pPr>
              <w:jc w:val="center"/>
            </w:pPr>
          </w:p>
        </w:tc>
      </w:tr>
      <w:tr w14:paraId="76716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5C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DF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E5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5D5A">
            <w:pPr>
              <w:jc w:val="center"/>
            </w:pPr>
            <w:r>
              <w:rPr>
                <w:rFonts w:ascii="宋体" w:hAnsi="宋体" w:eastAsia="宋体"/>
                <w:sz w:val="16"/>
              </w:rPr>
              <w:t>平均每次活动成本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D742">
            <w:pPr>
              <w:jc w:val="center"/>
            </w:pPr>
            <w:r>
              <w:rPr>
                <w:rFonts w:ascii="宋体" w:hAnsi="宋体" w:eastAsia="宋体"/>
                <w:sz w:val="16"/>
              </w:rPr>
              <w:t>&lt;=18万元/次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0BB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CB8E">
            <w:pPr>
              <w:jc w:val="center"/>
            </w:pPr>
            <w:r>
              <w:rPr>
                <w:rFonts w:ascii="宋体" w:hAnsi="宋体" w:eastAsia="宋体"/>
                <w:sz w:val="16"/>
              </w:rPr>
              <w:t>17.4万元/次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53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D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93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034B">
            <w:pPr>
              <w:jc w:val="center"/>
            </w:pPr>
            <w:r>
              <w:rPr>
                <w:rFonts w:ascii="宋体" w:hAnsi="宋体" w:eastAsia="宋体"/>
                <w:sz w:val="16"/>
              </w:rPr>
              <w:t>=17.85万元/次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D5E9">
            <w:pPr>
              <w:jc w:val="center"/>
            </w:pPr>
            <w:r>
              <w:rPr>
                <w:rFonts w:ascii="宋体" w:hAnsi="宋体" w:eastAsia="宋体"/>
                <w:sz w:val="16"/>
              </w:rPr>
              <w:t>19.59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BACAE">
            <w:pPr>
              <w:jc w:val="center"/>
            </w:pPr>
            <w:r>
              <w:rPr>
                <w:rFonts w:ascii="宋体" w:hAnsi="宋体" w:eastAsia="宋体"/>
                <w:sz w:val="16"/>
              </w:rPr>
              <w:t>偏差原因：项目预算编制不精准，导致平均每次活动成本低于预算金额。改进措施：今后加强预算编制，提高预算编制准确率。</w:t>
            </w:r>
          </w:p>
        </w:tc>
      </w:tr>
      <w:tr w14:paraId="52AAC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D0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C7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2F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164F">
            <w:pPr>
              <w:jc w:val="center"/>
            </w:pPr>
            <w:r>
              <w:rPr>
                <w:rFonts w:ascii="宋体" w:hAnsi="宋体" w:eastAsia="宋体"/>
                <w:sz w:val="16"/>
              </w:rPr>
              <w:t>提高体育指导员、裁判员等体育从业者的业务能力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A0A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E49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31D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35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81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CC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6E5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E8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D707">
            <w:pPr>
              <w:jc w:val="center"/>
            </w:pPr>
          </w:p>
        </w:tc>
      </w:tr>
      <w:tr w14:paraId="04216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BF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A7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4F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9F56">
            <w:pPr>
              <w:jc w:val="center"/>
            </w:pPr>
            <w:r>
              <w:rPr>
                <w:rFonts w:ascii="宋体" w:hAnsi="宋体" w:eastAsia="宋体"/>
                <w:sz w:val="16"/>
              </w:rPr>
              <w:t>参加体育活动人员满意度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EC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740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E0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9F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D4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F9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B20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B1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B15EF">
            <w:pPr>
              <w:jc w:val="center"/>
            </w:pPr>
          </w:p>
        </w:tc>
      </w:tr>
      <w:tr w14:paraId="58339A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A5B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3E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A37C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E00D">
            <w:pPr>
              <w:jc w:val="center"/>
            </w:pPr>
            <w:r>
              <w:rPr>
                <w:rFonts w:ascii="宋体" w:hAnsi="宋体" w:eastAsia="宋体"/>
                <w:sz w:val="16"/>
              </w:rPr>
              <w:t>99.38分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AA1E12"/>
        </w:tc>
      </w:tr>
    </w:tbl>
    <w:p w14:paraId="1523618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776"/>
        <w:gridCol w:w="632"/>
        <w:gridCol w:w="614"/>
        <w:gridCol w:w="633"/>
      </w:tblGrid>
      <w:tr w14:paraId="3DD04256">
        <w:tblPrEx>
          <w:tblCellMar>
            <w:top w:w="0" w:type="dxa"/>
            <w:left w:w="108" w:type="dxa"/>
            <w:bottom w:w="0" w:type="dxa"/>
            <w:right w:w="108" w:type="dxa"/>
          </w:tblCellMar>
        </w:tblPrEx>
        <w:tc>
          <w:tcPr>
            <w:tcW w:w="8848" w:type="dxa"/>
            <w:gridSpan w:val="14"/>
            <w:vAlign w:val="center"/>
          </w:tcPr>
          <w:p w14:paraId="29C1C4EB">
            <w:pPr>
              <w:jc w:val="center"/>
            </w:pPr>
            <w:r>
              <w:rPr>
                <w:rFonts w:ascii="宋体" w:hAnsi="宋体" w:eastAsia="宋体"/>
                <w:sz w:val="24"/>
              </w:rPr>
              <w:t>项目支出绩效自评表</w:t>
            </w:r>
          </w:p>
        </w:tc>
      </w:tr>
      <w:tr w14:paraId="69482473">
        <w:tblPrEx>
          <w:tblCellMar>
            <w:top w:w="0" w:type="dxa"/>
            <w:left w:w="108" w:type="dxa"/>
            <w:bottom w:w="0" w:type="dxa"/>
            <w:right w:w="108" w:type="dxa"/>
          </w:tblCellMar>
        </w:tblPrEx>
        <w:tc>
          <w:tcPr>
            <w:tcW w:w="8848" w:type="dxa"/>
            <w:gridSpan w:val="14"/>
            <w:vAlign w:val="center"/>
          </w:tcPr>
          <w:p w14:paraId="39C67372">
            <w:pPr>
              <w:jc w:val="center"/>
            </w:pPr>
            <w:r>
              <w:rPr>
                <w:rFonts w:ascii="宋体" w:hAnsi="宋体" w:eastAsia="宋体"/>
                <w:sz w:val="24"/>
              </w:rPr>
              <w:t>(2024年度)</w:t>
            </w:r>
          </w:p>
        </w:tc>
      </w:tr>
      <w:tr w14:paraId="7183B7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6C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3338BE">
            <w:pPr>
              <w:jc w:val="center"/>
            </w:pPr>
            <w:r>
              <w:rPr>
                <w:rFonts w:ascii="宋体" w:hAnsi="宋体" w:eastAsia="宋体"/>
                <w:sz w:val="16"/>
              </w:rPr>
              <w:t>2024年地区体育馆房屋安全性重新鉴定项目</w:t>
            </w:r>
          </w:p>
        </w:tc>
      </w:tr>
      <w:tr w14:paraId="0A6FD2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5D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D3F87">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9E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518D31">
            <w:pPr>
              <w:jc w:val="center"/>
            </w:pPr>
            <w:r>
              <w:rPr>
                <w:rFonts w:ascii="宋体" w:hAnsi="宋体" w:eastAsia="宋体"/>
                <w:sz w:val="16"/>
              </w:rPr>
              <w:t>新疆维吾尔自治区喀什地区体育局</w:t>
            </w:r>
          </w:p>
        </w:tc>
      </w:tr>
      <w:tr w14:paraId="4EF58A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CD6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7DF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69C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558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4F1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719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17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1BB0">
            <w:pPr>
              <w:jc w:val="center"/>
            </w:pPr>
            <w:r>
              <w:rPr>
                <w:rFonts w:ascii="宋体" w:hAnsi="宋体" w:eastAsia="宋体"/>
                <w:sz w:val="16"/>
              </w:rPr>
              <w:t>得分</w:t>
            </w:r>
          </w:p>
        </w:tc>
      </w:tr>
      <w:tr w14:paraId="27F58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FDE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3E0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674A2">
            <w:pPr>
              <w:jc w:val="center"/>
            </w:pPr>
            <w:r>
              <w:rPr>
                <w:rFonts w:ascii="宋体" w:hAnsi="宋体" w:eastAsia="宋体"/>
                <w:sz w:val="16"/>
              </w:rPr>
              <w:t>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EA767">
            <w:pPr>
              <w:jc w:val="center"/>
            </w:pPr>
            <w:r>
              <w:rPr>
                <w:rFonts w:ascii="宋体" w:hAnsi="宋体" w:eastAsia="宋体"/>
                <w:sz w:val="16"/>
              </w:rPr>
              <w:t>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1741E">
            <w:pPr>
              <w:jc w:val="center"/>
            </w:pPr>
            <w:r>
              <w:rPr>
                <w:rFonts w:ascii="宋体" w:hAnsi="宋体" w:eastAsia="宋体"/>
                <w:sz w:val="16"/>
              </w:rPr>
              <w:t>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EA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4FE0A">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939A">
            <w:pPr>
              <w:jc w:val="center"/>
            </w:pPr>
            <w:r>
              <w:rPr>
                <w:rFonts w:ascii="宋体" w:hAnsi="宋体" w:eastAsia="宋体"/>
                <w:sz w:val="16"/>
              </w:rPr>
              <w:t>10.00分</w:t>
            </w:r>
          </w:p>
        </w:tc>
      </w:tr>
      <w:tr w14:paraId="1D2FB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BC5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45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A107D">
            <w:pPr>
              <w:jc w:val="center"/>
            </w:pPr>
            <w:r>
              <w:rPr>
                <w:rFonts w:ascii="宋体" w:hAnsi="宋体" w:eastAsia="宋体"/>
                <w:sz w:val="16"/>
              </w:rPr>
              <w:t>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B3B98">
            <w:pPr>
              <w:jc w:val="center"/>
            </w:pPr>
            <w:r>
              <w:rPr>
                <w:rFonts w:ascii="宋体" w:hAnsi="宋体" w:eastAsia="宋体"/>
                <w:sz w:val="16"/>
              </w:rPr>
              <w:t>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A42E">
            <w:pPr>
              <w:jc w:val="center"/>
            </w:pPr>
            <w:r>
              <w:rPr>
                <w:rFonts w:ascii="宋体" w:hAnsi="宋体" w:eastAsia="宋体"/>
                <w:sz w:val="16"/>
              </w:rPr>
              <w:t>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CC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3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300C">
            <w:pPr>
              <w:jc w:val="center"/>
            </w:pPr>
            <w:r>
              <w:rPr>
                <w:rFonts w:ascii="宋体" w:hAnsi="宋体" w:eastAsia="宋体"/>
                <w:sz w:val="16"/>
              </w:rPr>
              <w:t>—</w:t>
            </w:r>
          </w:p>
        </w:tc>
      </w:tr>
      <w:tr w14:paraId="15355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6B2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1A3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2B7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5BB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D00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654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AA6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8E31">
            <w:pPr>
              <w:jc w:val="center"/>
            </w:pPr>
            <w:r>
              <w:rPr>
                <w:rFonts w:ascii="宋体" w:hAnsi="宋体" w:eastAsia="宋体"/>
                <w:sz w:val="16"/>
              </w:rPr>
              <w:t>—</w:t>
            </w:r>
          </w:p>
        </w:tc>
      </w:tr>
      <w:tr w14:paraId="661BA9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28A7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F23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2398F2">
            <w:pPr>
              <w:jc w:val="center"/>
            </w:pPr>
            <w:r>
              <w:rPr>
                <w:rFonts w:ascii="宋体" w:hAnsi="宋体" w:eastAsia="宋体"/>
                <w:sz w:val="16"/>
              </w:rPr>
              <w:t>实际完成情况</w:t>
            </w:r>
          </w:p>
        </w:tc>
      </w:tr>
      <w:tr w14:paraId="6B72C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FFC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3AB9C">
            <w:pPr>
              <w:jc w:val="both"/>
            </w:pPr>
            <w:r>
              <w:rPr>
                <w:rFonts w:ascii="宋体" w:hAnsi="宋体" w:eastAsia="宋体"/>
                <w:sz w:val="16"/>
              </w:rPr>
              <w:t>聘请具有专业资质的第三方对1个5074平方米的体育馆进行房屋安全鉴定，消除体育馆潜在安全隐患，确保来馆锻炼健身人员人身安全。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697E3">
            <w:pPr>
              <w:jc w:val="both"/>
            </w:pPr>
            <w:r>
              <w:rPr>
                <w:rFonts w:ascii="宋体" w:hAnsi="宋体" w:eastAsia="宋体"/>
                <w:sz w:val="16"/>
              </w:rPr>
              <w:t>完成对1个5049.2平方米的体育馆进行房屋安全鉴定。排除了体育馆潜在安全隐患，有效保护了来馆锻炼健身人员人身安全。</w:t>
            </w:r>
          </w:p>
        </w:tc>
      </w:tr>
      <w:tr w14:paraId="09DF4F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AD9C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AE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CD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1D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ED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DB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45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A3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20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5C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F75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59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0D3E">
            <w:pPr>
              <w:jc w:val="center"/>
            </w:pPr>
            <w:r>
              <w:rPr>
                <w:rFonts w:ascii="宋体" w:hAnsi="宋体" w:eastAsia="宋体"/>
                <w:sz w:val="16"/>
              </w:rPr>
              <w:t>偏差原因分析及改进措施</w:t>
            </w:r>
          </w:p>
        </w:tc>
      </w:tr>
      <w:tr w14:paraId="71B421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E61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8C63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339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233F">
            <w:pPr>
              <w:jc w:val="center"/>
            </w:pPr>
            <w:r>
              <w:rPr>
                <w:rFonts w:ascii="宋体" w:hAnsi="宋体" w:eastAsia="宋体"/>
                <w:sz w:val="16"/>
              </w:rPr>
              <w:t>场馆鉴定数量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90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6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64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CE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D1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0F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A01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14E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CFC9A">
            <w:pPr>
              <w:jc w:val="center"/>
            </w:pPr>
          </w:p>
        </w:tc>
      </w:tr>
      <w:tr w14:paraId="43E3A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437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EC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F7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84A7">
            <w:pPr>
              <w:jc w:val="center"/>
            </w:pPr>
            <w:r>
              <w:rPr>
                <w:rFonts w:ascii="宋体" w:hAnsi="宋体" w:eastAsia="宋体"/>
                <w:sz w:val="16"/>
              </w:rPr>
              <w:t>鉴定场馆平方数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F8DB">
            <w:pPr>
              <w:jc w:val="center"/>
            </w:pPr>
            <w:r>
              <w:rPr>
                <w:rFonts w:ascii="宋体" w:hAnsi="宋体" w:eastAsia="宋体"/>
                <w:sz w:val="16"/>
              </w:rPr>
              <w:t>=5074平方米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9C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C5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C7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A5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9B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0F11">
            <w:pPr>
              <w:jc w:val="center"/>
            </w:pPr>
            <w:r>
              <w:rPr>
                <w:rFonts w:ascii="宋体" w:hAnsi="宋体" w:eastAsia="宋体"/>
                <w:sz w:val="16"/>
              </w:rPr>
              <w:t>=5049.2平方米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12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6541">
            <w:pPr>
              <w:jc w:val="center"/>
            </w:pPr>
            <w:r>
              <w:rPr>
                <w:rFonts w:ascii="宋体" w:hAnsi="宋体" w:eastAsia="宋体"/>
                <w:sz w:val="16"/>
              </w:rPr>
              <w:t>偏差原因：鉴定场馆面积与年初预计面积稍有偏差，改进措施：精准测量面积数据</w:t>
            </w:r>
          </w:p>
        </w:tc>
      </w:tr>
      <w:tr w14:paraId="195E1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6F4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DD2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FD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0BB6">
            <w:pPr>
              <w:jc w:val="center"/>
            </w:pPr>
            <w:r>
              <w:rPr>
                <w:rFonts w:ascii="宋体" w:hAnsi="宋体" w:eastAsia="宋体"/>
                <w:sz w:val="16"/>
              </w:rPr>
              <w:t>场馆鉴定结果合格率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90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D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0B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DB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E2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2F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E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CA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AEF26">
            <w:pPr>
              <w:jc w:val="center"/>
            </w:pPr>
          </w:p>
        </w:tc>
      </w:tr>
      <w:tr w14:paraId="56ADB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03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CC2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BCC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94A8">
            <w:pPr>
              <w:jc w:val="center"/>
            </w:pPr>
            <w:r>
              <w:rPr>
                <w:rFonts w:ascii="宋体" w:hAnsi="宋体" w:eastAsia="宋体"/>
                <w:sz w:val="16"/>
              </w:rPr>
              <w:t>场馆鉴定开工及时率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294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9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74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1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2F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C1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D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CAB4">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FAE66">
            <w:pPr>
              <w:jc w:val="center"/>
            </w:pPr>
            <w:r>
              <w:rPr>
                <w:rFonts w:ascii="宋体" w:hAnsi="宋体" w:eastAsia="宋体"/>
                <w:sz w:val="16"/>
              </w:rPr>
              <w:t>偏差原因：对于场馆鉴定工作及时开展</w:t>
            </w:r>
          </w:p>
        </w:tc>
      </w:tr>
      <w:tr w14:paraId="045D1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E4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4F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E38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9E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9BC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63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7BE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7D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DAB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89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C583">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BF1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11C6">
            <w:pPr>
              <w:jc w:val="center"/>
            </w:pPr>
          </w:p>
        </w:tc>
      </w:tr>
      <w:tr w14:paraId="0DD58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DD8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0BD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E4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BE3F">
            <w:pPr>
              <w:jc w:val="center"/>
            </w:pPr>
            <w:r>
              <w:rPr>
                <w:rFonts w:ascii="宋体" w:hAnsi="宋体" w:eastAsia="宋体"/>
                <w:sz w:val="16"/>
              </w:rPr>
              <w:t>房屋安全鉴定每平</w:t>
            </w:r>
            <w:r>
              <w:rPr>
                <w:rFonts w:hint="eastAsia" w:ascii="宋体" w:hAnsi="宋体"/>
                <w:sz w:val="16"/>
                <w:lang w:eastAsia="zh-CN"/>
              </w:rPr>
              <w:t>方米</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5C2A">
            <w:pPr>
              <w:jc w:val="center"/>
            </w:pPr>
            <w:r>
              <w:rPr>
                <w:rFonts w:ascii="宋体" w:hAnsi="宋体" w:eastAsia="宋体"/>
                <w:sz w:val="16"/>
              </w:rPr>
              <w:t>&lt;=44.78元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3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22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B5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13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49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4F7E">
            <w:pPr>
              <w:jc w:val="center"/>
            </w:pPr>
            <w:r>
              <w:rPr>
                <w:rFonts w:ascii="宋体" w:hAnsi="宋体" w:eastAsia="宋体"/>
                <w:sz w:val="16"/>
              </w:rPr>
              <w:t>=44.48元78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2436">
            <w:pPr>
              <w:jc w:val="center"/>
            </w:pPr>
            <w:r>
              <w:rPr>
                <w:rFonts w:ascii="宋体" w:hAnsi="宋体" w:eastAsia="宋体"/>
                <w:sz w:val="16"/>
              </w:rPr>
              <w:t>19.62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4BDC2">
            <w:pPr>
              <w:jc w:val="center"/>
            </w:pPr>
            <w:r>
              <w:rPr>
                <w:rFonts w:ascii="宋体" w:hAnsi="宋体" w:eastAsia="宋体"/>
                <w:sz w:val="16"/>
              </w:rPr>
              <w:t>偏差原因：项目预算不精准，房屋安全鉴定每平方成本低于预算。改进措施：加强项目预算编制准确性。</w:t>
            </w:r>
          </w:p>
        </w:tc>
      </w:tr>
      <w:tr w14:paraId="45CC0A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63F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44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16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5381">
            <w:pPr>
              <w:jc w:val="center"/>
            </w:pPr>
            <w:r>
              <w:rPr>
                <w:rFonts w:ascii="宋体" w:hAnsi="宋体" w:eastAsia="宋体"/>
                <w:sz w:val="16"/>
              </w:rPr>
              <w:t>消除安全隐患，确保公共场所安全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4655">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3C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04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8A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31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F1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34D8C">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95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11112">
            <w:pPr>
              <w:jc w:val="center"/>
            </w:pPr>
          </w:p>
        </w:tc>
      </w:tr>
      <w:tr w14:paraId="45D05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B1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28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1E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403B">
            <w:pPr>
              <w:jc w:val="center"/>
            </w:pPr>
            <w:r>
              <w:rPr>
                <w:rFonts w:ascii="宋体" w:hAnsi="宋体" w:eastAsia="宋体"/>
                <w:sz w:val="16"/>
              </w:rPr>
              <w:t>参加体育活动群众满意度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09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5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B2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C2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5A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D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EA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E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C6A5">
            <w:pPr>
              <w:jc w:val="center"/>
            </w:pPr>
          </w:p>
        </w:tc>
      </w:tr>
      <w:tr w14:paraId="71B452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CCFB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E67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93C3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4E64">
            <w:pPr>
              <w:jc w:val="center"/>
            </w:pPr>
            <w:r>
              <w:rPr>
                <w:rFonts w:ascii="宋体" w:hAnsi="宋体" w:eastAsia="宋体"/>
                <w:sz w:val="16"/>
              </w:rPr>
              <w:t>91.22分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8CDC4C"/>
        </w:tc>
      </w:tr>
    </w:tbl>
    <w:p w14:paraId="61566E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721D210">
        <w:tc>
          <w:tcPr>
            <w:tcW w:w="8848" w:type="dxa"/>
            <w:gridSpan w:val="14"/>
            <w:vAlign w:val="center"/>
          </w:tcPr>
          <w:p w14:paraId="522318A7">
            <w:pPr>
              <w:jc w:val="center"/>
            </w:pPr>
            <w:r>
              <w:rPr>
                <w:rFonts w:ascii="宋体" w:hAnsi="宋体" w:eastAsia="宋体"/>
                <w:sz w:val="24"/>
              </w:rPr>
              <w:t>项目支出绩效自评表</w:t>
            </w:r>
          </w:p>
        </w:tc>
      </w:tr>
      <w:tr w14:paraId="1ECA756F">
        <w:tblPrEx>
          <w:tblCellMar>
            <w:top w:w="0" w:type="dxa"/>
            <w:left w:w="108" w:type="dxa"/>
            <w:bottom w:w="0" w:type="dxa"/>
            <w:right w:w="108" w:type="dxa"/>
          </w:tblCellMar>
        </w:tblPrEx>
        <w:tc>
          <w:tcPr>
            <w:tcW w:w="8848" w:type="dxa"/>
            <w:gridSpan w:val="14"/>
            <w:vAlign w:val="center"/>
          </w:tcPr>
          <w:p w14:paraId="0A924E3E">
            <w:pPr>
              <w:jc w:val="center"/>
            </w:pPr>
            <w:r>
              <w:rPr>
                <w:rFonts w:ascii="宋体" w:hAnsi="宋体" w:eastAsia="宋体"/>
                <w:sz w:val="24"/>
              </w:rPr>
              <w:t>(2024年度)</w:t>
            </w:r>
          </w:p>
        </w:tc>
      </w:tr>
      <w:tr w14:paraId="0F7C1F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EC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C661E4">
            <w:pPr>
              <w:jc w:val="center"/>
            </w:pPr>
            <w:r>
              <w:rPr>
                <w:rFonts w:ascii="宋体" w:hAnsi="宋体" w:eastAsia="宋体"/>
                <w:sz w:val="16"/>
              </w:rPr>
              <w:t>2024年干部周转房项目</w:t>
            </w:r>
          </w:p>
        </w:tc>
      </w:tr>
      <w:tr w14:paraId="77E014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A2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3E9E1">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7D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C0B065">
            <w:pPr>
              <w:jc w:val="center"/>
            </w:pPr>
            <w:r>
              <w:rPr>
                <w:rFonts w:ascii="宋体" w:hAnsi="宋体" w:eastAsia="宋体"/>
                <w:sz w:val="16"/>
              </w:rPr>
              <w:t>新疆维吾尔自治区喀什地区体育局</w:t>
            </w:r>
          </w:p>
        </w:tc>
      </w:tr>
      <w:tr w14:paraId="7D66A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319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03E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C2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BC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46F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5D9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7E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5821">
            <w:pPr>
              <w:jc w:val="center"/>
            </w:pPr>
            <w:r>
              <w:rPr>
                <w:rFonts w:ascii="宋体" w:hAnsi="宋体" w:eastAsia="宋体"/>
                <w:sz w:val="16"/>
              </w:rPr>
              <w:t>得分</w:t>
            </w:r>
          </w:p>
        </w:tc>
      </w:tr>
      <w:tr w14:paraId="6FC34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26E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4A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ADE27">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BA70C">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EFC17">
            <w:pPr>
              <w:jc w:val="center"/>
            </w:pPr>
            <w:r>
              <w:rPr>
                <w:rFonts w:ascii="宋体" w:hAnsi="宋体" w:eastAsia="宋体"/>
                <w:sz w:val="16"/>
              </w:rPr>
              <w:t>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554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00DCF">
            <w:pPr>
              <w:jc w:val="center"/>
            </w:pPr>
            <w:r>
              <w:rPr>
                <w:rFonts w:ascii="宋体" w:hAnsi="宋体" w:eastAsia="宋体"/>
                <w:sz w:val="16"/>
              </w:rPr>
              <w:t>73.4%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CDF3">
            <w:pPr>
              <w:jc w:val="center"/>
            </w:pPr>
            <w:r>
              <w:rPr>
                <w:rFonts w:ascii="宋体" w:hAnsi="宋体" w:eastAsia="宋体"/>
                <w:sz w:val="16"/>
              </w:rPr>
              <w:t>3.35分</w:t>
            </w:r>
          </w:p>
        </w:tc>
      </w:tr>
      <w:tr w14:paraId="7413C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538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62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B2225">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6D0A7">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C4ACD">
            <w:pPr>
              <w:jc w:val="center"/>
            </w:pPr>
            <w:r>
              <w:rPr>
                <w:rFonts w:ascii="宋体" w:hAnsi="宋体" w:eastAsia="宋体"/>
                <w:sz w:val="16"/>
              </w:rPr>
              <w:t>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A6D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DF3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9098">
            <w:pPr>
              <w:jc w:val="center"/>
            </w:pPr>
            <w:r>
              <w:rPr>
                <w:rFonts w:ascii="宋体" w:hAnsi="宋体" w:eastAsia="宋体"/>
                <w:sz w:val="16"/>
              </w:rPr>
              <w:t>—</w:t>
            </w:r>
          </w:p>
        </w:tc>
      </w:tr>
      <w:tr w14:paraId="255EF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B48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A7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F8D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3D3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D1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1B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CBF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9126">
            <w:pPr>
              <w:jc w:val="center"/>
            </w:pPr>
            <w:r>
              <w:rPr>
                <w:rFonts w:ascii="宋体" w:hAnsi="宋体" w:eastAsia="宋体"/>
                <w:sz w:val="16"/>
              </w:rPr>
              <w:t>—</w:t>
            </w:r>
          </w:p>
        </w:tc>
      </w:tr>
      <w:tr w14:paraId="7D1708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0FA1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AC99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ECF0D">
            <w:pPr>
              <w:jc w:val="center"/>
            </w:pPr>
            <w:r>
              <w:rPr>
                <w:rFonts w:ascii="宋体" w:hAnsi="宋体" w:eastAsia="宋体"/>
                <w:sz w:val="16"/>
              </w:rPr>
              <w:t>实际完成情况</w:t>
            </w:r>
          </w:p>
        </w:tc>
      </w:tr>
      <w:tr w14:paraId="10476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17C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DA7A4">
            <w:pPr>
              <w:jc w:val="both"/>
            </w:pPr>
            <w:r>
              <w:rPr>
                <w:rFonts w:ascii="宋体" w:hAnsi="宋体" w:eastAsia="宋体"/>
                <w:sz w:val="16"/>
              </w:rPr>
              <w:t>根据地区《关于地区处级干部周转住房的相关规定（暂行）》要求，地委组织部给我局新任命3名处级领导干部3间周转房，每间房每年租金1.728万元。做好新任命处级领导干部的服务保障，从人文关怀上着力解决生活，工作上存在的困难，帮助新任命处级领导</w:t>
            </w:r>
            <w:r>
              <w:rPr>
                <w:rFonts w:hint="eastAsia" w:ascii="宋体" w:hAnsi="宋体"/>
                <w:sz w:val="16"/>
                <w:lang w:val="en-US" w:eastAsia="zh-CN"/>
              </w:rPr>
              <w:t>牢固思想</w:t>
            </w:r>
            <w:r>
              <w:rPr>
                <w:rFonts w:ascii="宋体" w:hAnsi="宋体" w:eastAsia="宋体"/>
                <w:sz w:val="16"/>
              </w:rPr>
              <w:t>，尽快熟悉工作业务，顺利</w:t>
            </w:r>
            <w:r>
              <w:rPr>
                <w:rFonts w:hint="eastAsia" w:ascii="宋体" w:hAnsi="宋体"/>
                <w:sz w:val="16"/>
                <w:lang w:eastAsia="zh-CN"/>
              </w:rPr>
              <w:t>度过适应期</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219C32">
            <w:pPr>
              <w:jc w:val="both"/>
            </w:pPr>
            <w:r>
              <w:rPr>
                <w:rFonts w:ascii="宋体" w:hAnsi="宋体" w:eastAsia="宋体"/>
                <w:sz w:val="16"/>
              </w:rPr>
              <w:br w:type="textWrapping"/>
            </w:r>
            <w:r>
              <w:rPr>
                <w:rFonts w:ascii="宋体" w:hAnsi="宋体" w:eastAsia="宋体"/>
                <w:sz w:val="16"/>
              </w:rPr>
              <w:t>2024年共安置新任命处级领导干部周转房3间，安置政策覆盖率100%。已支付两间房房租1.27万元。做好了新任命处级干部的服务保障，从人文关怀上着力解决生活，工作上存在的困难，帮助干部思想</w:t>
            </w:r>
            <w:r>
              <w:rPr>
                <w:rFonts w:hint="eastAsia" w:ascii="宋体" w:hAnsi="宋体"/>
                <w:sz w:val="16"/>
                <w:lang w:val="en-US" w:eastAsia="zh-CN"/>
              </w:rPr>
              <w:t>牢固</w:t>
            </w:r>
            <w:r>
              <w:rPr>
                <w:rFonts w:ascii="宋体" w:hAnsi="宋体" w:eastAsia="宋体"/>
                <w:sz w:val="16"/>
              </w:rPr>
              <w:t>，尽快熟悉工作业务，顺利</w:t>
            </w:r>
            <w:r>
              <w:rPr>
                <w:rFonts w:hint="eastAsia" w:ascii="宋体" w:hAnsi="宋体"/>
                <w:sz w:val="16"/>
                <w:lang w:eastAsia="zh-CN"/>
              </w:rPr>
              <w:t>度过适应期</w:t>
            </w:r>
            <w:r>
              <w:rPr>
                <w:rFonts w:ascii="宋体" w:hAnsi="宋体" w:eastAsia="宋体"/>
                <w:sz w:val="16"/>
              </w:rPr>
              <w:t>。</w:t>
            </w:r>
          </w:p>
        </w:tc>
      </w:tr>
      <w:tr w14:paraId="623D7A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CC1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35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4B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2F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9D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21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D1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4F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6A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2F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06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D5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6A1A9">
            <w:pPr>
              <w:jc w:val="center"/>
            </w:pPr>
            <w:r>
              <w:rPr>
                <w:rFonts w:ascii="宋体" w:hAnsi="宋体" w:eastAsia="宋体"/>
                <w:sz w:val="16"/>
              </w:rPr>
              <w:t>偏差原因分析及改进措施</w:t>
            </w:r>
          </w:p>
        </w:tc>
      </w:tr>
      <w:tr w14:paraId="43BC86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1E9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0DDB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64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19B5">
            <w:pPr>
              <w:jc w:val="center"/>
            </w:pPr>
            <w:r>
              <w:rPr>
                <w:rFonts w:ascii="宋体" w:hAnsi="宋体" w:eastAsia="宋体"/>
                <w:sz w:val="16"/>
              </w:rPr>
              <w:t>新任命处级领导干部周转房数量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7D0D">
            <w:pPr>
              <w:jc w:val="center"/>
            </w:pPr>
            <w:r>
              <w:rPr>
                <w:rFonts w:ascii="宋体" w:hAnsi="宋体" w:eastAsia="宋体"/>
                <w:sz w:val="16"/>
              </w:rPr>
              <w: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064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9792">
            <w:pPr>
              <w:jc w:val="center"/>
            </w:pPr>
            <w:r>
              <w:rPr>
                <w:rFonts w:ascii="宋体" w:hAnsi="宋体" w:eastAsia="宋体"/>
                <w:sz w:val="16"/>
              </w:rPr>
              <w: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F7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3A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D1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67D6">
            <w:pPr>
              <w:jc w:val="center"/>
            </w:pPr>
            <w:r>
              <w:rPr>
                <w:rFonts w:ascii="宋体" w:hAnsi="宋体" w:eastAsia="宋体"/>
                <w:sz w:val="16"/>
              </w:rPr>
              <w: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A6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D3059">
            <w:pPr>
              <w:jc w:val="center"/>
            </w:pPr>
          </w:p>
        </w:tc>
      </w:tr>
      <w:tr w14:paraId="172CF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E64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D5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58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5BD1">
            <w:pPr>
              <w:jc w:val="center"/>
            </w:pPr>
            <w:r>
              <w:rPr>
                <w:rFonts w:ascii="宋体" w:hAnsi="宋体" w:eastAsia="宋体"/>
                <w:sz w:val="16"/>
              </w:rPr>
              <w:t>安置政策覆盖率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0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39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8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A0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06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C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D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3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911D9">
            <w:pPr>
              <w:jc w:val="center"/>
            </w:pPr>
          </w:p>
        </w:tc>
      </w:tr>
      <w:tr w14:paraId="4AF8E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8D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7DF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DAA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E9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A1E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1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3B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4A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5A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F8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A02C">
            <w:pPr>
              <w:jc w:val="center"/>
            </w:pPr>
            <w:r>
              <w:rPr>
                <w:rFonts w:ascii="宋体" w:hAnsi="宋体" w:eastAsia="宋体"/>
                <w:sz w:val="16"/>
              </w:rPr>
              <w:t>7月18日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B1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2BB03">
            <w:pPr>
              <w:jc w:val="center"/>
            </w:pPr>
          </w:p>
        </w:tc>
      </w:tr>
      <w:tr w14:paraId="31EE63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6EF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70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30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D12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19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0CD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B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2E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6A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4C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2BAF">
            <w:pPr>
              <w:jc w:val="center"/>
            </w:pPr>
            <w:r>
              <w:rPr>
                <w:rFonts w:ascii="宋体" w:hAnsi="宋体" w:eastAsia="宋体"/>
                <w:sz w:val="16"/>
              </w:rPr>
              <w:t>=73.4%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65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5A84C">
            <w:pPr>
              <w:jc w:val="center"/>
            </w:pPr>
            <w:r>
              <w:rPr>
                <w:rFonts w:ascii="宋体" w:hAnsi="宋体" w:eastAsia="宋体"/>
                <w:sz w:val="16"/>
              </w:rPr>
              <w:t>偏差原因：周转房年中不再续租，房租未缴满全年。改进措施：及时了解项目进度，及时纠偏。</w:t>
            </w:r>
          </w:p>
        </w:tc>
      </w:tr>
      <w:tr w14:paraId="1C363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82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6A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68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E19D">
            <w:pPr>
              <w:jc w:val="center"/>
            </w:pPr>
            <w:r>
              <w:rPr>
                <w:rFonts w:ascii="宋体" w:hAnsi="宋体" w:eastAsia="宋体"/>
                <w:sz w:val="16"/>
              </w:rPr>
              <w:t>周转房房租成本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9CEF">
            <w:pPr>
              <w:jc w:val="center"/>
            </w:pPr>
            <w:r>
              <w:rPr>
                <w:rFonts w:ascii="宋体" w:hAnsi="宋体" w:eastAsia="宋体"/>
                <w:sz w:val="16"/>
              </w:rPr>
              <w:t>=0.576万元/间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C83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4AB7">
            <w:pPr>
              <w:jc w:val="center"/>
            </w:pPr>
            <w:r>
              <w:rPr>
                <w:rFonts w:ascii="宋体" w:hAnsi="宋体" w:eastAsia="宋体"/>
                <w:sz w:val="16"/>
              </w:rPr>
              <w:t>0.576万元/间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37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1C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91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B2E0">
            <w:pPr>
              <w:jc w:val="center"/>
            </w:pPr>
            <w:r>
              <w:rPr>
                <w:rFonts w:ascii="宋体" w:hAnsi="宋体" w:eastAsia="宋体"/>
                <w:sz w:val="16"/>
              </w:rPr>
              <w:t>=0.42万元/间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B1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1DB84">
            <w:pPr>
              <w:jc w:val="center"/>
            </w:pPr>
            <w:r>
              <w:rPr>
                <w:rFonts w:ascii="宋体" w:hAnsi="宋体" w:eastAsia="宋体"/>
                <w:sz w:val="16"/>
              </w:rPr>
              <w:t>偏差原因：3</w:t>
            </w:r>
            <w:r>
              <w:rPr>
                <w:rFonts w:hint="eastAsia" w:ascii="宋体" w:hAnsi="宋体"/>
                <w:sz w:val="16"/>
                <w:lang w:eastAsia="zh-CN"/>
              </w:rPr>
              <w:t>套</w:t>
            </w:r>
            <w:r>
              <w:rPr>
                <w:rFonts w:ascii="宋体" w:hAnsi="宋体" w:eastAsia="宋体"/>
                <w:sz w:val="16"/>
              </w:rPr>
              <w:t>周转房已于今年年中完成退房手续办理，房租按照实际居住月份缴纳，未缴纳全年房租。改进措施：2025年加强预算编制，确保预算精准性</w:t>
            </w:r>
          </w:p>
        </w:tc>
      </w:tr>
      <w:tr w14:paraId="135A6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F8A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285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B27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AC5A">
            <w:pPr>
              <w:jc w:val="center"/>
            </w:pPr>
            <w:r>
              <w:rPr>
                <w:rFonts w:ascii="宋体" w:hAnsi="宋体" w:eastAsia="宋体"/>
                <w:sz w:val="16"/>
              </w:rPr>
              <w:t>保障居住环境舒适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C9B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140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AF6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D8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B64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CE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62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1C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E1FAD">
            <w:pPr>
              <w:jc w:val="center"/>
            </w:pPr>
          </w:p>
        </w:tc>
      </w:tr>
      <w:tr w14:paraId="4B603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226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AE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94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231F">
            <w:pPr>
              <w:jc w:val="center"/>
            </w:pPr>
            <w:r>
              <w:rPr>
                <w:rFonts w:ascii="宋体" w:hAnsi="宋体" w:eastAsia="宋体"/>
                <w:sz w:val="16"/>
              </w:rPr>
              <w:t>享受周转房领导干部满意率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1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8EA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B7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E1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2CB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9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AE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EB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7BB70">
            <w:pPr>
              <w:jc w:val="center"/>
            </w:pPr>
          </w:p>
        </w:tc>
      </w:tr>
      <w:tr w14:paraId="11A76E3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C45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C2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9A8F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A6F0">
            <w:pPr>
              <w:jc w:val="center"/>
            </w:pPr>
            <w:r>
              <w:rPr>
                <w:rFonts w:ascii="宋体" w:hAnsi="宋体" w:eastAsia="宋体"/>
                <w:sz w:val="16"/>
              </w:rPr>
              <w:t>63.35分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A07D09"/>
        </w:tc>
      </w:tr>
    </w:tbl>
    <w:p w14:paraId="3A2C77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F8BE756">
        <w:tblPrEx>
          <w:tblCellMar>
            <w:top w:w="0" w:type="dxa"/>
            <w:left w:w="108" w:type="dxa"/>
            <w:bottom w:w="0" w:type="dxa"/>
            <w:right w:w="108" w:type="dxa"/>
          </w:tblCellMar>
        </w:tblPrEx>
        <w:tc>
          <w:tcPr>
            <w:tcW w:w="8848" w:type="dxa"/>
            <w:gridSpan w:val="14"/>
            <w:vAlign w:val="center"/>
          </w:tcPr>
          <w:p w14:paraId="58ED0DDB">
            <w:pPr>
              <w:jc w:val="center"/>
            </w:pPr>
            <w:r>
              <w:rPr>
                <w:rFonts w:ascii="宋体" w:hAnsi="宋体" w:eastAsia="宋体"/>
                <w:sz w:val="24"/>
              </w:rPr>
              <w:t>项目支出绩效自评表</w:t>
            </w:r>
          </w:p>
        </w:tc>
      </w:tr>
      <w:tr w14:paraId="10C748DF">
        <w:tblPrEx>
          <w:tblCellMar>
            <w:top w:w="0" w:type="dxa"/>
            <w:left w:w="108" w:type="dxa"/>
            <w:bottom w:w="0" w:type="dxa"/>
            <w:right w:w="108" w:type="dxa"/>
          </w:tblCellMar>
        </w:tblPrEx>
        <w:tc>
          <w:tcPr>
            <w:tcW w:w="8848" w:type="dxa"/>
            <w:gridSpan w:val="14"/>
            <w:vAlign w:val="center"/>
          </w:tcPr>
          <w:p w14:paraId="5B6A9518">
            <w:pPr>
              <w:jc w:val="center"/>
            </w:pPr>
            <w:r>
              <w:rPr>
                <w:rFonts w:ascii="宋体" w:hAnsi="宋体" w:eastAsia="宋体"/>
                <w:sz w:val="24"/>
              </w:rPr>
              <w:t>(2024年度)</w:t>
            </w:r>
          </w:p>
        </w:tc>
      </w:tr>
      <w:tr w14:paraId="66FDE5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19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8583E9">
            <w:pPr>
              <w:jc w:val="center"/>
            </w:pPr>
            <w:r>
              <w:rPr>
                <w:rFonts w:ascii="宋体" w:hAnsi="宋体" w:eastAsia="宋体"/>
                <w:sz w:val="16"/>
              </w:rPr>
              <w:t>2024年法律顾问项目</w:t>
            </w:r>
          </w:p>
        </w:tc>
      </w:tr>
      <w:tr w14:paraId="6276C6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90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9806E">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0A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CC151">
            <w:pPr>
              <w:jc w:val="center"/>
            </w:pPr>
            <w:r>
              <w:rPr>
                <w:rFonts w:ascii="宋体" w:hAnsi="宋体" w:eastAsia="宋体"/>
                <w:sz w:val="16"/>
              </w:rPr>
              <w:t>新疆维吾尔自治区喀什地区体育局</w:t>
            </w:r>
          </w:p>
        </w:tc>
      </w:tr>
      <w:tr w14:paraId="4AAAA1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98F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A92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DA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9E8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FE6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2C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7A8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B8E5">
            <w:pPr>
              <w:jc w:val="center"/>
            </w:pPr>
            <w:r>
              <w:rPr>
                <w:rFonts w:ascii="宋体" w:hAnsi="宋体" w:eastAsia="宋体"/>
                <w:sz w:val="16"/>
              </w:rPr>
              <w:t>得分</w:t>
            </w:r>
          </w:p>
        </w:tc>
      </w:tr>
      <w:tr w14:paraId="7134A5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312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CF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9547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67EE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92A6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348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526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D9AD">
            <w:pPr>
              <w:jc w:val="center"/>
            </w:pPr>
            <w:r>
              <w:rPr>
                <w:rFonts w:ascii="宋体" w:hAnsi="宋体" w:eastAsia="宋体"/>
                <w:sz w:val="16"/>
              </w:rPr>
              <w:t>10.00分</w:t>
            </w:r>
          </w:p>
        </w:tc>
      </w:tr>
      <w:tr w14:paraId="0EBD9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F93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195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C668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7E08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6AB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31B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FA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CAC4">
            <w:pPr>
              <w:jc w:val="center"/>
            </w:pPr>
            <w:r>
              <w:rPr>
                <w:rFonts w:ascii="宋体" w:hAnsi="宋体" w:eastAsia="宋体"/>
                <w:sz w:val="16"/>
              </w:rPr>
              <w:t>—</w:t>
            </w:r>
          </w:p>
        </w:tc>
      </w:tr>
      <w:tr w14:paraId="7998F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80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B7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1DB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B38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335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AC7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9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F7F4">
            <w:pPr>
              <w:jc w:val="center"/>
            </w:pPr>
            <w:r>
              <w:rPr>
                <w:rFonts w:ascii="宋体" w:hAnsi="宋体" w:eastAsia="宋体"/>
                <w:sz w:val="16"/>
              </w:rPr>
              <w:t>—</w:t>
            </w:r>
          </w:p>
        </w:tc>
      </w:tr>
      <w:tr w14:paraId="3AFF55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77D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578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73C58D">
            <w:pPr>
              <w:jc w:val="center"/>
            </w:pPr>
            <w:r>
              <w:rPr>
                <w:rFonts w:ascii="宋体" w:hAnsi="宋体" w:eastAsia="宋体"/>
                <w:sz w:val="16"/>
              </w:rPr>
              <w:t>实际完成情况</w:t>
            </w:r>
          </w:p>
        </w:tc>
      </w:tr>
      <w:tr w14:paraId="306AE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C99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5A3FF6">
            <w:pPr>
              <w:jc w:val="both"/>
            </w:pPr>
            <w:r>
              <w:rPr>
                <w:rFonts w:ascii="宋体" w:hAnsi="宋体" w:eastAsia="宋体"/>
                <w:sz w:val="16"/>
              </w:rPr>
              <w:t>聘请法律顾问1名，每年支出法律顾问费用2万元，用于地区体育局法律咨询服务，每年开展法律</w:t>
            </w:r>
            <w:r>
              <w:rPr>
                <w:rFonts w:hint="eastAsia" w:ascii="宋体" w:hAnsi="宋体"/>
                <w:sz w:val="16"/>
                <w:lang w:eastAsia="zh-CN"/>
              </w:rPr>
              <w:t>业务</w:t>
            </w:r>
            <w:r>
              <w:rPr>
                <w:rFonts w:ascii="宋体" w:hAnsi="宋体" w:eastAsia="宋体"/>
                <w:sz w:val="16"/>
              </w:rPr>
              <w:t>服务不少于5次，涉法事件有效处置率大于等于95%，提升防范法律风险能力，依法行政水平明显提高，强化政府公共服务职能，为建设更高水平的法治新疆、平安新疆提供优质法律服务和有力法治保障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DC903F">
            <w:pPr>
              <w:jc w:val="both"/>
            </w:pPr>
            <w:r>
              <w:rPr>
                <w:rFonts w:ascii="宋体" w:hAnsi="宋体" w:eastAsia="宋体"/>
                <w:sz w:val="16"/>
              </w:rPr>
              <w:t>聘请法律顾问1名，开展5次法律</w:t>
            </w:r>
            <w:r>
              <w:rPr>
                <w:rFonts w:hint="eastAsia" w:ascii="宋体" w:hAnsi="宋体"/>
                <w:sz w:val="16"/>
                <w:lang w:eastAsia="zh-CN"/>
              </w:rPr>
              <w:t>业务</w:t>
            </w:r>
            <w:r>
              <w:rPr>
                <w:rFonts w:ascii="宋体" w:hAnsi="宋体" w:eastAsia="宋体"/>
                <w:sz w:val="16"/>
              </w:rPr>
              <w:t>服务。有效提高了本单位防范法律风险能力，为喀什地区建设平安新疆提供了助力，强化了本单位依法行政水平。</w:t>
            </w:r>
          </w:p>
        </w:tc>
      </w:tr>
      <w:tr w14:paraId="0792EF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DF1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C1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AA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999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DD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91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F7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F5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01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CD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51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DF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5BD58">
            <w:pPr>
              <w:jc w:val="center"/>
            </w:pPr>
            <w:r>
              <w:rPr>
                <w:rFonts w:ascii="宋体" w:hAnsi="宋体" w:eastAsia="宋体"/>
                <w:sz w:val="16"/>
              </w:rPr>
              <w:t>偏差原因分析及改进措施</w:t>
            </w:r>
          </w:p>
        </w:tc>
      </w:tr>
      <w:tr w14:paraId="4B2E3D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395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CE2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7C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769D">
            <w:pPr>
              <w:jc w:val="center"/>
            </w:pPr>
            <w:r>
              <w:rPr>
                <w:rFonts w:ascii="宋体" w:hAnsi="宋体" w:eastAsia="宋体"/>
                <w:sz w:val="16"/>
              </w:rPr>
              <w:t>法律业务服务数量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0BA1">
            <w:pPr>
              <w:jc w:val="center"/>
            </w:pPr>
            <w:r>
              <w:rPr>
                <w:rFonts w:ascii="宋体" w:hAnsi="宋体" w:eastAsia="宋体"/>
                <w:sz w:val="16"/>
              </w:rPr>
              <w:t>&gt;=5件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090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0A0D">
            <w:pPr>
              <w:jc w:val="center"/>
            </w:pPr>
            <w:r>
              <w:rPr>
                <w:rFonts w:ascii="宋体" w:hAnsi="宋体" w:eastAsia="宋体"/>
                <w:sz w:val="16"/>
              </w:rPr>
              <w:t>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5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37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68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2D15">
            <w:pPr>
              <w:jc w:val="center"/>
            </w:pPr>
            <w:r>
              <w:rPr>
                <w:rFonts w:ascii="宋体" w:hAnsi="宋体" w:eastAsia="宋体"/>
                <w:sz w:val="16"/>
              </w:rPr>
              <w:t>=5件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EA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0E639">
            <w:pPr>
              <w:jc w:val="center"/>
            </w:pPr>
          </w:p>
        </w:tc>
      </w:tr>
      <w:tr w14:paraId="28481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CE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99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B6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4E65">
            <w:pPr>
              <w:jc w:val="center"/>
            </w:pPr>
            <w:r>
              <w:rPr>
                <w:rFonts w:ascii="宋体" w:hAnsi="宋体" w:eastAsia="宋体"/>
                <w:sz w:val="16"/>
              </w:rPr>
              <w:t>法律业务服务质量合格率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C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857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D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E5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71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B4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C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A4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A7163">
            <w:pPr>
              <w:jc w:val="center"/>
            </w:pPr>
          </w:p>
        </w:tc>
      </w:tr>
      <w:tr w14:paraId="75A42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D8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885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013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65C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4A1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30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57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B8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22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2E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00D8">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AD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D7427">
            <w:pPr>
              <w:jc w:val="center"/>
            </w:pPr>
          </w:p>
        </w:tc>
      </w:tr>
      <w:tr w14:paraId="4B5A9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26D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82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1C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7C2A">
            <w:pPr>
              <w:jc w:val="center"/>
            </w:pPr>
            <w:r>
              <w:rPr>
                <w:rFonts w:ascii="宋体" w:hAnsi="宋体" w:eastAsia="宋体"/>
                <w:sz w:val="16"/>
              </w:rPr>
              <w:t>法律业务服务及时率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55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4C8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6A2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C6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8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BA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6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A638">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80F19">
            <w:pPr>
              <w:jc w:val="center"/>
            </w:pPr>
            <w:r>
              <w:rPr>
                <w:rFonts w:ascii="宋体" w:hAnsi="宋体" w:eastAsia="宋体"/>
                <w:sz w:val="16"/>
              </w:rPr>
              <w:t>偏差原因：律师服务积极性高，服务态度好，服务及时。</w:t>
            </w:r>
          </w:p>
        </w:tc>
      </w:tr>
      <w:tr w14:paraId="09BEA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FB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BBB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C3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E077">
            <w:pPr>
              <w:jc w:val="center"/>
            </w:pPr>
            <w:r>
              <w:rPr>
                <w:rFonts w:ascii="宋体" w:hAnsi="宋体" w:eastAsia="宋体"/>
                <w:sz w:val="16"/>
              </w:rPr>
              <w:t>单件法律业务服务成本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67F8">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4DF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DCBB">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4C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A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BA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FC89">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8E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9279E">
            <w:pPr>
              <w:jc w:val="center"/>
            </w:pPr>
          </w:p>
        </w:tc>
      </w:tr>
      <w:tr w14:paraId="5C101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16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D6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BF0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DF670">
            <w:pPr>
              <w:jc w:val="center"/>
            </w:pPr>
            <w:r>
              <w:rPr>
                <w:rFonts w:ascii="宋体" w:hAnsi="宋体" w:eastAsia="宋体"/>
                <w:sz w:val="16"/>
              </w:rPr>
              <w:t>提升防范法律风险能力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AA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95A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A923">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39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EA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D2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214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D8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90B91">
            <w:pPr>
              <w:jc w:val="center"/>
            </w:pPr>
          </w:p>
        </w:tc>
      </w:tr>
      <w:tr w14:paraId="04852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6D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B5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6C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9DF5">
            <w:pPr>
              <w:jc w:val="center"/>
            </w:pPr>
            <w:r>
              <w:rPr>
                <w:rFonts w:ascii="宋体" w:hAnsi="宋体" w:eastAsia="宋体"/>
                <w:sz w:val="16"/>
              </w:rPr>
              <w:t>用人单位满意度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80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97E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9A6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5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1F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89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7D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91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5832B">
            <w:pPr>
              <w:jc w:val="center"/>
            </w:pPr>
          </w:p>
        </w:tc>
      </w:tr>
      <w:tr w14:paraId="487959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F7C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9C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754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8734">
            <w:pPr>
              <w:jc w:val="center"/>
            </w:pPr>
            <w:r>
              <w:rPr>
                <w:rFonts w:ascii="宋体" w:hAnsi="宋体" w:eastAsia="宋体"/>
                <w:sz w:val="16"/>
              </w:rPr>
              <w:t>99.5分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FB9CAF"/>
        </w:tc>
      </w:tr>
    </w:tbl>
    <w:p w14:paraId="013B69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5F0386">
        <w:tblPrEx>
          <w:tblCellMar>
            <w:top w:w="0" w:type="dxa"/>
            <w:left w:w="108" w:type="dxa"/>
            <w:bottom w:w="0" w:type="dxa"/>
            <w:right w:w="108" w:type="dxa"/>
          </w:tblCellMar>
        </w:tblPrEx>
        <w:tc>
          <w:tcPr>
            <w:tcW w:w="8848" w:type="dxa"/>
            <w:gridSpan w:val="14"/>
            <w:vAlign w:val="center"/>
          </w:tcPr>
          <w:p w14:paraId="1BF5013C">
            <w:pPr>
              <w:jc w:val="center"/>
            </w:pPr>
            <w:r>
              <w:rPr>
                <w:rFonts w:ascii="宋体" w:hAnsi="宋体" w:eastAsia="宋体"/>
                <w:sz w:val="24"/>
              </w:rPr>
              <w:t>项目支出绩效自评表</w:t>
            </w:r>
          </w:p>
        </w:tc>
      </w:tr>
      <w:tr w14:paraId="2D02973D">
        <w:tblPrEx>
          <w:tblCellMar>
            <w:top w:w="0" w:type="dxa"/>
            <w:left w:w="108" w:type="dxa"/>
            <w:bottom w:w="0" w:type="dxa"/>
            <w:right w:w="108" w:type="dxa"/>
          </w:tblCellMar>
        </w:tblPrEx>
        <w:tc>
          <w:tcPr>
            <w:tcW w:w="8848" w:type="dxa"/>
            <w:gridSpan w:val="14"/>
            <w:vAlign w:val="center"/>
          </w:tcPr>
          <w:p w14:paraId="2137B635">
            <w:pPr>
              <w:jc w:val="center"/>
            </w:pPr>
            <w:r>
              <w:rPr>
                <w:rFonts w:ascii="宋体" w:hAnsi="宋体" w:eastAsia="宋体"/>
                <w:sz w:val="24"/>
              </w:rPr>
              <w:t>(2024年度)</w:t>
            </w:r>
          </w:p>
        </w:tc>
      </w:tr>
      <w:tr w14:paraId="5D7F59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D3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D7A2D4">
            <w:pPr>
              <w:jc w:val="center"/>
            </w:pPr>
            <w:r>
              <w:rPr>
                <w:rFonts w:ascii="宋体" w:hAnsi="宋体" w:eastAsia="宋体"/>
                <w:sz w:val="16"/>
              </w:rPr>
              <w:t>2024年绿茵追梦·鲁疆青少年足球融情训练营项目</w:t>
            </w:r>
          </w:p>
        </w:tc>
      </w:tr>
      <w:tr w14:paraId="458EFE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62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BABC3">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27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5DE3A0">
            <w:pPr>
              <w:jc w:val="center"/>
            </w:pPr>
            <w:r>
              <w:rPr>
                <w:rFonts w:ascii="宋体" w:hAnsi="宋体" w:eastAsia="宋体"/>
                <w:sz w:val="16"/>
              </w:rPr>
              <w:t>新疆维吾尔自治区喀什地区体育局</w:t>
            </w:r>
          </w:p>
        </w:tc>
      </w:tr>
      <w:tr w14:paraId="201FC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8EB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391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588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361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B02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9C3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9A9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219D">
            <w:pPr>
              <w:jc w:val="center"/>
            </w:pPr>
            <w:r>
              <w:rPr>
                <w:rFonts w:ascii="宋体" w:hAnsi="宋体" w:eastAsia="宋体"/>
                <w:sz w:val="16"/>
              </w:rPr>
              <w:t>得分</w:t>
            </w:r>
          </w:p>
        </w:tc>
      </w:tr>
      <w:tr w14:paraId="3AE5C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711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8B6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D72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7AC6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FF25">
            <w:pPr>
              <w:jc w:val="center"/>
            </w:pPr>
            <w:r>
              <w:rPr>
                <w:rFonts w:ascii="宋体" w:hAnsi="宋体" w:eastAsia="宋体"/>
                <w:sz w:val="16"/>
              </w:rPr>
              <w:t>119.55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541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C00F7">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B342">
            <w:pPr>
              <w:jc w:val="center"/>
            </w:pPr>
            <w:r>
              <w:rPr>
                <w:rFonts w:ascii="宋体" w:hAnsi="宋体" w:eastAsia="宋体"/>
                <w:sz w:val="16"/>
              </w:rPr>
              <w:t>9.91分</w:t>
            </w:r>
          </w:p>
        </w:tc>
      </w:tr>
      <w:tr w14:paraId="7DCCD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463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418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5FA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F2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6AF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274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D6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97A3">
            <w:pPr>
              <w:jc w:val="center"/>
            </w:pPr>
            <w:r>
              <w:rPr>
                <w:rFonts w:ascii="宋体" w:hAnsi="宋体" w:eastAsia="宋体"/>
                <w:sz w:val="16"/>
              </w:rPr>
              <w:t>—</w:t>
            </w:r>
          </w:p>
        </w:tc>
      </w:tr>
      <w:tr w14:paraId="560B4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98A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5A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05612">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671C0">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66BB3">
            <w:pPr>
              <w:jc w:val="center"/>
            </w:pPr>
            <w:r>
              <w:rPr>
                <w:rFonts w:ascii="宋体" w:hAnsi="宋体" w:eastAsia="宋体"/>
                <w:sz w:val="16"/>
              </w:rPr>
              <w:t>119.55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6EF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9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69AE">
            <w:pPr>
              <w:jc w:val="center"/>
            </w:pPr>
            <w:r>
              <w:rPr>
                <w:rFonts w:ascii="宋体" w:hAnsi="宋体" w:eastAsia="宋体"/>
                <w:sz w:val="16"/>
              </w:rPr>
              <w:t>—</w:t>
            </w:r>
          </w:p>
        </w:tc>
      </w:tr>
      <w:tr w14:paraId="590C70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8BD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118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C134C2">
            <w:pPr>
              <w:jc w:val="center"/>
            </w:pPr>
            <w:r>
              <w:rPr>
                <w:rFonts w:ascii="宋体" w:hAnsi="宋体" w:eastAsia="宋体"/>
                <w:sz w:val="16"/>
              </w:rPr>
              <w:t>实际完成情况</w:t>
            </w:r>
          </w:p>
        </w:tc>
      </w:tr>
      <w:tr w14:paraId="0B6A7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505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24D26">
            <w:pPr>
              <w:jc w:val="both"/>
            </w:pPr>
            <w:r>
              <w:rPr>
                <w:rFonts w:ascii="宋体" w:hAnsi="宋体" w:eastAsia="宋体"/>
                <w:sz w:val="16"/>
              </w:rPr>
              <w:t>组织喀什120名青少年足球运动员赴山东参加为期35天的绿茵追梦·鲁疆青少年足球融情训练营。促进鲁疆两地各族青少年交流、交往、交融，有效提高喀什青少年足球运动员水平。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D3601">
            <w:pPr>
              <w:jc w:val="both"/>
            </w:pPr>
            <w:r>
              <w:rPr>
                <w:rFonts w:ascii="宋体" w:hAnsi="宋体" w:eastAsia="宋体"/>
                <w:sz w:val="16"/>
              </w:rPr>
              <w:t>组织喀什优秀的青少年足球运动员赴山东参加为期35天的绿茵追梦·鲁疆青少年足球融情训练营。促进了喀什青少年足球运动员的体育水平进步，有效提高了喀什哈山东的交流交往。</w:t>
            </w:r>
          </w:p>
        </w:tc>
      </w:tr>
      <w:tr w14:paraId="41E706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808D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C1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27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74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B4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E2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70D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B7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DE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E3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B6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869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1287">
            <w:pPr>
              <w:jc w:val="center"/>
            </w:pPr>
            <w:r>
              <w:rPr>
                <w:rFonts w:ascii="宋体" w:hAnsi="宋体" w:eastAsia="宋体"/>
                <w:sz w:val="16"/>
              </w:rPr>
              <w:t>偏差原因分析及改进措施</w:t>
            </w:r>
          </w:p>
        </w:tc>
      </w:tr>
      <w:tr w14:paraId="70DA48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FDD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069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DD4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D785">
            <w:pPr>
              <w:jc w:val="center"/>
            </w:pPr>
            <w:r>
              <w:rPr>
                <w:rFonts w:ascii="宋体" w:hAnsi="宋体" w:eastAsia="宋体"/>
                <w:sz w:val="16"/>
              </w:rPr>
              <w:t>训练营周期（每期）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E207">
            <w:pPr>
              <w:jc w:val="center"/>
            </w:pPr>
            <w:r>
              <w:rPr>
                <w:rFonts w:ascii="宋体" w:hAnsi="宋体" w:eastAsia="宋体"/>
                <w:sz w:val="16"/>
              </w:rPr>
              <w:t>&gt;=35天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1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28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F4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79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6C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27DD">
            <w:pPr>
              <w:jc w:val="center"/>
            </w:pPr>
            <w:r>
              <w:rPr>
                <w:rFonts w:ascii="宋体" w:hAnsi="宋体" w:eastAsia="宋体"/>
                <w:sz w:val="16"/>
              </w:rPr>
              <w:t>=21天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BEB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32F1C">
            <w:pPr>
              <w:jc w:val="center"/>
            </w:pPr>
            <w:r>
              <w:rPr>
                <w:rFonts w:ascii="宋体" w:hAnsi="宋体" w:eastAsia="宋体"/>
                <w:sz w:val="16"/>
              </w:rPr>
              <w:t>偏差原因：因本次活动前期准备不充分，时间紧急，日程缩短为21天。改进措施：今后对项目提前谋划，避免项目实施中发生重大变化。</w:t>
            </w:r>
          </w:p>
        </w:tc>
      </w:tr>
      <w:tr w14:paraId="62200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EC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3B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A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AD3D">
            <w:pPr>
              <w:jc w:val="center"/>
            </w:pPr>
            <w:r>
              <w:rPr>
                <w:rFonts w:ascii="宋体" w:hAnsi="宋体" w:eastAsia="宋体"/>
                <w:sz w:val="16"/>
              </w:rPr>
              <w:t>每期训练营参加人数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4C6D">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61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9C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D6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F0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56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796E">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54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E57A3">
            <w:pPr>
              <w:jc w:val="center"/>
            </w:pPr>
          </w:p>
        </w:tc>
      </w:tr>
      <w:tr w14:paraId="4A0F0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71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60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BA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15E1">
            <w:pPr>
              <w:jc w:val="center"/>
            </w:pPr>
            <w:r>
              <w:rPr>
                <w:rFonts w:ascii="宋体" w:hAnsi="宋体" w:eastAsia="宋体"/>
                <w:sz w:val="16"/>
              </w:rPr>
              <w:t>活动举办成功率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4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3F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FF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08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D4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6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A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DA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73100">
            <w:pPr>
              <w:jc w:val="center"/>
            </w:pPr>
          </w:p>
        </w:tc>
      </w:tr>
      <w:tr w14:paraId="4DFB6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592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06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B0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51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F3B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9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AF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8C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8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B8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F28D">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E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EBED4">
            <w:pPr>
              <w:jc w:val="center"/>
            </w:pPr>
          </w:p>
        </w:tc>
      </w:tr>
      <w:tr w14:paraId="7D20D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6A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06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9F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C279">
            <w:pPr>
              <w:jc w:val="center"/>
            </w:pPr>
            <w:r>
              <w:rPr>
                <w:rFonts w:ascii="宋体" w:hAnsi="宋体" w:eastAsia="宋体"/>
                <w:sz w:val="16"/>
              </w:rPr>
              <w:t>单个运动员参加训练营成本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E73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EF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F2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E8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4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5F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F3D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9CE8">
            <w:pPr>
              <w:jc w:val="center"/>
            </w:pPr>
            <w:r>
              <w:rPr>
                <w:rFonts w:ascii="宋体" w:hAnsi="宋体" w:eastAsia="宋体"/>
                <w:sz w:val="16"/>
              </w:rPr>
              <w:t>19.81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D40AE">
            <w:pPr>
              <w:jc w:val="center"/>
            </w:pPr>
            <w:r>
              <w:rPr>
                <w:rFonts w:ascii="宋体" w:hAnsi="宋体" w:eastAsia="宋体"/>
                <w:sz w:val="16"/>
              </w:rPr>
              <w:t>偏差原因：项目公开招标节约了项目成本，导致单个运动员参加训练营成本减少。改进措施：通过不断优化项目实施方案，提高资金支付率。</w:t>
            </w:r>
          </w:p>
        </w:tc>
      </w:tr>
      <w:tr w14:paraId="438AA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94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67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6E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3328">
            <w:pPr>
              <w:jc w:val="center"/>
            </w:pPr>
            <w:r>
              <w:rPr>
                <w:rFonts w:ascii="宋体" w:hAnsi="宋体" w:eastAsia="宋体"/>
                <w:sz w:val="16"/>
              </w:rPr>
              <w:t>促进鲁疆两地各族青少年交流、交往、交融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DC8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45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69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B2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16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89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FDE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20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0223E">
            <w:pPr>
              <w:jc w:val="center"/>
            </w:pPr>
          </w:p>
        </w:tc>
      </w:tr>
      <w:tr w14:paraId="3681C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3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8E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27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88D4">
            <w:pPr>
              <w:jc w:val="center"/>
            </w:pPr>
            <w:r>
              <w:rPr>
                <w:rFonts w:ascii="宋体" w:hAnsi="宋体" w:eastAsia="宋体"/>
                <w:sz w:val="16"/>
              </w:rPr>
              <w:t>参加活动青少年满意度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87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9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77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90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D5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05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11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6F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CF405">
            <w:pPr>
              <w:jc w:val="center"/>
            </w:pPr>
          </w:p>
        </w:tc>
      </w:tr>
      <w:tr w14:paraId="265842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F60D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F1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C8E4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AC44">
            <w:pPr>
              <w:jc w:val="center"/>
            </w:pPr>
            <w:r>
              <w:rPr>
                <w:rFonts w:ascii="宋体" w:hAnsi="宋体" w:eastAsia="宋体"/>
                <w:sz w:val="16"/>
              </w:rPr>
              <w:t>89.72分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20399F"/>
        </w:tc>
      </w:tr>
    </w:tbl>
    <w:p w14:paraId="012F0F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B142737">
        <w:tblPrEx>
          <w:tblCellMar>
            <w:top w:w="0" w:type="dxa"/>
            <w:left w:w="108" w:type="dxa"/>
            <w:bottom w:w="0" w:type="dxa"/>
            <w:right w:w="108" w:type="dxa"/>
          </w:tblCellMar>
        </w:tblPrEx>
        <w:tc>
          <w:tcPr>
            <w:tcW w:w="8848" w:type="dxa"/>
            <w:gridSpan w:val="14"/>
            <w:vAlign w:val="center"/>
          </w:tcPr>
          <w:p w14:paraId="57C669CD">
            <w:pPr>
              <w:jc w:val="center"/>
            </w:pPr>
            <w:r>
              <w:rPr>
                <w:rFonts w:ascii="宋体" w:hAnsi="宋体" w:eastAsia="宋体"/>
                <w:sz w:val="24"/>
              </w:rPr>
              <w:t>项目支出绩效自评表</w:t>
            </w:r>
          </w:p>
        </w:tc>
      </w:tr>
      <w:tr w14:paraId="047C448A">
        <w:tblPrEx>
          <w:tblCellMar>
            <w:top w:w="0" w:type="dxa"/>
            <w:left w:w="108" w:type="dxa"/>
            <w:bottom w:w="0" w:type="dxa"/>
            <w:right w:w="108" w:type="dxa"/>
          </w:tblCellMar>
        </w:tblPrEx>
        <w:tc>
          <w:tcPr>
            <w:tcW w:w="8848" w:type="dxa"/>
            <w:gridSpan w:val="14"/>
            <w:vAlign w:val="center"/>
          </w:tcPr>
          <w:p w14:paraId="04E4E025">
            <w:pPr>
              <w:jc w:val="center"/>
            </w:pPr>
            <w:r>
              <w:rPr>
                <w:rFonts w:ascii="宋体" w:hAnsi="宋体" w:eastAsia="宋体"/>
                <w:sz w:val="24"/>
              </w:rPr>
              <w:t>(2024年度)</w:t>
            </w:r>
          </w:p>
        </w:tc>
      </w:tr>
      <w:tr w14:paraId="324DA6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39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D45ADF">
            <w:pPr>
              <w:jc w:val="center"/>
            </w:pPr>
            <w:r>
              <w:rPr>
                <w:rFonts w:ascii="宋体" w:hAnsi="宋体" w:eastAsia="宋体"/>
                <w:sz w:val="16"/>
              </w:rPr>
              <w:t>2024年自治区体彩公益金开展全民健身体育赛事活动项目</w:t>
            </w:r>
          </w:p>
        </w:tc>
      </w:tr>
      <w:tr w14:paraId="075408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07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B131D">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66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9C0283">
            <w:pPr>
              <w:jc w:val="center"/>
            </w:pPr>
            <w:r>
              <w:rPr>
                <w:rFonts w:ascii="宋体" w:hAnsi="宋体" w:eastAsia="宋体"/>
                <w:sz w:val="16"/>
              </w:rPr>
              <w:t>新疆维吾尔自治区喀什地区体育局</w:t>
            </w:r>
          </w:p>
        </w:tc>
      </w:tr>
      <w:tr w14:paraId="2D9772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29E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2F5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0C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DEB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03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8F7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63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7418">
            <w:pPr>
              <w:jc w:val="center"/>
            </w:pPr>
            <w:r>
              <w:rPr>
                <w:rFonts w:ascii="宋体" w:hAnsi="宋体" w:eastAsia="宋体"/>
                <w:sz w:val="16"/>
              </w:rPr>
              <w:t>得分</w:t>
            </w:r>
          </w:p>
        </w:tc>
      </w:tr>
      <w:tr w14:paraId="1B155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540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23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989C">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29843">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1AD26">
            <w:pPr>
              <w:jc w:val="center"/>
            </w:pPr>
            <w:r>
              <w:rPr>
                <w:rFonts w:ascii="宋体" w:hAnsi="宋体" w:eastAsia="宋体"/>
                <w:sz w:val="16"/>
              </w:rPr>
              <w:t>47.96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90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F4409">
            <w:pPr>
              <w:jc w:val="center"/>
            </w:pPr>
            <w:r>
              <w:rPr>
                <w:rFonts w:ascii="宋体" w:hAnsi="宋体" w:eastAsia="宋体"/>
                <w:sz w:val="16"/>
              </w:rPr>
              <w:t>53.9%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F0C5">
            <w:pPr>
              <w:jc w:val="center"/>
            </w:pPr>
            <w:r>
              <w:rPr>
                <w:rFonts w:ascii="宋体" w:hAnsi="宋体" w:eastAsia="宋体"/>
                <w:sz w:val="16"/>
              </w:rPr>
              <w:t>0.00分</w:t>
            </w:r>
          </w:p>
        </w:tc>
      </w:tr>
      <w:tr w14:paraId="5506F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C4D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7CC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1DEB">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B9ECF">
            <w:pPr>
              <w:jc w:val="center"/>
            </w:pPr>
            <w:r>
              <w:rPr>
                <w:rFonts w:ascii="宋体" w:hAnsi="宋体" w:eastAsia="宋体"/>
                <w:sz w:val="16"/>
              </w:rPr>
              <w:t>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B5580">
            <w:pPr>
              <w:jc w:val="center"/>
            </w:pPr>
            <w:r>
              <w:rPr>
                <w:rFonts w:ascii="宋体" w:hAnsi="宋体" w:eastAsia="宋体"/>
                <w:sz w:val="16"/>
              </w:rPr>
              <w:t>47.96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FCC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72B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CF9C">
            <w:pPr>
              <w:jc w:val="center"/>
            </w:pPr>
            <w:r>
              <w:rPr>
                <w:rFonts w:ascii="宋体" w:hAnsi="宋体" w:eastAsia="宋体"/>
                <w:sz w:val="16"/>
              </w:rPr>
              <w:t>—</w:t>
            </w:r>
          </w:p>
        </w:tc>
      </w:tr>
      <w:tr w14:paraId="11B3D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668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CC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72E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B03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85E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AA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AA1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AE51">
            <w:pPr>
              <w:jc w:val="center"/>
            </w:pPr>
            <w:r>
              <w:rPr>
                <w:rFonts w:ascii="宋体" w:hAnsi="宋体" w:eastAsia="宋体"/>
                <w:sz w:val="16"/>
              </w:rPr>
              <w:t>—</w:t>
            </w:r>
          </w:p>
        </w:tc>
      </w:tr>
      <w:tr w14:paraId="76367F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C8E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D7C2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410ED7">
            <w:pPr>
              <w:jc w:val="center"/>
            </w:pPr>
            <w:r>
              <w:rPr>
                <w:rFonts w:ascii="宋体" w:hAnsi="宋体" w:eastAsia="宋体"/>
                <w:sz w:val="16"/>
              </w:rPr>
              <w:t>实际完成情况</w:t>
            </w:r>
          </w:p>
        </w:tc>
      </w:tr>
      <w:tr w14:paraId="445E6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B8D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9D4DE">
            <w:pPr>
              <w:jc w:val="both"/>
            </w:pPr>
            <w:r>
              <w:rPr>
                <w:rFonts w:ascii="宋体" w:hAnsi="宋体" w:eastAsia="宋体"/>
                <w:sz w:val="16"/>
              </w:rPr>
              <w:t>开展一次</w:t>
            </w:r>
            <w:r>
              <w:rPr>
                <w:rFonts w:hint="eastAsia" w:ascii="宋体" w:hAnsi="宋体"/>
                <w:sz w:val="16"/>
                <w:lang w:eastAsia="zh-CN"/>
              </w:rPr>
              <w:t>民众</w:t>
            </w:r>
            <w:r>
              <w:rPr>
                <w:rFonts w:ascii="宋体" w:hAnsi="宋体" w:eastAsia="宋体"/>
                <w:sz w:val="16"/>
              </w:rPr>
              <w:t>体质监测活动，监测不少于3000人、举办1次女性社会指导员技能展示大赛、足球青训人才选拔及为期25天的足球青训集训。促进本地区群众体育发展、增强本地青少年足球训练水平。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7E1FA7">
            <w:pPr>
              <w:jc w:val="both"/>
            </w:pPr>
            <w:r>
              <w:rPr>
                <w:rFonts w:ascii="宋体" w:hAnsi="宋体" w:eastAsia="宋体"/>
                <w:sz w:val="16"/>
              </w:rPr>
              <w:t>我单位开展3000人体质监测活动，举办1次女性社会指导员技能展示大赛、开展足球青训人才选拔系列训练。促进了群众体育发展、提高了喀什地区青少年足球运动员水平。</w:t>
            </w:r>
          </w:p>
        </w:tc>
      </w:tr>
      <w:tr w14:paraId="211E6F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4C25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BC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14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46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F5F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87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EE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74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D6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D8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41F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32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84873">
            <w:pPr>
              <w:jc w:val="center"/>
            </w:pPr>
            <w:r>
              <w:rPr>
                <w:rFonts w:ascii="宋体" w:hAnsi="宋体" w:eastAsia="宋体"/>
                <w:sz w:val="16"/>
              </w:rPr>
              <w:t>偏差原因分析及改进措施</w:t>
            </w:r>
          </w:p>
        </w:tc>
      </w:tr>
      <w:tr w14:paraId="5C499B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248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118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832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5A37">
            <w:pPr>
              <w:jc w:val="center"/>
            </w:pPr>
            <w:r>
              <w:rPr>
                <w:rFonts w:ascii="宋体" w:hAnsi="宋体" w:eastAsia="宋体"/>
                <w:sz w:val="16"/>
              </w:rPr>
              <w:t>体质监测人次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8DBA">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8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F5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D5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F7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48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7B7B">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469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38E2">
            <w:pPr>
              <w:jc w:val="center"/>
            </w:pPr>
          </w:p>
        </w:tc>
      </w:tr>
      <w:tr w14:paraId="33A21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04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FF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C8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2A44">
            <w:pPr>
              <w:jc w:val="center"/>
            </w:pPr>
            <w:r>
              <w:rPr>
                <w:rFonts w:ascii="宋体" w:hAnsi="宋体" w:eastAsia="宋体"/>
                <w:sz w:val="16"/>
              </w:rPr>
              <w:t>举办女性社会指导员技能展示大赛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B8E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6B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95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BD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95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5A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D82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CA8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86EF3">
            <w:pPr>
              <w:jc w:val="center"/>
            </w:pPr>
          </w:p>
        </w:tc>
      </w:tr>
      <w:tr w14:paraId="0D959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BE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50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75B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B7B0">
            <w:pPr>
              <w:jc w:val="center"/>
            </w:pPr>
            <w:r>
              <w:rPr>
                <w:rFonts w:ascii="宋体" w:hAnsi="宋体" w:eastAsia="宋体"/>
                <w:sz w:val="16"/>
              </w:rPr>
              <w:t>西部地区体教融合足球青训集训时间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FBA55">
            <w:pPr>
              <w:jc w:val="center"/>
            </w:pPr>
            <w:r>
              <w:rPr>
                <w:rFonts w:ascii="宋体" w:hAnsi="宋体" w:eastAsia="宋体"/>
                <w:sz w:val="16"/>
              </w:rPr>
              <w:t>&gt;=25天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C0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6A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45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0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CB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6DAD">
            <w:pPr>
              <w:jc w:val="center"/>
            </w:pPr>
            <w:r>
              <w:rPr>
                <w:rFonts w:ascii="宋体" w:hAnsi="宋体" w:eastAsia="宋体"/>
                <w:sz w:val="16"/>
              </w:rPr>
              <w:t>=45天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129E">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7B583">
            <w:pPr>
              <w:jc w:val="center"/>
            </w:pPr>
            <w:r>
              <w:rPr>
                <w:rFonts w:ascii="宋体" w:hAnsi="宋体" w:eastAsia="宋体"/>
                <w:sz w:val="16"/>
              </w:rPr>
              <w:t>偏差原因：为充分选拔培养足球人才，延长足球青训时间，导致西部地区体教融合足球青训集训时间比原计划延长。改进措施：提前谋划项目，避免项目实施与实施方案不符。</w:t>
            </w:r>
          </w:p>
        </w:tc>
      </w:tr>
      <w:tr w14:paraId="38FCE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9D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2F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24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2BCA">
            <w:pPr>
              <w:jc w:val="center"/>
            </w:pPr>
            <w:r>
              <w:rPr>
                <w:rFonts w:ascii="宋体" w:hAnsi="宋体" w:eastAsia="宋体"/>
                <w:sz w:val="16"/>
              </w:rPr>
              <w:t>赛事和活动完成率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D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B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F0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AD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CB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0C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D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3B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C02B5">
            <w:pPr>
              <w:jc w:val="center"/>
            </w:pPr>
          </w:p>
        </w:tc>
      </w:tr>
      <w:tr w14:paraId="14E3E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C2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16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FA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C3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467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7F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7D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1B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33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8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456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F7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7090C">
            <w:pPr>
              <w:jc w:val="center"/>
            </w:pPr>
          </w:p>
        </w:tc>
      </w:tr>
      <w:tr w14:paraId="07A31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81F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15D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0FE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5D6B">
            <w:pPr>
              <w:jc w:val="center"/>
            </w:pPr>
            <w:r>
              <w:rPr>
                <w:rFonts w:ascii="宋体" w:hAnsi="宋体" w:eastAsia="宋体"/>
                <w:sz w:val="16"/>
              </w:rPr>
              <w:t>体质监测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723A">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4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47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B2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E5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54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48FC">
            <w:pPr>
              <w:jc w:val="center"/>
            </w:pPr>
            <w:r>
              <w:rPr>
                <w:rFonts w:ascii="宋体" w:hAnsi="宋体" w:eastAsia="宋体"/>
                <w:sz w:val="16"/>
              </w:rPr>
              <w:t>=34.78万元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3224">
            <w:pPr>
              <w:jc w:val="center"/>
            </w:pPr>
            <w:r>
              <w:rPr>
                <w:rFonts w:ascii="宋体" w:hAnsi="宋体" w:eastAsia="宋体"/>
                <w:sz w:val="16"/>
              </w:rPr>
              <w:t>6.89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B02C1">
            <w:pPr>
              <w:jc w:val="center"/>
            </w:pPr>
            <w:r>
              <w:rPr>
                <w:rFonts w:ascii="宋体" w:hAnsi="宋体" w:eastAsia="宋体"/>
                <w:sz w:val="16"/>
              </w:rPr>
              <w:t>偏差原因：预算编制不精准，资金出现结余。改进措施：编制精准预算。</w:t>
            </w:r>
          </w:p>
        </w:tc>
      </w:tr>
      <w:tr w14:paraId="06471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2AE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7A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C1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C935">
            <w:pPr>
              <w:jc w:val="center"/>
            </w:pPr>
            <w:r>
              <w:rPr>
                <w:rFonts w:ascii="宋体" w:hAnsi="宋体" w:eastAsia="宋体"/>
                <w:sz w:val="16"/>
              </w:rPr>
              <w:t>举办女性社会体育指导员技能展示大赛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D5AC">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C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C4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9F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77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0F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7F0A">
            <w:pPr>
              <w:jc w:val="center"/>
            </w:pPr>
            <w:r>
              <w:rPr>
                <w:rFonts w:ascii="宋体" w:hAnsi="宋体" w:eastAsia="宋体"/>
                <w:sz w:val="16"/>
              </w:rPr>
              <w:t>=3.67万元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8086">
            <w:pPr>
              <w:jc w:val="center"/>
            </w:pPr>
            <w:r>
              <w:rPr>
                <w:rFonts w:ascii="宋体" w:hAnsi="宋体" w:eastAsia="宋体"/>
                <w:sz w:val="16"/>
              </w:rPr>
              <w:t>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27AF9">
            <w:pPr>
              <w:jc w:val="center"/>
            </w:pPr>
            <w:r>
              <w:rPr>
                <w:rFonts w:ascii="宋体" w:hAnsi="宋体" w:eastAsia="宋体"/>
                <w:sz w:val="16"/>
              </w:rPr>
              <w:t>偏差原因：节约成本，举办女性社会体育指导员技能展示大赛支付资金小于预算资金。改进措施：按照项目实际到位金额编制预算</w:t>
            </w:r>
          </w:p>
        </w:tc>
      </w:tr>
      <w:tr w14:paraId="5C839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BF3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EF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77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E557">
            <w:pPr>
              <w:jc w:val="center"/>
            </w:pPr>
            <w:r>
              <w:rPr>
                <w:rFonts w:ascii="宋体" w:hAnsi="宋体" w:eastAsia="宋体"/>
                <w:sz w:val="16"/>
              </w:rPr>
              <w:t>西部地区体教融合足球青训体系建设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A8C5">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4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BE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A9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8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A0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B339">
            <w:pPr>
              <w:jc w:val="center"/>
            </w:pPr>
            <w:r>
              <w:rPr>
                <w:rFonts w:ascii="宋体" w:hAnsi="宋体" w:eastAsia="宋体"/>
                <w:sz w:val="16"/>
              </w:rPr>
              <w: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41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3A2B">
            <w:pPr>
              <w:jc w:val="center"/>
            </w:pPr>
            <w:r>
              <w:rPr>
                <w:rFonts w:ascii="宋体" w:hAnsi="宋体" w:eastAsia="宋体"/>
                <w:sz w:val="16"/>
              </w:rPr>
              <w:t>偏差原因：资金支付资料准备缓慢，导致项目资金未能支付完毕。改进措施：促使项目负责人加快项目资金支付。</w:t>
            </w:r>
          </w:p>
        </w:tc>
      </w:tr>
      <w:tr w14:paraId="35D24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B9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9D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D62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BBF8">
            <w:pPr>
              <w:jc w:val="center"/>
            </w:pPr>
            <w:r>
              <w:rPr>
                <w:rFonts w:ascii="宋体" w:hAnsi="宋体" w:eastAsia="宋体"/>
                <w:sz w:val="16"/>
              </w:rPr>
              <w:t>促进本地区群众体育发展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709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9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35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C4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76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D0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09C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5F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3968C">
            <w:pPr>
              <w:jc w:val="center"/>
            </w:pPr>
          </w:p>
        </w:tc>
      </w:tr>
      <w:tr w14:paraId="41E50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B6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9F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17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413C">
            <w:pPr>
              <w:jc w:val="center"/>
            </w:pPr>
            <w:r>
              <w:rPr>
                <w:rFonts w:ascii="宋体" w:hAnsi="宋体" w:eastAsia="宋体"/>
                <w:sz w:val="16"/>
              </w:rPr>
              <w:t>参加赛事和活动群众满意度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DC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DE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51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8A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89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C3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8B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67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4401D">
            <w:pPr>
              <w:jc w:val="center"/>
            </w:pPr>
          </w:p>
        </w:tc>
      </w:tr>
      <w:tr w14:paraId="1D2DC6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657D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3F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9D4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0365">
            <w:pPr>
              <w:jc w:val="center"/>
            </w:pPr>
            <w:r>
              <w:rPr>
                <w:rFonts w:ascii="宋体" w:hAnsi="宋体" w:eastAsia="宋体"/>
                <w:sz w:val="16"/>
              </w:rPr>
              <w:t>75.25分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E18448"/>
        </w:tc>
      </w:tr>
    </w:tbl>
    <w:p w14:paraId="053156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F13AD1E">
        <w:tblPrEx>
          <w:tblCellMar>
            <w:top w:w="0" w:type="dxa"/>
            <w:left w:w="108" w:type="dxa"/>
            <w:bottom w:w="0" w:type="dxa"/>
            <w:right w:w="108" w:type="dxa"/>
          </w:tblCellMar>
        </w:tblPrEx>
        <w:tc>
          <w:tcPr>
            <w:tcW w:w="8848" w:type="dxa"/>
            <w:gridSpan w:val="14"/>
            <w:vAlign w:val="center"/>
          </w:tcPr>
          <w:p w14:paraId="732DA7F9">
            <w:pPr>
              <w:jc w:val="center"/>
            </w:pPr>
            <w:r>
              <w:rPr>
                <w:rFonts w:ascii="宋体" w:hAnsi="宋体" w:eastAsia="宋体"/>
                <w:sz w:val="24"/>
              </w:rPr>
              <w:t>项目支出绩效自评表</w:t>
            </w:r>
          </w:p>
        </w:tc>
      </w:tr>
      <w:tr w14:paraId="3924CB09">
        <w:tblPrEx>
          <w:tblCellMar>
            <w:top w:w="0" w:type="dxa"/>
            <w:left w:w="108" w:type="dxa"/>
            <w:bottom w:w="0" w:type="dxa"/>
            <w:right w:w="108" w:type="dxa"/>
          </w:tblCellMar>
        </w:tblPrEx>
        <w:tc>
          <w:tcPr>
            <w:tcW w:w="8848" w:type="dxa"/>
            <w:gridSpan w:val="14"/>
            <w:vAlign w:val="center"/>
          </w:tcPr>
          <w:p w14:paraId="231AAC16">
            <w:pPr>
              <w:jc w:val="center"/>
            </w:pPr>
            <w:r>
              <w:rPr>
                <w:rFonts w:ascii="宋体" w:hAnsi="宋体" w:eastAsia="宋体"/>
                <w:sz w:val="24"/>
              </w:rPr>
              <w:t>(2024年度)</w:t>
            </w:r>
          </w:p>
        </w:tc>
      </w:tr>
      <w:tr w14:paraId="3EDECA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79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6B05A6">
            <w:pPr>
              <w:jc w:val="center"/>
            </w:pPr>
            <w:r>
              <w:rPr>
                <w:rFonts w:ascii="宋体" w:hAnsi="宋体" w:eastAsia="宋体"/>
                <w:sz w:val="16"/>
              </w:rPr>
              <w:t>2024年首届“喀什杯”中亚五国青少年足球邀请赛项目</w:t>
            </w:r>
          </w:p>
        </w:tc>
      </w:tr>
      <w:tr w14:paraId="0D3CA1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56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504C2">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42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C1BFB4">
            <w:pPr>
              <w:jc w:val="center"/>
            </w:pPr>
            <w:r>
              <w:rPr>
                <w:rFonts w:ascii="宋体" w:hAnsi="宋体" w:eastAsia="宋体"/>
                <w:sz w:val="16"/>
              </w:rPr>
              <w:t>新疆维吾尔自治区喀什地区体育局</w:t>
            </w:r>
          </w:p>
        </w:tc>
      </w:tr>
      <w:tr w14:paraId="1BC087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331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0A0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D82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D0D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07D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4DD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E81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9F77">
            <w:pPr>
              <w:jc w:val="center"/>
            </w:pPr>
            <w:r>
              <w:rPr>
                <w:rFonts w:ascii="宋体" w:hAnsi="宋体" w:eastAsia="宋体"/>
                <w:sz w:val="16"/>
              </w:rPr>
              <w:t>得分</w:t>
            </w:r>
          </w:p>
        </w:tc>
      </w:tr>
      <w:tr w14:paraId="47D5E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9EE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0FB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B40C">
            <w:pPr>
              <w:jc w:val="center"/>
            </w:pPr>
            <w:r>
              <w:rPr>
                <w:rFonts w:ascii="宋体" w:hAnsi="宋体" w:eastAsia="宋体"/>
                <w:sz w:val="16"/>
              </w:rPr>
              <w:t>494.38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3603">
            <w:pPr>
              <w:jc w:val="center"/>
            </w:pPr>
            <w:r>
              <w:rPr>
                <w:rFonts w:ascii="宋体" w:hAnsi="宋体" w:eastAsia="宋体"/>
                <w:sz w:val="16"/>
              </w:rPr>
              <w:t>494.38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F635F">
            <w:pPr>
              <w:jc w:val="center"/>
            </w:pPr>
            <w:r>
              <w:rPr>
                <w:rFonts w:ascii="宋体" w:hAnsi="宋体" w:eastAsia="宋体"/>
                <w:sz w:val="16"/>
              </w:rPr>
              <w:t>393.57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7F9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D8D09">
            <w:pPr>
              <w:jc w:val="center"/>
            </w:pPr>
            <w:r>
              <w:rPr>
                <w:rFonts w:ascii="宋体" w:hAnsi="宋体" w:eastAsia="宋体"/>
                <w:sz w:val="16"/>
              </w:rPr>
              <w:t>79.6%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EC9F">
            <w:pPr>
              <w:jc w:val="center"/>
            </w:pPr>
            <w:r>
              <w:rPr>
                <w:rFonts w:ascii="宋体" w:hAnsi="宋体" w:eastAsia="宋体"/>
                <w:sz w:val="16"/>
              </w:rPr>
              <w:t>4.90分</w:t>
            </w:r>
          </w:p>
        </w:tc>
      </w:tr>
      <w:tr w14:paraId="3364E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F9E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BBB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74144">
            <w:pPr>
              <w:jc w:val="center"/>
            </w:pPr>
            <w:r>
              <w:rPr>
                <w:rFonts w:ascii="宋体" w:hAnsi="宋体" w:eastAsia="宋体"/>
                <w:sz w:val="16"/>
              </w:rPr>
              <w:t>494.38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D082E">
            <w:pPr>
              <w:jc w:val="center"/>
            </w:pPr>
            <w:r>
              <w:rPr>
                <w:rFonts w:ascii="宋体" w:hAnsi="宋体" w:eastAsia="宋体"/>
                <w:sz w:val="16"/>
              </w:rPr>
              <w:t>494.38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E57EF">
            <w:pPr>
              <w:jc w:val="center"/>
            </w:pPr>
            <w:r>
              <w:rPr>
                <w:rFonts w:ascii="宋体" w:hAnsi="宋体" w:eastAsia="宋体"/>
                <w:sz w:val="16"/>
              </w:rPr>
              <w:t>393.57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786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3A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0FD5">
            <w:pPr>
              <w:jc w:val="center"/>
            </w:pPr>
            <w:r>
              <w:rPr>
                <w:rFonts w:ascii="宋体" w:hAnsi="宋体" w:eastAsia="宋体"/>
                <w:sz w:val="16"/>
              </w:rPr>
              <w:t>—</w:t>
            </w:r>
          </w:p>
        </w:tc>
      </w:tr>
      <w:tr w14:paraId="47E4E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71E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CB6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0A8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2E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944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B2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C10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B911">
            <w:pPr>
              <w:jc w:val="center"/>
            </w:pPr>
            <w:r>
              <w:rPr>
                <w:rFonts w:ascii="宋体" w:hAnsi="宋体" w:eastAsia="宋体"/>
                <w:sz w:val="16"/>
              </w:rPr>
              <w:t>—</w:t>
            </w:r>
          </w:p>
        </w:tc>
      </w:tr>
      <w:tr w14:paraId="420970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FCD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C64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6B7755">
            <w:pPr>
              <w:jc w:val="center"/>
            </w:pPr>
            <w:r>
              <w:rPr>
                <w:rFonts w:ascii="宋体" w:hAnsi="宋体" w:eastAsia="宋体"/>
                <w:sz w:val="16"/>
              </w:rPr>
              <w:t>实际完成情况</w:t>
            </w:r>
          </w:p>
        </w:tc>
      </w:tr>
      <w:tr w14:paraId="62D97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E1D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39418">
            <w:pPr>
              <w:jc w:val="both"/>
            </w:pPr>
            <w:r>
              <w:rPr>
                <w:rFonts w:ascii="宋体" w:hAnsi="宋体" w:eastAsia="宋体"/>
                <w:sz w:val="16"/>
              </w:rPr>
              <w:t>邀请中亚四个国家在喀什地区举办一次国际性足球邀请赛，计划举行10场比赛。该项目的实施能有效培养和选拔喀什地区后备体育人才，促进我区体育事业发展。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DBF83D">
            <w:pPr>
              <w:jc w:val="both"/>
            </w:pPr>
            <w:r>
              <w:rPr>
                <w:rFonts w:ascii="宋体" w:hAnsi="宋体" w:eastAsia="宋体"/>
                <w:sz w:val="16"/>
              </w:rPr>
              <w:t>我单位邀请中亚四个国家在喀什地区举办国际性足球邀请赛，举行10场比赛。促进了我区体育事业的发展，培养和选拔了喀什地区后备足球体育人才。</w:t>
            </w:r>
          </w:p>
        </w:tc>
      </w:tr>
      <w:tr w14:paraId="79B8F4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C632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B4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DD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CA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C7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F7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EA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D4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97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9C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10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0E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16C94">
            <w:pPr>
              <w:jc w:val="center"/>
            </w:pPr>
            <w:r>
              <w:rPr>
                <w:rFonts w:ascii="宋体" w:hAnsi="宋体" w:eastAsia="宋体"/>
                <w:sz w:val="16"/>
              </w:rPr>
              <w:t>偏差原因分析及改进措施</w:t>
            </w:r>
          </w:p>
        </w:tc>
      </w:tr>
      <w:tr w14:paraId="16722D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2E6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8EFF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7D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FAA8">
            <w:pPr>
              <w:jc w:val="center"/>
            </w:pPr>
            <w:r>
              <w:rPr>
                <w:rFonts w:ascii="宋体" w:hAnsi="宋体" w:eastAsia="宋体"/>
                <w:sz w:val="16"/>
              </w:rPr>
              <w:t>举行比赛场次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79ED">
            <w:pPr>
              <w:jc w:val="center"/>
            </w:pPr>
            <w:r>
              <w:rPr>
                <w:rFonts w:ascii="宋体" w:hAnsi="宋体" w:eastAsia="宋体"/>
                <w:sz w:val="16"/>
              </w:rPr>
              <w:t>&gt;=10场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AF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B2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1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7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46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D57B">
            <w:pPr>
              <w:jc w:val="center"/>
            </w:pPr>
            <w:r>
              <w:rPr>
                <w:rFonts w:ascii="宋体" w:hAnsi="宋体" w:eastAsia="宋体"/>
                <w:sz w:val="16"/>
              </w:rPr>
              <w:t>=10场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5D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16B38">
            <w:pPr>
              <w:jc w:val="center"/>
            </w:pPr>
          </w:p>
        </w:tc>
      </w:tr>
      <w:tr w14:paraId="36359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F5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F8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EB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A8E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A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6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D8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9B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B5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2E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8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12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7FDC">
            <w:pPr>
              <w:jc w:val="center"/>
            </w:pPr>
          </w:p>
        </w:tc>
      </w:tr>
      <w:tr w14:paraId="5606C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6AF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E55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8AD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9C5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788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F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A8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35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2B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1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4A4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9E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DFBD4">
            <w:pPr>
              <w:jc w:val="center"/>
            </w:pPr>
          </w:p>
        </w:tc>
      </w:tr>
      <w:tr w14:paraId="0FA42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BC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BC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361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9542">
            <w:pPr>
              <w:jc w:val="center"/>
            </w:pPr>
            <w:r>
              <w:rPr>
                <w:rFonts w:ascii="宋体" w:hAnsi="宋体" w:eastAsia="宋体"/>
                <w:sz w:val="16"/>
              </w:rPr>
              <w:t>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518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F30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31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A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48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DD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D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26CC">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84D78">
            <w:pPr>
              <w:jc w:val="center"/>
            </w:pPr>
            <w:r>
              <w:rPr>
                <w:rFonts w:ascii="宋体" w:hAnsi="宋体" w:eastAsia="宋体"/>
                <w:sz w:val="16"/>
              </w:rPr>
              <w:t>偏差原因：</w:t>
            </w:r>
            <w:r>
              <w:rPr>
                <w:rFonts w:hint="eastAsia" w:ascii="宋体" w:hAnsi="宋体"/>
                <w:sz w:val="16"/>
                <w:lang w:eastAsia="zh-CN"/>
              </w:rPr>
              <w:t>目标值</w:t>
            </w:r>
            <w:r>
              <w:rPr>
                <w:rFonts w:ascii="宋体" w:hAnsi="宋体" w:eastAsia="宋体"/>
                <w:sz w:val="16"/>
              </w:rPr>
              <w:t>设置偏低，实际完成值偏高。改进措施：根据指标实际情况合理设置目标值。</w:t>
            </w:r>
          </w:p>
        </w:tc>
      </w:tr>
      <w:tr w14:paraId="63530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52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67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C4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577D">
            <w:pPr>
              <w:jc w:val="center"/>
            </w:pPr>
            <w:r>
              <w:rPr>
                <w:rFonts w:ascii="宋体" w:hAnsi="宋体" w:eastAsia="宋体"/>
                <w:sz w:val="16"/>
              </w:rPr>
              <w:t>单场比赛成本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F052">
            <w:pPr>
              <w:jc w:val="center"/>
            </w:pPr>
            <w:r>
              <w:rPr>
                <w:rFonts w:ascii="宋体" w:hAnsi="宋体" w:eastAsia="宋体"/>
                <w:sz w:val="16"/>
              </w:rPr>
              <w:t>&lt;=49.44万元/场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E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39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B5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2C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48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527B">
            <w:pPr>
              <w:jc w:val="center"/>
            </w:pPr>
            <w:r>
              <w:rPr>
                <w:rFonts w:ascii="宋体" w:hAnsi="宋体" w:eastAsia="宋体"/>
                <w:sz w:val="16"/>
              </w:rPr>
              <w:t>=39.36万元/场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82DD">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EEAE8">
            <w:pPr>
              <w:jc w:val="center"/>
            </w:pPr>
            <w:r>
              <w:rPr>
                <w:rFonts w:ascii="宋体" w:hAnsi="宋体" w:eastAsia="宋体"/>
                <w:sz w:val="16"/>
              </w:rPr>
              <w:t>偏差原因：项目预算设置不精准，单场比赛成本低于预算数。改进措施：加强项目预算精准度</w:t>
            </w:r>
          </w:p>
        </w:tc>
      </w:tr>
      <w:tr w14:paraId="162C4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2F4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16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FD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7712">
            <w:pPr>
              <w:jc w:val="center"/>
            </w:pPr>
            <w:r>
              <w:rPr>
                <w:rFonts w:ascii="宋体" w:hAnsi="宋体" w:eastAsia="宋体"/>
                <w:sz w:val="16"/>
              </w:rPr>
              <w:t>促进我区体育事业发展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232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63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D0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31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75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FB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09E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127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CEFB">
            <w:pPr>
              <w:jc w:val="center"/>
            </w:pPr>
          </w:p>
        </w:tc>
      </w:tr>
      <w:tr w14:paraId="605C5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1F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C0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90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DA32">
            <w:pPr>
              <w:jc w:val="center"/>
            </w:pPr>
            <w:r>
              <w:rPr>
                <w:rFonts w:ascii="宋体" w:hAnsi="宋体" w:eastAsia="宋体"/>
                <w:sz w:val="16"/>
              </w:rPr>
              <w:t>参加比赛人员满意度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30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0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42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08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A9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D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A6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C3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8567">
            <w:pPr>
              <w:jc w:val="center"/>
            </w:pPr>
          </w:p>
        </w:tc>
      </w:tr>
      <w:tr w14:paraId="47EC2B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65A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A6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1A1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6719">
            <w:pPr>
              <w:jc w:val="center"/>
            </w:pPr>
            <w:r>
              <w:rPr>
                <w:rFonts w:ascii="宋体" w:hAnsi="宋体" w:eastAsia="宋体"/>
                <w:sz w:val="16"/>
              </w:rPr>
              <w:t>84.2分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B9B138"/>
        </w:tc>
      </w:tr>
    </w:tbl>
    <w:p w14:paraId="0EB212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4868112">
        <w:tblPrEx>
          <w:tblCellMar>
            <w:top w:w="0" w:type="dxa"/>
            <w:left w:w="108" w:type="dxa"/>
            <w:bottom w:w="0" w:type="dxa"/>
            <w:right w:w="108" w:type="dxa"/>
          </w:tblCellMar>
        </w:tblPrEx>
        <w:tc>
          <w:tcPr>
            <w:tcW w:w="8848" w:type="dxa"/>
            <w:gridSpan w:val="14"/>
            <w:vAlign w:val="center"/>
          </w:tcPr>
          <w:p w14:paraId="09786EA1">
            <w:pPr>
              <w:jc w:val="center"/>
            </w:pPr>
            <w:r>
              <w:rPr>
                <w:rFonts w:ascii="宋体" w:hAnsi="宋体" w:eastAsia="宋体"/>
                <w:sz w:val="24"/>
              </w:rPr>
              <w:t>项目支出绩效自评表</w:t>
            </w:r>
          </w:p>
        </w:tc>
      </w:tr>
      <w:tr w14:paraId="621B29C4">
        <w:tblPrEx>
          <w:tblCellMar>
            <w:top w:w="0" w:type="dxa"/>
            <w:left w:w="108" w:type="dxa"/>
            <w:bottom w:w="0" w:type="dxa"/>
            <w:right w:w="108" w:type="dxa"/>
          </w:tblCellMar>
        </w:tblPrEx>
        <w:tc>
          <w:tcPr>
            <w:tcW w:w="8848" w:type="dxa"/>
            <w:gridSpan w:val="14"/>
            <w:vAlign w:val="center"/>
          </w:tcPr>
          <w:p w14:paraId="3382D76C">
            <w:pPr>
              <w:jc w:val="center"/>
            </w:pPr>
            <w:r>
              <w:rPr>
                <w:rFonts w:ascii="宋体" w:hAnsi="宋体" w:eastAsia="宋体"/>
                <w:sz w:val="24"/>
              </w:rPr>
              <w:t>(2024年度)</w:t>
            </w:r>
          </w:p>
        </w:tc>
      </w:tr>
      <w:tr w14:paraId="7F4887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F5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4985D1">
            <w:pPr>
              <w:jc w:val="center"/>
            </w:pPr>
            <w:r>
              <w:rPr>
                <w:rFonts w:ascii="宋体" w:hAnsi="宋体" w:eastAsia="宋体"/>
                <w:sz w:val="16"/>
              </w:rPr>
              <w:t>中央集中彩票公益金支持体育事业项目</w:t>
            </w:r>
          </w:p>
        </w:tc>
      </w:tr>
      <w:tr w14:paraId="36B455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11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01B063">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03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6664E6">
            <w:pPr>
              <w:jc w:val="center"/>
            </w:pPr>
            <w:r>
              <w:rPr>
                <w:rFonts w:ascii="宋体" w:hAnsi="宋体" w:eastAsia="宋体"/>
                <w:sz w:val="16"/>
              </w:rPr>
              <w:t>新疆维吾尔自治区喀什地区体育局</w:t>
            </w:r>
          </w:p>
        </w:tc>
      </w:tr>
      <w:tr w14:paraId="4EBEE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A2B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26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ED76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53B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86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4DB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2D0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00DD">
            <w:pPr>
              <w:jc w:val="center"/>
            </w:pPr>
            <w:r>
              <w:rPr>
                <w:rFonts w:ascii="宋体" w:hAnsi="宋体" w:eastAsia="宋体"/>
                <w:sz w:val="16"/>
              </w:rPr>
              <w:t>得分</w:t>
            </w:r>
          </w:p>
        </w:tc>
      </w:tr>
      <w:tr w14:paraId="50C1E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180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18F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7BA9C">
            <w:pPr>
              <w:jc w:val="center"/>
            </w:pPr>
            <w:r>
              <w:rPr>
                <w:rFonts w:ascii="宋体" w:hAnsi="宋体" w:eastAsia="宋体"/>
                <w:sz w:val="16"/>
              </w:rPr>
              <w:t>583.40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A83E">
            <w:pPr>
              <w:jc w:val="center"/>
            </w:pPr>
            <w:r>
              <w:rPr>
                <w:rFonts w:ascii="宋体" w:hAnsi="宋体" w:eastAsia="宋体"/>
                <w:sz w:val="16"/>
              </w:rPr>
              <w:t>583.40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D8D28">
            <w:pPr>
              <w:jc w:val="center"/>
            </w:pPr>
            <w:r>
              <w:rPr>
                <w:rFonts w:ascii="宋体" w:hAnsi="宋体" w:eastAsia="宋体"/>
                <w:sz w:val="16"/>
              </w:rPr>
              <w:t>88.55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374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0B98">
            <w:pPr>
              <w:jc w:val="center"/>
            </w:pPr>
            <w:r>
              <w:rPr>
                <w:rFonts w:ascii="宋体" w:hAnsi="宋体" w:eastAsia="宋体"/>
                <w:sz w:val="16"/>
              </w:rPr>
              <w:t>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C807">
            <w:pPr>
              <w:jc w:val="center"/>
            </w:pPr>
            <w:r>
              <w:rPr>
                <w:rFonts w:ascii="宋体" w:hAnsi="宋体" w:eastAsia="宋体"/>
                <w:sz w:val="16"/>
              </w:rPr>
              <w:t>0.00分</w:t>
            </w:r>
          </w:p>
        </w:tc>
      </w:tr>
      <w:tr w14:paraId="6F659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823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BA7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6FFB7">
            <w:pPr>
              <w:jc w:val="center"/>
            </w:pPr>
            <w:r>
              <w:rPr>
                <w:rFonts w:ascii="宋体" w:hAnsi="宋体" w:eastAsia="宋体"/>
                <w:sz w:val="16"/>
              </w:rPr>
              <w:t>583.40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EFDD">
            <w:pPr>
              <w:jc w:val="center"/>
            </w:pPr>
            <w:r>
              <w:rPr>
                <w:rFonts w:ascii="宋体" w:hAnsi="宋体" w:eastAsia="宋体"/>
                <w:sz w:val="16"/>
              </w:rPr>
              <w:t>583.40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ABD67">
            <w:pPr>
              <w:jc w:val="center"/>
            </w:pPr>
            <w:r>
              <w:rPr>
                <w:rFonts w:ascii="宋体" w:hAnsi="宋体" w:eastAsia="宋体"/>
                <w:sz w:val="16"/>
              </w:rPr>
              <w:t>88.55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508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19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F837">
            <w:pPr>
              <w:jc w:val="center"/>
            </w:pPr>
            <w:r>
              <w:rPr>
                <w:rFonts w:ascii="宋体" w:hAnsi="宋体" w:eastAsia="宋体"/>
                <w:sz w:val="16"/>
              </w:rPr>
              <w:t>—</w:t>
            </w:r>
          </w:p>
        </w:tc>
      </w:tr>
      <w:tr w14:paraId="07C79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23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866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582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182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A0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9F6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919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78D6">
            <w:pPr>
              <w:jc w:val="center"/>
            </w:pPr>
            <w:r>
              <w:rPr>
                <w:rFonts w:ascii="宋体" w:hAnsi="宋体" w:eastAsia="宋体"/>
                <w:sz w:val="16"/>
              </w:rPr>
              <w:t>—</w:t>
            </w:r>
          </w:p>
        </w:tc>
      </w:tr>
      <w:tr w14:paraId="06C520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763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09F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5FA0DC">
            <w:pPr>
              <w:jc w:val="center"/>
            </w:pPr>
            <w:r>
              <w:rPr>
                <w:rFonts w:ascii="宋体" w:hAnsi="宋体" w:eastAsia="宋体"/>
                <w:sz w:val="16"/>
              </w:rPr>
              <w:t>实际完成情况</w:t>
            </w:r>
          </w:p>
        </w:tc>
      </w:tr>
      <w:tr w14:paraId="028F9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502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5EE9A8">
            <w:pPr>
              <w:jc w:val="both"/>
            </w:pPr>
            <w:r>
              <w:rPr>
                <w:rFonts w:ascii="宋体" w:hAnsi="宋体" w:eastAsia="宋体"/>
                <w:sz w:val="16"/>
              </w:rPr>
              <w:t>在喀什地区举办一次三大球体育比赛项目、在喀什市开展西部地区体教融合足球青训体系建设活动、举办1次足球教练员培训班。培养足球青少年人才队伍建设，对青少年体育可持续发展产生长远影响。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D81002">
            <w:pPr>
              <w:jc w:val="both"/>
            </w:pPr>
            <w:r>
              <w:rPr>
                <w:rFonts w:ascii="宋体" w:hAnsi="宋体" w:eastAsia="宋体"/>
                <w:sz w:val="16"/>
              </w:rPr>
              <w:t>举办篮球、排球、足球三大球比赛，培养喀什地区优秀青少年足球运动员并举办足球教练员培训班。有效</w:t>
            </w:r>
            <w:r>
              <w:rPr>
                <w:rFonts w:hint="eastAsia" w:ascii="宋体" w:hAnsi="宋体"/>
                <w:sz w:val="16"/>
                <w:lang w:eastAsia="zh-CN"/>
              </w:rPr>
              <w:t>地</w:t>
            </w:r>
            <w:r>
              <w:rPr>
                <w:rFonts w:ascii="宋体" w:hAnsi="宋体" w:eastAsia="宋体"/>
                <w:sz w:val="16"/>
              </w:rPr>
              <w:t>培养足球青少年后备人才，建设了优秀的足球人才后备梯队。</w:t>
            </w:r>
          </w:p>
        </w:tc>
      </w:tr>
      <w:tr w14:paraId="154CE8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17E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3C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8F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57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5B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48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48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AB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10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FF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35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FC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A991">
            <w:pPr>
              <w:jc w:val="center"/>
            </w:pPr>
            <w:r>
              <w:rPr>
                <w:rFonts w:ascii="宋体" w:hAnsi="宋体" w:eastAsia="宋体"/>
                <w:sz w:val="16"/>
              </w:rPr>
              <w:t>偏差原因分析及改进措施</w:t>
            </w:r>
          </w:p>
        </w:tc>
      </w:tr>
      <w:tr w14:paraId="4691FF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686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AC3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A02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99BD">
            <w:pPr>
              <w:jc w:val="center"/>
            </w:pPr>
            <w:r>
              <w:rPr>
                <w:rFonts w:ascii="宋体" w:hAnsi="宋体" w:eastAsia="宋体"/>
                <w:sz w:val="16"/>
              </w:rPr>
              <w:t>支持赛事活动数量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13BB">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7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CA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E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14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0D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88DA">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0F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053CD">
            <w:pPr>
              <w:jc w:val="center"/>
            </w:pPr>
          </w:p>
        </w:tc>
      </w:tr>
      <w:tr w14:paraId="385F7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F7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97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40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B6CB">
            <w:pPr>
              <w:jc w:val="center"/>
            </w:pPr>
            <w:r>
              <w:rPr>
                <w:rFonts w:ascii="宋体" w:hAnsi="宋体" w:eastAsia="宋体"/>
                <w:sz w:val="16"/>
              </w:rPr>
              <w:t>举办足球教练员</w:t>
            </w:r>
            <w:r>
              <w:rPr>
                <w:rFonts w:hint="eastAsia" w:ascii="宋体" w:hAnsi="宋体"/>
                <w:sz w:val="16"/>
                <w:lang w:eastAsia="zh-CN"/>
              </w:rPr>
              <w:t>培训班</w:t>
            </w:r>
            <w:r>
              <w:rPr>
                <w:rFonts w:ascii="宋体" w:hAnsi="宋体" w:eastAsia="宋体"/>
                <w:sz w:val="16"/>
              </w:rPr>
              <w:t>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2697">
            <w:pPr>
              <w:jc w:val="center"/>
            </w:pPr>
            <w:r>
              <w:rPr>
                <w:rFonts w:ascii="宋体" w:hAnsi="宋体" w:eastAsia="宋体"/>
                <w:sz w:val="16"/>
              </w:rPr>
              <w:t>&gt;=1期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6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68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BC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1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AD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33C2">
            <w:pPr>
              <w:jc w:val="center"/>
            </w:pPr>
            <w:r>
              <w:rPr>
                <w:rFonts w:ascii="宋体" w:hAnsi="宋体" w:eastAsia="宋体"/>
                <w:sz w:val="16"/>
              </w:rPr>
              <w: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5E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61FE">
            <w:pPr>
              <w:jc w:val="center"/>
            </w:pPr>
          </w:p>
        </w:tc>
      </w:tr>
      <w:tr w14:paraId="054BC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53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5A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0A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056A">
            <w:pPr>
              <w:jc w:val="center"/>
            </w:pPr>
            <w:r>
              <w:rPr>
                <w:rFonts w:ascii="宋体" w:hAnsi="宋体" w:eastAsia="宋体"/>
                <w:sz w:val="16"/>
              </w:rPr>
              <w:t>赛事和活动完成率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CEF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8E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FF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68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3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C4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0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D580">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3A657">
            <w:pPr>
              <w:jc w:val="center"/>
            </w:pPr>
            <w:r>
              <w:rPr>
                <w:rFonts w:ascii="宋体" w:hAnsi="宋体" w:eastAsia="宋体"/>
                <w:sz w:val="16"/>
              </w:rPr>
              <w:t>偏差原因：目标值设置偏低，赛事和活动按时举办完成，导致出现正偏差</w:t>
            </w:r>
          </w:p>
        </w:tc>
      </w:tr>
      <w:tr w14:paraId="3F5E1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54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40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DC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553D">
            <w:pPr>
              <w:jc w:val="center"/>
            </w:pPr>
            <w:r>
              <w:rPr>
                <w:rFonts w:ascii="宋体" w:hAnsi="宋体" w:eastAsia="宋体"/>
                <w:sz w:val="16"/>
              </w:rPr>
              <w:t>赛事活动举办及时率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E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C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C8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16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2E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54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9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7F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44F65">
            <w:pPr>
              <w:jc w:val="center"/>
            </w:pPr>
          </w:p>
        </w:tc>
      </w:tr>
      <w:tr w14:paraId="38F2D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A02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805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FA1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4459">
            <w:pPr>
              <w:jc w:val="center"/>
            </w:pPr>
            <w:r>
              <w:rPr>
                <w:rFonts w:ascii="宋体" w:hAnsi="宋体" w:eastAsia="宋体"/>
                <w:sz w:val="16"/>
              </w:rPr>
              <w:t>三大球比赛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BC40">
            <w:pPr>
              <w:jc w:val="center"/>
            </w:pPr>
            <w:r>
              <w:rPr>
                <w:rFonts w:ascii="宋体" w:hAnsi="宋体" w:eastAsia="宋体"/>
                <w:sz w:val="16"/>
              </w:rPr>
              <w:t>&lt;=44.40万元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4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F3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67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3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3E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9FDA">
            <w:pPr>
              <w:jc w:val="center"/>
            </w:pPr>
            <w:r>
              <w:rPr>
                <w:rFonts w:ascii="宋体" w:hAnsi="宋体" w:eastAsia="宋体"/>
                <w:sz w:val="16"/>
              </w:rPr>
              <w:t>=28.9万元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22A2">
            <w:pPr>
              <w:jc w:val="center"/>
            </w:pPr>
            <w:r>
              <w:rPr>
                <w:rFonts w:ascii="宋体" w:hAnsi="宋体" w:eastAsia="宋体"/>
                <w:sz w:val="16"/>
              </w:rPr>
              <w:t>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9CB72">
            <w:pPr>
              <w:jc w:val="center"/>
            </w:pPr>
            <w:r>
              <w:rPr>
                <w:rFonts w:ascii="宋体" w:hAnsi="宋体" w:eastAsia="宋体"/>
                <w:sz w:val="16"/>
              </w:rPr>
              <w:t>偏差原因：节约成本，三大球比赛支付资金小于预算资金。改进措施：按照项目实际到位金额编制预算</w:t>
            </w:r>
          </w:p>
        </w:tc>
      </w:tr>
      <w:tr w14:paraId="2F5A3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E07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D3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EF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8E89">
            <w:pPr>
              <w:jc w:val="center"/>
            </w:pPr>
            <w:r>
              <w:rPr>
                <w:rFonts w:ascii="宋体" w:hAnsi="宋体" w:eastAsia="宋体"/>
                <w:sz w:val="16"/>
              </w:rPr>
              <w:t>西部地区体教融合足球青训体系建设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09A9">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C6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65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0D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4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0C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1961">
            <w:pPr>
              <w:jc w:val="center"/>
            </w:pPr>
            <w:r>
              <w:rPr>
                <w:rFonts w:ascii="宋体" w:hAnsi="宋体" w:eastAsia="宋体"/>
                <w:sz w:val="16"/>
              </w:rPr>
              <w:t>=21.52万元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06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9CB5D">
            <w:pPr>
              <w:jc w:val="center"/>
            </w:pPr>
            <w:r>
              <w:rPr>
                <w:rFonts w:ascii="宋体" w:hAnsi="宋体" w:eastAsia="宋体"/>
                <w:sz w:val="16"/>
              </w:rPr>
              <w:t>偏差原因：资金支付资料准备缓慢，资金支付缓慢。改进措施：促使项目负责人加快项目资金支付。</w:t>
            </w:r>
          </w:p>
        </w:tc>
      </w:tr>
      <w:tr w14:paraId="0D506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51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F1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2E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BCD9">
            <w:pPr>
              <w:jc w:val="center"/>
            </w:pPr>
            <w:r>
              <w:rPr>
                <w:rFonts w:ascii="宋体" w:hAnsi="宋体" w:eastAsia="宋体"/>
                <w:sz w:val="16"/>
              </w:rPr>
              <w:t>足球教练员培训班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718D">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81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22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AC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9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59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7B84">
            <w:pPr>
              <w:jc w:val="center"/>
            </w:pPr>
            <w:r>
              <w:rPr>
                <w:rFonts w:ascii="宋体" w:hAnsi="宋体" w:eastAsia="宋体"/>
                <w:sz w:val="16"/>
              </w:rPr>
              <w:t>=38.13万元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4631">
            <w:pPr>
              <w:jc w:val="center"/>
            </w:pPr>
            <w:r>
              <w:rPr>
                <w:rFonts w:ascii="宋体" w:hAnsi="宋体" w:eastAsia="宋体"/>
                <w:sz w:val="16"/>
              </w:rPr>
              <w:t>6.61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0E8F8">
            <w:pPr>
              <w:jc w:val="center"/>
            </w:pPr>
            <w:r>
              <w:rPr>
                <w:rFonts w:ascii="宋体" w:hAnsi="宋体" w:eastAsia="宋体"/>
                <w:sz w:val="16"/>
              </w:rPr>
              <w:t>偏差原因：预算编制不精准，资金出现结余。改进措施：编制精准预算。</w:t>
            </w:r>
          </w:p>
        </w:tc>
      </w:tr>
      <w:tr w14:paraId="55BD1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A6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3D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51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F443">
            <w:pPr>
              <w:jc w:val="center"/>
            </w:pPr>
            <w:r>
              <w:rPr>
                <w:rFonts w:ascii="宋体" w:hAnsi="宋体" w:eastAsia="宋体"/>
                <w:sz w:val="16"/>
              </w:rPr>
              <w:t>对青少年体育可持续发展的影响程度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2D0A">
            <w:pPr>
              <w:jc w:val="center"/>
            </w:pPr>
            <w:r>
              <w:rPr>
                <w:rFonts w:ascii="宋体" w:hAnsi="宋体" w:eastAsia="宋体"/>
                <w:sz w:val="16"/>
              </w:rPr>
              <w:t>长远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7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7B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B8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29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4A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A188">
            <w:pPr>
              <w:jc w:val="center"/>
            </w:pPr>
            <w:r>
              <w:rPr>
                <w:rFonts w:ascii="宋体" w:hAnsi="宋体" w:eastAsia="宋体"/>
                <w:sz w:val="16"/>
              </w:rPr>
              <w:t>长远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12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E60DB">
            <w:pPr>
              <w:jc w:val="center"/>
            </w:pPr>
          </w:p>
        </w:tc>
      </w:tr>
      <w:tr w14:paraId="49718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C4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00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6D0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C456">
            <w:pPr>
              <w:jc w:val="center"/>
            </w:pPr>
            <w:r>
              <w:rPr>
                <w:rFonts w:ascii="宋体" w:hAnsi="宋体" w:eastAsia="宋体"/>
                <w:sz w:val="16"/>
              </w:rPr>
              <w:t>参加赛事和活动群众满意度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7D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E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C0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B7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31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A2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856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44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2C8FC">
            <w:pPr>
              <w:jc w:val="center"/>
            </w:pPr>
          </w:p>
        </w:tc>
      </w:tr>
      <w:tr w14:paraId="5175B1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CEB7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FA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BDF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3FA4">
            <w:pPr>
              <w:jc w:val="center"/>
            </w:pPr>
            <w:r>
              <w:rPr>
                <w:rFonts w:ascii="宋体" w:hAnsi="宋体" w:eastAsia="宋体"/>
                <w:sz w:val="16"/>
              </w:rPr>
              <w:t>76.39分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DDEED4"/>
        </w:tc>
      </w:tr>
    </w:tbl>
    <w:p w14:paraId="2FA52F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9926AD3">
        <w:tblPrEx>
          <w:tblCellMar>
            <w:top w:w="0" w:type="dxa"/>
            <w:left w:w="108" w:type="dxa"/>
            <w:bottom w:w="0" w:type="dxa"/>
            <w:right w:w="108" w:type="dxa"/>
          </w:tblCellMar>
        </w:tblPrEx>
        <w:tc>
          <w:tcPr>
            <w:tcW w:w="8848" w:type="dxa"/>
            <w:gridSpan w:val="14"/>
            <w:vAlign w:val="center"/>
          </w:tcPr>
          <w:p w14:paraId="28C8B985">
            <w:pPr>
              <w:jc w:val="center"/>
            </w:pPr>
            <w:r>
              <w:rPr>
                <w:rFonts w:ascii="宋体" w:hAnsi="宋体" w:eastAsia="宋体"/>
                <w:sz w:val="24"/>
              </w:rPr>
              <w:t>项目支出绩效自评表</w:t>
            </w:r>
          </w:p>
        </w:tc>
      </w:tr>
      <w:tr w14:paraId="49FF00D6">
        <w:tblPrEx>
          <w:tblCellMar>
            <w:top w:w="0" w:type="dxa"/>
            <w:left w:w="108" w:type="dxa"/>
            <w:bottom w:w="0" w:type="dxa"/>
            <w:right w:w="108" w:type="dxa"/>
          </w:tblCellMar>
        </w:tblPrEx>
        <w:tc>
          <w:tcPr>
            <w:tcW w:w="8848" w:type="dxa"/>
            <w:gridSpan w:val="14"/>
            <w:vAlign w:val="center"/>
          </w:tcPr>
          <w:p w14:paraId="68437FC7">
            <w:pPr>
              <w:jc w:val="center"/>
            </w:pPr>
            <w:r>
              <w:rPr>
                <w:rFonts w:ascii="宋体" w:hAnsi="宋体" w:eastAsia="宋体"/>
                <w:sz w:val="24"/>
              </w:rPr>
              <w:t>(2024年度)</w:t>
            </w:r>
          </w:p>
        </w:tc>
      </w:tr>
      <w:tr w14:paraId="32843D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92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EF03E1">
            <w:pPr>
              <w:jc w:val="center"/>
            </w:pPr>
            <w:r>
              <w:rPr>
                <w:rFonts w:ascii="宋体" w:hAnsi="宋体" w:eastAsia="宋体"/>
                <w:sz w:val="16"/>
              </w:rPr>
              <w:t>冬季体育竞技人才训练经费项目</w:t>
            </w:r>
          </w:p>
        </w:tc>
      </w:tr>
      <w:tr w14:paraId="70B51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D0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58D34">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19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D8572E">
            <w:pPr>
              <w:jc w:val="center"/>
            </w:pPr>
            <w:r>
              <w:rPr>
                <w:rFonts w:ascii="宋体" w:hAnsi="宋体" w:eastAsia="宋体"/>
                <w:sz w:val="16"/>
              </w:rPr>
              <w:t>新疆维吾尔自治区喀什地区体育局</w:t>
            </w:r>
          </w:p>
        </w:tc>
      </w:tr>
      <w:tr w14:paraId="19BF51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7DD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7F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36A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730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91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D04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914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1840">
            <w:pPr>
              <w:jc w:val="center"/>
            </w:pPr>
            <w:r>
              <w:rPr>
                <w:rFonts w:ascii="宋体" w:hAnsi="宋体" w:eastAsia="宋体"/>
                <w:sz w:val="16"/>
              </w:rPr>
              <w:t>得分</w:t>
            </w:r>
          </w:p>
        </w:tc>
      </w:tr>
      <w:tr w14:paraId="26C8D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E1F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DF9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A42E9">
            <w:pPr>
              <w:jc w:val="center"/>
            </w:pPr>
            <w:r>
              <w:rPr>
                <w:rFonts w:ascii="宋体" w:hAnsi="宋体" w:eastAsia="宋体"/>
                <w:sz w:val="16"/>
              </w:rPr>
              <w:t>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C667">
            <w:pPr>
              <w:jc w:val="center"/>
            </w:pPr>
            <w:r>
              <w:rPr>
                <w:rFonts w:ascii="宋体" w:hAnsi="宋体" w:eastAsia="宋体"/>
                <w:sz w:val="16"/>
              </w:rPr>
              <w:t>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29A97">
            <w:pPr>
              <w:jc w:val="center"/>
            </w:pPr>
            <w:r>
              <w:rPr>
                <w:rFonts w:ascii="宋体" w:hAnsi="宋体" w:eastAsia="宋体"/>
                <w:sz w:val="16"/>
              </w:rPr>
              <w:t>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067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3140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E883">
            <w:pPr>
              <w:jc w:val="center"/>
            </w:pPr>
            <w:r>
              <w:rPr>
                <w:rFonts w:ascii="宋体" w:hAnsi="宋体" w:eastAsia="宋体"/>
                <w:sz w:val="16"/>
              </w:rPr>
              <w:t>10.00分</w:t>
            </w:r>
          </w:p>
        </w:tc>
      </w:tr>
      <w:tr w14:paraId="16559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2C3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60F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66FAC">
            <w:pPr>
              <w:jc w:val="center"/>
            </w:pPr>
            <w:r>
              <w:rPr>
                <w:rFonts w:ascii="宋体" w:hAnsi="宋体" w:eastAsia="宋体"/>
                <w:sz w:val="16"/>
              </w:rPr>
              <w:t>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5D6C8">
            <w:pPr>
              <w:jc w:val="center"/>
            </w:pPr>
            <w:r>
              <w:rPr>
                <w:rFonts w:ascii="宋体" w:hAnsi="宋体" w:eastAsia="宋体"/>
                <w:sz w:val="16"/>
              </w:rPr>
              <w:t>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561BD">
            <w:pPr>
              <w:jc w:val="center"/>
            </w:pPr>
            <w:r>
              <w:rPr>
                <w:rFonts w:ascii="宋体" w:hAnsi="宋体" w:eastAsia="宋体"/>
                <w:sz w:val="16"/>
              </w:rPr>
              <w:t>30.38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A3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C17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065E">
            <w:pPr>
              <w:jc w:val="center"/>
            </w:pPr>
            <w:r>
              <w:rPr>
                <w:rFonts w:ascii="宋体" w:hAnsi="宋体" w:eastAsia="宋体"/>
                <w:sz w:val="16"/>
              </w:rPr>
              <w:t>—</w:t>
            </w:r>
          </w:p>
        </w:tc>
      </w:tr>
      <w:tr w14:paraId="23565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4A1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BE5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A91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4A1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58F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883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6D9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4AEA">
            <w:pPr>
              <w:jc w:val="center"/>
            </w:pPr>
            <w:r>
              <w:rPr>
                <w:rFonts w:ascii="宋体" w:hAnsi="宋体" w:eastAsia="宋体"/>
                <w:sz w:val="16"/>
              </w:rPr>
              <w:t>—</w:t>
            </w:r>
          </w:p>
        </w:tc>
      </w:tr>
      <w:tr w14:paraId="313F8B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332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8DE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EB8112">
            <w:pPr>
              <w:jc w:val="center"/>
            </w:pPr>
            <w:r>
              <w:rPr>
                <w:rFonts w:ascii="宋体" w:hAnsi="宋体" w:eastAsia="宋体"/>
                <w:sz w:val="16"/>
              </w:rPr>
              <w:t>实际完成情况</w:t>
            </w:r>
          </w:p>
        </w:tc>
      </w:tr>
      <w:tr w14:paraId="16492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008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47D9B">
            <w:pPr>
              <w:jc w:val="both"/>
            </w:pPr>
            <w:r>
              <w:rPr>
                <w:rFonts w:ascii="宋体" w:hAnsi="宋体" w:eastAsia="宋体"/>
                <w:sz w:val="16"/>
              </w:rPr>
              <w:t>在喀什地区体育运动学校、巴楚县、岳普湖县、泽普县四个集训地点，对喀什349名青少年体育运动员进行集中训练。提高喀什青少年运动员比赛成绩，促进喀什地区体育行业后续发展。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D1C6D">
            <w:pPr>
              <w:jc w:val="both"/>
            </w:pPr>
            <w:r>
              <w:rPr>
                <w:rFonts w:ascii="宋体" w:hAnsi="宋体" w:eastAsia="宋体"/>
                <w:sz w:val="16"/>
              </w:rPr>
              <w:t>在四个集训地点，对喀什349名青少年体育运动员进行为期24天的集中训练。提高喀什青少年运动员比赛成绩，促进喀什地区体育行业后续发展。</w:t>
            </w:r>
          </w:p>
        </w:tc>
      </w:tr>
      <w:tr w14:paraId="6D8A47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ACA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1F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0F2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E6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50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BA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F3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82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9F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CE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B86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BA0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17D5">
            <w:pPr>
              <w:jc w:val="center"/>
            </w:pPr>
            <w:r>
              <w:rPr>
                <w:rFonts w:ascii="宋体" w:hAnsi="宋体" w:eastAsia="宋体"/>
                <w:sz w:val="16"/>
              </w:rPr>
              <w:t>偏差原因分析及改进措施</w:t>
            </w:r>
          </w:p>
        </w:tc>
      </w:tr>
      <w:tr w14:paraId="2281A8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07A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220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371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8F2F">
            <w:pPr>
              <w:jc w:val="center"/>
            </w:pPr>
            <w:r>
              <w:rPr>
                <w:rFonts w:ascii="宋体" w:hAnsi="宋体" w:eastAsia="宋体"/>
                <w:sz w:val="16"/>
              </w:rPr>
              <w:t>参加训练人数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DEBF">
            <w:pPr>
              <w:jc w:val="center"/>
            </w:pPr>
            <w:r>
              <w:rPr>
                <w:rFonts w:ascii="宋体" w:hAnsi="宋体" w:eastAsia="宋体"/>
                <w:sz w:val="16"/>
              </w:rPr>
              <w:t>&gt;=349人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4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E2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E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45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FA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7C9B">
            <w:pPr>
              <w:jc w:val="center"/>
            </w:pPr>
            <w:r>
              <w:rPr>
                <w:rFonts w:ascii="宋体" w:hAnsi="宋体" w:eastAsia="宋体"/>
                <w:sz w:val="16"/>
              </w:rPr>
              <w:t>=349人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C9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CC1B0">
            <w:pPr>
              <w:jc w:val="center"/>
            </w:pPr>
          </w:p>
        </w:tc>
      </w:tr>
      <w:tr w14:paraId="1B1A8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AC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0D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F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D04B">
            <w:pPr>
              <w:jc w:val="center"/>
            </w:pPr>
            <w:r>
              <w:rPr>
                <w:rFonts w:ascii="宋体" w:hAnsi="宋体" w:eastAsia="宋体"/>
                <w:sz w:val="16"/>
              </w:rPr>
              <w:t>训练天数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FC5D">
            <w:pPr>
              <w:jc w:val="center"/>
            </w:pPr>
            <w:r>
              <w:rPr>
                <w:rFonts w:ascii="宋体" w:hAnsi="宋体" w:eastAsia="宋体"/>
                <w:sz w:val="16"/>
              </w:rPr>
              <w:t>&gt;=24天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8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93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68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54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F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A71F">
            <w:pPr>
              <w:jc w:val="center"/>
            </w:pPr>
            <w:r>
              <w:rPr>
                <w:rFonts w:ascii="宋体" w:hAnsi="宋体" w:eastAsia="宋体"/>
                <w:sz w:val="16"/>
              </w:rPr>
              <w:t>=24天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99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AFD0F">
            <w:pPr>
              <w:jc w:val="center"/>
            </w:pPr>
          </w:p>
        </w:tc>
      </w:tr>
      <w:tr w14:paraId="2FAEB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90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D2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4B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0FCC">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57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4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2A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3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C6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AD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3F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44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6981B">
            <w:pPr>
              <w:jc w:val="center"/>
            </w:pPr>
          </w:p>
        </w:tc>
      </w:tr>
      <w:tr w14:paraId="1B711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93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1D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A2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49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BBE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B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D6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DB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4A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2F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AC16">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AF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A0A30">
            <w:pPr>
              <w:jc w:val="center"/>
            </w:pPr>
          </w:p>
        </w:tc>
      </w:tr>
      <w:tr w14:paraId="676B26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BB4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523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4F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8AC2">
            <w:pPr>
              <w:jc w:val="center"/>
            </w:pPr>
            <w:r>
              <w:rPr>
                <w:rFonts w:ascii="宋体" w:hAnsi="宋体" w:eastAsia="宋体"/>
                <w:sz w:val="16"/>
              </w:rPr>
              <w:t>集训伙食费成本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D3F7">
            <w:pPr>
              <w:jc w:val="center"/>
            </w:pPr>
            <w:r>
              <w:rPr>
                <w:rFonts w:ascii="宋体" w:hAnsi="宋体" w:eastAsia="宋体"/>
                <w:sz w:val="16"/>
              </w:rPr>
              <w:t>&lt;=28.18万元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C9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77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81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6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77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E550">
            <w:pPr>
              <w:jc w:val="center"/>
            </w:pPr>
            <w:r>
              <w:rPr>
                <w:rFonts w:ascii="宋体" w:hAnsi="宋体" w:eastAsia="宋体"/>
                <w:sz w:val="16"/>
              </w:rPr>
              <w:t>=28.18万元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75F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D4495">
            <w:pPr>
              <w:jc w:val="center"/>
            </w:pPr>
          </w:p>
        </w:tc>
      </w:tr>
      <w:tr w14:paraId="4D1B8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D8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B92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60F4A">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B961">
            <w:pPr>
              <w:jc w:val="center"/>
            </w:pPr>
            <w:r>
              <w:rPr>
                <w:rFonts w:ascii="宋体" w:hAnsi="宋体" w:eastAsia="宋体"/>
                <w:sz w:val="16"/>
              </w:rPr>
              <w:t>保险费成本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045D">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5B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F0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6B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3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0A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3945">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9FC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7C787">
            <w:pPr>
              <w:jc w:val="center"/>
            </w:pPr>
          </w:p>
        </w:tc>
      </w:tr>
      <w:tr w14:paraId="7FE7A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EC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804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6F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2300">
            <w:pPr>
              <w:jc w:val="center"/>
            </w:pPr>
            <w:r>
              <w:rPr>
                <w:rFonts w:ascii="宋体" w:hAnsi="宋体" w:eastAsia="宋体"/>
                <w:sz w:val="16"/>
              </w:rPr>
              <w:t>交通费成本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5C62">
            <w:pPr>
              <w:jc w:val="center"/>
            </w:pPr>
            <w:r>
              <w:rPr>
                <w:rFonts w:ascii="宋体" w:hAnsi="宋体" w:eastAsia="宋体"/>
                <w:sz w:val="16"/>
              </w:rPr>
              <w:t>&lt;=0.95万元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2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BE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E00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D8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C7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C80A">
            <w:pPr>
              <w:jc w:val="center"/>
            </w:pPr>
            <w:r>
              <w:rPr>
                <w:rFonts w:ascii="宋体" w:hAnsi="宋体" w:eastAsia="宋体"/>
                <w:sz w:val="16"/>
              </w:rPr>
              <w: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E2A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73C5">
            <w:pPr>
              <w:jc w:val="center"/>
            </w:pPr>
          </w:p>
        </w:tc>
      </w:tr>
      <w:tr w14:paraId="3A45B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DB2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7E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24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7C44">
            <w:pPr>
              <w:jc w:val="center"/>
            </w:pPr>
            <w:r>
              <w:rPr>
                <w:rFonts w:ascii="宋体" w:hAnsi="宋体" w:eastAsia="宋体"/>
                <w:sz w:val="16"/>
              </w:rPr>
              <w:t>提高喀什运动员水平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5E4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3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4A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51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3F9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B1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D12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B0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F514D">
            <w:pPr>
              <w:jc w:val="center"/>
            </w:pPr>
          </w:p>
        </w:tc>
      </w:tr>
      <w:tr w14:paraId="39D5A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216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61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3B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0A78">
            <w:pPr>
              <w:jc w:val="center"/>
            </w:pPr>
            <w:r>
              <w:rPr>
                <w:rFonts w:ascii="宋体" w:hAnsi="宋体" w:eastAsia="宋体"/>
                <w:sz w:val="16"/>
              </w:rPr>
              <w:t>参加训练运动员满意度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0F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2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FB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DC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E5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2A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9B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F6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9658">
            <w:pPr>
              <w:jc w:val="center"/>
            </w:pPr>
          </w:p>
        </w:tc>
      </w:tr>
      <w:tr w14:paraId="446017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DB1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A9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AAC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BB4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2D5F31"/>
        </w:tc>
      </w:tr>
    </w:tbl>
    <w:p w14:paraId="43D7A5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4732B5B">
        <w:tc>
          <w:tcPr>
            <w:tcW w:w="8848" w:type="dxa"/>
            <w:gridSpan w:val="14"/>
            <w:vAlign w:val="center"/>
          </w:tcPr>
          <w:p w14:paraId="2F6A8D29">
            <w:pPr>
              <w:jc w:val="center"/>
            </w:pPr>
            <w:r>
              <w:rPr>
                <w:rFonts w:ascii="宋体" w:hAnsi="宋体" w:eastAsia="宋体"/>
                <w:sz w:val="24"/>
              </w:rPr>
              <w:t>项目支出绩效自评表</w:t>
            </w:r>
          </w:p>
        </w:tc>
      </w:tr>
      <w:tr w14:paraId="036D2BA7">
        <w:tblPrEx>
          <w:tblCellMar>
            <w:top w:w="0" w:type="dxa"/>
            <w:left w:w="108" w:type="dxa"/>
            <w:bottom w:w="0" w:type="dxa"/>
            <w:right w:w="108" w:type="dxa"/>
          </w:tblCellMar>
        </w:tblPrEx>
        <w:tc>
          <w:tcPr>
            <w:tcW w:w="8848" w:type="dxa"/>
            <w:gridSpan w:val="14"/>
            <w:vAlign w:val="center"/>
          </w:tcPr>
          <w:p w14:paraId="6D48928E">
            <w:pPr>
              <w:jc w:val="center"/>
            </w:pPr>
            <w:r>
              <w:rPr>
                <w:rFonts w:ascii="宋体" w:hAnsi="宋体" w:eastAsia="宋体"/>
                <w:sz w:val="24"/>
              </w:rPr>
              <w:t>(2024年度)</w:t>
            </w:r>
          </w:p>
        </w:tc>
      </w:tr>
      <w:tr w14:paraId="3EA512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EB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626EAE">
            <w:pPr>
              <w:jc w:val="center"/>
            </w:pPr>
            <w:r>
              <w:rPr>
                <w:rFonts w:ascii="宋体" w:hAnsi="宋体" w:eastAsia="宋体"/>
                <w:sz w:val="16"/>
              </w:rPr>
              <w:t>参加自治区第十四届运动会奖励资金项目</w:t>
            </w:r>
          </w:p>
        </w:tc>
      </w:tr>
      <w:tr w14:paraId="62DE38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88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CF486">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F6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D3251F">
            <w:pPr>
              <w:jc w:val="center"/>
            </w:pPr>
            <w:r>
              <w:rPr>
                <w:rFonts w:ascii="宋体" w:hAnsi="宋体" w:eastAsia="宋体"/>
                <w:sz w:val="16"/>
              </w:rPr>
              <w:t>新疆维吾尔自治区喀什地区体育局</w:t>
            </w:r>
          </w:p>
        </w:tc>
      </w:tr>
      <w:tr w14:paraId="6C2A6B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2AE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686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E8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D5D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97B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650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E61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0CD3">
            <w:pPr>
              <w:jc w:val="center"/>
            </w:pPr>
            <w:r>
              <w:rPr>
                <w:rFonts w:ascii="宋体" w:hAnsi="宋体" w:eastAsia="宋体"/>
                <w:sz w:val="16"/>
              </w:rPr>
              <w:t>得分</w:t>
            </w:r>
          </w:p>
        </w:tc>
      </w:tr>
      <w:tr w14:paraId="7918B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D6F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E3D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AEC6">
            <w:pPr>
              <w:jc w:val="center"/>
            </w:pPr>
            <w:r>
              <w:rPr>
                <w:rFonts w:ascii="宋体" w:hAnsi="宋体" w:eastAsia="宋体"/>
                <w:sz w:val="16"/>
              </w:rPr>
              <w:t>379.82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B3F9">
            <w:pPr>
              <w:jc w:val="center"/>
            </w:pPr>
            <w:r>
              <w:rPr>
                <w:rFonts w:ascii="宋体" w:hAnsi="宋体" w:eastAsia="宋体"/>
                <w:sz w:val="16"/>
              </w:rPr>
              <w:t>379.82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4F91">
            <w:pPr>
              <w:jc w:val="center"/>
            </w:pPr>
            <w:r>
              <w:rPr>
                <w:rFonts w:ascii="宋体" w:hAnsi="宋体" w:eastAsia="宋体"/>
                <w:sz w:val="16"/>
              </w:rPr>
              <w:t>379.79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B7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B622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A747">
            <w:pPr>
              <w:jc w:val="center"/>
            </w:pPr>
            <w:r>
              <w:rPr>
                <w:rFonts w:ascii="宋体" w:hAnsi="宋体" w:eastAsia="宋体"/>
                <w:sz w:val="16"/>
              </w:rPr>
              <w:t>10.00分</w:t>
            </w:r>
          </w:p>
        </w:tc>
      </w:tr>
      <w:tr w14:paraId="6F552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DFE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194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7FC8F">
            <w:pPr>
              <w:jc w:val="center"/>
            </w:pPr>
            <w:r>
              <w:rPr>
                <w:rFonts w:ascii="宋体" w:hAnsi="宋体" w:eastAsia="宋体"/>
                <w:sz w:val="16"/>
              </w:rPr>
              <w:t>379.82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40EF4">
            <w:pPr>
              <w:jc w:val="center"/>
            </w:pPr>
            <w:r>
              <w:rPr>
                <w:rFonts w:ascii="宋体" w:hAnsi="宋体" w:eastAsia="宋体"/>
                <w:sz w:val="16"/>
              </w:rPr>
              <w:t>379.82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EDE7">
            <w:pPr>
              <w:jc w:val="center"/>
            </w:pPr>
            <w:r>
              <w:rPr>
                <w:rFonts w:ascii="宋体" w:hAnsi="宋体" w:eastAsia="宋体"/>
                <w:sz w:val="16"/>
              </w:rPr>
              <w:t>379.79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FF5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9C2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40B2">
            <w:pPr>
              <w:jc w:val="center"/>
            </w:pPr>
            <w:r>
              <w:rPr>
                <w:rFonts w:ascii="宋体" w:hAnsi="宋体" w:eastAsia="宋体"/>
                <w:sz w:val="16"/>
              </w:rPr>
              <w:t>—</w:t>
            </w:r>
          </w:p>
        </w:tc>
      </w:tr>
      <w:tr w14:paraId="27931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A0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C3A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E8A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471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F7E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52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4DE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1F2D">
            <w:pPr>
              <w:jc w:val="center"/>
            </w:pPr>
            <w:r>
              <w:rPr>
                <w:rFonts w:ascii="宋体" w:hAnsi="宋体" w:eastAsia="宋体"/>
                <w:sz w:val="16"/>
              </w:rPr>
              <w:t>—</w:t>
            </w:r>
          </w:p>
        </w:tc>
      </w:tr>
      <w:tr w14:paraId="7254D2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D54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367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F742F">
            <w:pPr>
              <w:jc w:val="center"/>
            </w:pPr>
            <w:r>
              <w:rPr>
                <w:rFonts w:ascii="宋体" w:hAnsi="宋体" w:eastAsia="宋体"/>
                <w:sz w:val="16"/>
              </w:rPr>
              <w:t>实际完成情况</w:t>
            </w:r>
          </w:p>
        </w:tc>
      </w:tr>
      <w:tr w14:paraId="7067F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C20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B2F748">
            <w:pPr>
              <w:jc w:val="both"/>
            </w:pPr>
            <w:r>
              <w:rPr>
                <w:rFonts w:ascii="宋体" w:hAnsi="宋体" w:eastAsia="宋体"/>
                <w:sz w:val="16"/>
              </w:rPr>
              <w:t>为喀什地区代表团参加自治区第十四届运动会中获得个人奖励资金的11个项目及获得团体奖励资金的6个项目的教练员及运动员发放奖励资金。激励喀什教练员和运动员在今后的比赛中取得更加优秀的成绩，激发运动员及教练员在今后比赛中的动力，促进了喀什地区体育水平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3053CF">
            <w:pPr>
              <w:jc w:val="both"/>
            </w:pPr>
            <w:r>
              <w:rPr>
                <w:rFonts w:ascii="宋体" w:hAnsi="宋体" w:eastAsia="宋体"/>
                <w:sz w:val="16"/>
              </w:rPr>
              <w:t>为喀什地区参加自治区第十四届运动会中取得成绩的11个个人项目和6个团体项目的教练和运动员发放比赛奖金。促进了喀什地区体育水平的发展，激励了喀什教练员和运动员在今后的比赛中取得更加优秀的成绩。</w:t>
            </w:r>
          </w:p>
        </w:tc>
      </w:tr>
      <w:tr w14:paraId="78B531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033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B1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71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DC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4F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F0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20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52D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CEE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38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BE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BA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EE943">
            <w:pPr>
              <w:jc w:val="center"/>
            </w:pPr>
            <w:r>
              <w:rPr>
                <w:rFonts w:ascii="宋体" w:hAnsi="宋体" w:eastAsia="宋体"/>
                <w:sz w:val="16"/>
              </w:rPr>
              <w:t>偏差原因分析及改进措施</w:t>
            </w:r>
          </w:p>
        </w:tc>
      </w:tr>
      <w:tr w14:paraId="1F8CFA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774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7E99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81B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A07E">
            <w:pPr>
              <w:jc w:val="center"/>
            </w:pPr>
            <w:r>
              <w:rPr>
                <w:rFonts w:ascii="宋体" w:hAnsi="宋体" w:eastAsia="宋体"/>
                <w:sz w:val="16"/>
              </w:rPr>
              <w:t>获得个人奖励资金项目数量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A0FA">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3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B6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FE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8A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1E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D0DF">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49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5D85">
            <w:pPr>
              <w:jc w:val="center"/>
            </w:pPr>
            <w:r>
              <w:rPr>
                <w:rFonts w:ascii="宋体" w:hAnsi="宋体" w:eastAsia="宋体"/>
                <w:sz w:val="16"/>
              </w:rPr>
              <w:t>偏差原因：个人奖励资金项目数量统计不精准。改进措施：今后精准统计项目数量。</w:t>
            </w:r>
          </w:p>
        </w:tc>
      </w:tr>
      <w:tr w14:paraId="65907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6A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80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E8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C956">
            <w:pPr>
              <w:jc w:val="center"/>
            </w:pPr>
            <w:r>
              <w:rPr>
                <w:rFonts w:ascii="宋体" w:hAnsi="宋体" w:eastAsia="宋体"/>
                <w:sz w:val="16"/>
              </w:rPr>
              <w:t>获得团体奖励资金项目数量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AFD8">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D0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E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45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59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D4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3F1F">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FD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A369E">
            <w:pPr>
              <w:jc w:val="center"/>
            </w:pPr>
            <w:r>
              <w:rPr>
                <w:rFonts w:ascii="宋体" w:hAnsi="宋体" w:eastAsia="宋体"/>
                <w:sz w:val="16"/>
              </w:rPr>
              <w:t>偏差原因：团体奖励资金项目数量。改进措施：今后精准统计项目数量。</w:t>
            </w:r>
          </w:p>
        </w:tc>
      </w:tr>
      <w:tr w14:paraId="3CBF6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82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F5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F2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088F">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0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90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F4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C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9A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6A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6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A7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BB095">
            <w:pPr>
              <w:jc w:val="center"/>
            </w:pPr>
          </w:p>
        </w:tc>
      </w:tr>
      <w:tr w14:paraId="468F1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28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AB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82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27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DF6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5D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29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C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40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14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FE80">
            <w:pPr>
              <w:jc w:val="center"/>
            </w:pPr>
            <w:r>
              <w:rPr>
                <w:rFonts w:ascii="宋体" w:hAnsi="宋体" w:eastAsia="宋体"/>
                <w:sz w:val="16"/>
              </w:rPr>
              <w:t>=2024年8月26日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36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54593">
            <w:pPr>
              <w:jc w:val="center"/>
            </w:pPr>
          </w:p>
        </w:tc>
      </w:tr>
      <w:tr w14:paraId="6A0315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51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6F6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A8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6175">
            <w:pPr>
              <w:jc w:val="center"/>
            </w:pPr>
            <w:r>
              <w:rPr>
                <w:rFonts w:ascii="宋体" w:hAnsi="宋体" w:eastAsia="宋体"/>
                <w:sz w:val="16"/>
              </w:rPr>
              <w:t>单个项目奖励资金成本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C1E8">
            <w:pPr>
              <w:jc w:val="center"/>
            </w:pPr>
            <w:r>
              <w:rPr>
                <w:rFonts w:ascii="宋体" w:hAnsi="宋体" w:eastAsia="宋体"/>
                <w:sz w:val="16"/>
              </w:rPr>
              <w:t>&lt;=22.34万元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F8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00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95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0B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0E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7978">
            <w:pPr>
              <w:jc w:val="center"/>
            </w:pPr>
            <w:r>
              <w:rPr>
                <w:rFonts w:ascii="宋体" w:hAnsi="宋体" w:eastAsia="宋体"/>
                <w:sz w:val="16"/>
              </w:rPr>
              <w:t>=22.34万元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C3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1FC0">
            <w:pPr>
              <w:jc w:val="center"/>
            </w:pPr>
            <w:r>
              <w:rPr>
                <w:rFonts w:ascii="宋体" w:hAnsi="宋体" w:eastAsia="宋体"/>
                <w:sz w:val="16"/>
              </w:rPr>
              <w:t>偏差原因：前期获奖项目个数统计不精准,导致支出偏大。改进措施：今后精准统计项目数量。</w:t>
            </w:r>
          </w:p>
        </w:tc>
      </w:tr>
      <w:tr w14:paraId="0262C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D9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B8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69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69CE">
            <w:pPr>
              <w:jc w:val="center"/>
            </w:pPr>
            <w:r>
              <w:rPr>
                <w:rFonts w:ascii="宋体" w:hAnsi="宋体" w:eastAsia="宋体"/>
                <w:sz w:val="16"/>
              </w:rPr>
              <w:t>激励喀什教练员和运动员在今后的比赛中取得更加优秀的成绩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E0B3">
            <w:pPr>
              <w:jc w:val="center"/>
            </w:pPr>
            <w:r>
              <w:rPr>
                <w:rFonts w:ascii="宋体" w:hAnsi="宋体" w:eastAsia="宋体"/>
                <w:sz w:val="16"/>
              </w:rPr>
              <w:t>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2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7A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37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D3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3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9603">
            <w:pPr>
              <w:jc w:val="center"/>
            </w:pPr>
            <w:r>
              <w:rPr>
                <w:rFonts w:ascii="宋体" w:hAnsi="宋体" w:eastAsia="宋体"/>
                <w:sz w:val="16"/>
              </w:rPr>
              <w:t>激励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35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01F70">
            <w:pPr>
              <w:jc w:val="center"/>
            </w:pPr>
          </w:p>
        </w:tc>
      </w:tr>
      <w:tr w14:paraId="52A7B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38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A2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05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0373">
            <w:pPr>
              <w:jc w:val="center"/>
            </w:pPr>
            <w:r>
              <w:rPr>
                <w:rFonts w:ascii="宋体" w:hAnsi="宋体" w:eastAsia="宋体"/>
                <w:sz w:val="16"/>
              </w:rPr>
              <w:t>参加比赛教练员及运动员满意度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BEC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5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C8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A4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28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F5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F3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A0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FFCF5">
            <w:pPr>
              <w:jc w:val="center"/>
            </w:pPr>
          </w:p>
        </w:tc>
      </w:tr>
      <w:tr w14:paraId="58E46F9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0236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57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6485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CF5DE">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F25880"/>
        </w:tc>
      </w:tr>
    </w:tbl>
    <w:p w14:paraId="63B83B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DC7996B">
        <w:tblPrEx>
          <w:tblCellMar>
            <w:top w:w="0" w:type="dxa"/>
            <w:left w:w="108" w:type="dxa"/>
            <w:bottom w:w="0" w:type="dxa"/>
            <w:right w:w="108" w:type="dxa"/>
          </w:tblCellMar>
        </w:tblPrEx>
        <w:tc>
          <w:tcPr>
            <w:tcW w:w="8848" w:type="dxa"/>
            <w:gridSpan w:val="14"/>
            <w:vAlign w:val="center"/>
          </w:tcPr>
          <w:p w14:paraId="5D7935B2">
            <w:pPr>
              <w:jc w:val="center"/>
            </w:pPr>
            <w:r>
              <w:rPr>
                <w:rFonts w:ascii="宋体" w:hAnsi="宋体" w:eastAsia="宋体"/>
                <w:sz w:val="24"/>
              </w:rPr>
              <w:t>项目支出绩效自评表</w:t>
            </w:r>
          </w:p>
        </w:tc>
      </w:tr>
      <w:tr w14:paraId="358AE46F">
        <w:tblPrEx>
          <w:tblCellMar>
            <w:top w:w="0" w:type="dxa"/>
            <w:left w:w="108" w:type="dxa"/>
            <w:bottom w:w="0" w:type="dxa"/>
            <w:right w:w="108" w:type="dxa"/>
          </w:tblCellMar>
        </w:tblPrEx>
        <w:tc>
          <w:tcPr>
            <w:tcW w:w="8848" w:type="dxa"/>
            <w:gridSpan w:val="14"/>
            <w:vAlign w:val="center"/>
          </w:tcPr>
          <w:p w14:paraId="096C1A04">
            <w:pPr>
              <w:jc w:val="center"/>
            </w:pPr>
            <w:r>
              <w:rPr>
                <w:rFonts w:ascii="宋体" w:hAnsi="宋体" w:eastAsia="宋体"/>
                <w:sz w:val="24"/>
              </w:rPr>
              <w:t>(2024年度)</w:t>
            </w:r>
          </w:p>
        </w:tc>
      </w:tr>
      <w:tr w14:paraId="570850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BC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A0526F">
            <w:pPr>
              <w:jc w:val="center"/>
            </w:pPr>
            <w:r>
              <w:rPr>
                <w:rFonts w:ascii="宋体" w:hAnsi="宋体" w:eastAsia="宋体"/>
                <w:sz w:val="16"/>
              </w:rPr>
              <w:t>（上海援疆）2024年喀什首届体育博览会项目</w:t>
            </w:r>
          </w:p>
        </w:tc>
      </w:tr>
      <w:tr w14:paraId="1A8777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C2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1EC5C">
            <w:pPr>
              <w:jc w:val="center"/>
            </w:pPr>
            <w:r>
              <w:rPr>
                <w:rFonts w:ascii="宋体" w:hAnsi="宋体" w:eastAsia="宋体"/>
                <w:sz w:val="16"/>
              </w:rPr>
              <w:t>新疆维吾尔自治区喀什地区体育局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2D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D20BB3">
            <w:pPr>
              <w:jc w:val="center"/>
            </w:pPr>
            <w:r>
              <w:rPr>
                <w:rFonts w:ascii="宋体" w:hAnsi="宋体" w:eastAsia="宋体"/>
                <w:sz w:val="16"/>
              </w:rPr>
              <w:t>新疆维吾尔自治区喀什地区体育局</w:t>
            </w:r>
          </w:p>
        </w:tc>
      </w:tr>
      <w:tr w14:paraId="2FD9DF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22D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F32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B33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F37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461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06F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B95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4877">
            <w:pPr>
              <w:jc w:val="center"/>
            </w:pPr>
            <w:r>
              <w:rPr>
                <w:rFonts w:ascii="宋体" w:hAnsi="宋体" w:eastAsia="宋体"/>
                <w:sz w:val="16"/>
              </w:rPr>
              <w:t>得分</w:t>
            </w:r>
          </w:p>
        </w:tc>
      </w:tr>
      <w:tr w14:paraId="7F940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2EF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AE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02C0">
            <w:pPr>
              <w:jc w:val="center"/>
            </w:pPr>
            <w:r>
              <w:rPr>
                <w:rFonts w:ascii="宋体" w:hAnsi="宋体" w:eastAsia="宋体"/>
                <w:sz w:val="16"/>
              </w:rPr>
              <w:t>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7BB3E">
            <w:pPr>
              <w:jc w:val="center"/>
            </w:pPr>
            <w:r>
              <w:rPr>
                <w:rFonts w:ascii="宋体" w:hAnsi="宋体" w:eastAsia="宋体"/>
                <w:sz w:val="16"/>
              </w:rPr>
              <w:t>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8CD75">
            <w:pPr>
              <w:jc w:val="center"/>
            </w:pPr>
            <w:r>
              <w:rPr>
                <w:rFonts w:ascii="宋体" w:hAnsi="宋体" w:eastAsia="宋体"/>
                <w:sz w:val="16"/>
              </w:rPr>
              <w:t>69.50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16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1CA9F">
            <w:pPr>
              <w:jc w:val="center"/>
            </w:pPr>
            <w:r>
              <w:rPr>
                <w:rFonts w:ascii="宋体" w:hAnsi="宋体" w:eastAsia="宋体"/>
                <w:sz w:val="16"/>
              </w:rPr>
              <w:t>82.1%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6C6D">
            <w:pPr>
              <w:jc w:val="center"/>
            </w:pPr>
            <w:r>
              <w:rPr>
                <w:rFonts w:ascii="宋体" w:hAnsi="宋体" w:eastAsia="宋体"/>
                <w:sz w:val="16"/>
              </w:rPr>
              <w:t>5.52分</w:t>
            </w:r>
          </w:p>
        </w:tc>
      </w:tr>
      <w:tr w14:paraId="07D18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0E5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B4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8C9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D85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21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D52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FCE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BD9E">
            <w:pPr>
              <w:jc w:val="center"/>
            </w:pPr>
            <w:r>
              <w:rPr>
                <w:rFonts w:ascii="宋体" w:hAnsi="宋体" w:eastAsia="宋体"/>
                <w:sz w:val="16"/>
              </w:rPr>
              <w:t>—</w:t>
            </w:r>
          </w:p>
        </w:tc>
      </w:tr>
      <w:tr w14:paraId="1B84F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54B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EBB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97A91">
            <w:pPr>
              <w:jc w:val="center"/>
            </w:pPr>
            <w:r>
              <w:rPr>
                <w:rFonts w:ascii="宋体" w:hAnsi="宋体" w:eastAsia="宋体"/>
                <w:sz w:val="16"/>
              </w:rPr>
              <w:t>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202E7">
            <w:pPr>
              <w:jc w:val="center"/>
            </w:pPr>
            <w:r>
              <w:rPr>
                <w:rFonts w:ascii="宋体" w:hAnsi="宋体" w:eastAsia="宋体"/>
                <w:sz w:val="16"/>
              </w:rPr>
              <w:t>84.65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20DA3">
            <w:pPr>
              <w:jc w:val="center"/>
            </w:pPr>
            <w:r>
              <w:rPr>
                <w:rFonts w:ascii="宋体" w:hAnsi="宋体" w:eastAsia="宋体"/>
                <w:sz w:val="16"/>
              </w:rPr>
              <w:t>69.50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CCB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6FC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6A52">
            <w:pPr>
              <w:jc w:val="center"/>
            </w:pPr>
            <w:r>
              <w:rPr>
                <w:rFonts w:ascii="宋体" w:hAnsi="宋体" w:eastAsia="宋体"/>
                <w:sz w:val="16"/>
              </w:rPr>
              <w:t>—</w:t>
            </w:r>
          </w:p>
        </w:tc>
      </w:tr>
      <w:tr w14:paraId="1EA7FC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6E5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3DD0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8FE991">
            <w:pPr>
              <w:jc w:val="center"/>
            </w:pPr>
            <w:r>
              <w:rPr>
                <w:rFonts w:ascii="宋体" w:hAnsi="宋体" w:eastAsia="宋体"/>
                <w:sz w:val="16"/>
              </w:rPr>
              <w:t>实际完成情况</w:t>
            </w:r>
          </w:p>
        </w:tc>
      </w:tr>
      <w:tr w14:paraId="5E479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069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82AD4">
            <w:pPr>
              <w:jc w:val="both"/>
            </w:pPr>
            <w:r>
              <w:rPr>
                <w:rFonts w:ascii="宋体" w:hAnsi="宋体" w:eastAsia="宋体"/>
                <w:sz w:val="16"/>
              </w:rPr>
              <w:t>邀请国内体育领域不少于30家著名企业家，在喀什会展中心参加喀什首届体育博览会。宣传喀什体育事业，加强沪喀两地在体育产业领域的合作，促进喀什地区体育产业发展。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E3311">
            <w:pPr>
              <w:jc w:val="both"/>
            </w:pPr>
            <w:r>
              <w:rPr>
                <w:rFonts w:ascii="宋体" w:hAnsi="宋体" w:eastAsia="宋体"/>
                <w:sz w:val="16"/>
              </w:rPr>
              <w:t>成功邀请到了国内体育领域100家著名企业在喀什会展中心开展喀什首届体育博览会。促进了喀什体育事业发展。</w:t>
            </w:r>
          </w:p>
        </w:tc>
      </w:tr>
      <w:tr w14:paraId="13E920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952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49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CC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51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3C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A3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79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EC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FD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6C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19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34A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2F948">
            <w:pPr>
              <w:jc w:val="center"/>
            </w:pPr>
            <w:r>
              <w:rPr>
                <w:rFonts w:ascii="宋体" w:hAnsi="宋体" w:eastAsia="宋体"/>
                <w:sz w:val="16"/>
              </w:rPr>
              <w:t>偏差原因分析及改进措施</w:t>
            </w:r>
          </w:p>
        </w:tc>
      </w:tr>
      <w:tr w14:paraId="14B68C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CC9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1078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E2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D6A6">
            <w:pPr>
              <w:jc w:val="center"/>
            </w:pPr>
            <w:r>
              <w:rPr>
                <w:rFonts w:ascii="宋体" w:hAnsi="宋体" w:eastAsia="宋体"/>
                <w:sz w:val="16"/>
              </w:rPr>
              <w:t>参展企业数量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D22B">
            <w:pPr>
              <w:jc w:val="center"/>
            </w:pPr>
            <w:r>
              <w:rPr>
                <w:rFonts w:ascii="宋体" w:hAnsi="宋体" w:eastAsia="宋体"/>
                <w:sz w:val="16"/>
              </w:rPr>
              <w:t>&gt;=30家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80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8E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77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D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4C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161A">
            <w:pPr>
              <w:jc w:val="center"/>
            </w:pPr>
            <w:r>
              <w:rPr>
                <w:rFonts w:ascii="宋体" w:hAnsi="宋体" w:eastAsia="宋体"/>
                <w:sz w:val="16"/>
              </w:rPr>
              <w:t>=100家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D1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877AF">
            <w:pPr>
              <w:jc w:val="center"/>
            </w:pPr>
            <w:r>
              <w:rPr>
                <w:rFonts w:ascii="宋体" w:hAnsi="宋体" w:eastAsia="宋体"/>
                <w:sz w:val="16"/>
              </w:rPr>
              <w:t>偏差原因：活动举办效果成功，比预计多邀请70家参展企业。</w:t>
            </w:r>
          </w:p>
        </w:tc>
      </w:tr>
      <w:tr w14:paraId="05004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17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63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0C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9079">
            <w:pPr>
              <w:jc w:val="center"/>
            </w:pPr>
            <w:r>
              <w:rPr>
                <w:rFonts w:ascii="宋体" w:hAnsi="宋体" w:eastAsia="宋体"/>
                <w:sz w:val="16"/>
              </w:rPr>
              <w:t>项目完成合格率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8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00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D3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DF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ACF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F1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01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A1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6C9BC">
            <w:pPr>
              <w:jc w:val="center"/>
            </w:pPr>
          </w:p>
        </w:tc>
      </w:tr>
      <w:tr w14:paraId="2AF52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E0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AA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A9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F1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B05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6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38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D4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0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5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6DA9">
            <w:pPr>
              <w:jc w:val="center"/>
            </w:pPr>
            <w:r>
              <w:rPr>
                <w:rFonts w:ascii="宋体" w:hAnsi="宋体" w:eastAsia="宋体"/>
                <w:sz w:val="16"/>
              </w:rPr>
              <w:t>=2024年5月2日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2E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D3C09">
            <w:pPr>
              <w:jc w:val="center"/>
            </w:pPr>
          </w:p>
        </w:tc>
      </w:tr>
      <w:tr w14:paraId="766C8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DE1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E59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7BA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BFA3">
            <w:pPr>
              <w:jc w:val="center"/>
            </w:pPr>
            <w:r>
              <w:rPr>
                <w:rFonts w:ascii="宋体" w:hAnsi="宋体" w:eastAsia="宋体"/>
                <w:sz w:val="16"/>
              </w:rPr>
              <w:t>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ECD1">
            <w:pPr>
              <w:jc w:val="center"/>
            </w:pPr>
            <w:r>
              <w:rPr>
                <w:rFonts w:ascii="宋体" w:hAnsi="宋体" w:eastAsia="宋体"/>
                <w:sz w:val="16"/>
              </w:rPr>
              <w:t>&lt;=25.81万元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41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4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8B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A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F2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932F">
            <w:pPr>
              <w:jc w:val="center"/>
            </w:pPr>
            <w:r>
              <w:rPr>
                <w:rFonts w:ascii="宋体" w:hAnsi="宋体" w:eastAsia="宋体"/>
                <w:sz w:val="16"/>
              </w:rPr>
              <w:t>=25.81万元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7FF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B7DF1">
            <w:pPr>
              <w:jc w:val="center"/>
            </w:pPr>
          </w:p>
        </w:tc>
      </w:tr>
      <w:tr w14:paraId="55CAE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A7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E51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07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0DF5">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A8E3">
            <w:pPr>
              <w:jc w:val="center"/>
            </w:pPr>
            <w:r>
              <w:rPr>
                <w:rFonts w:ascii="宋体" w:hAnsi="宋体" w:eastAsia="宋体"/>
                <w:sz w:val="16"/>
              </w:rPr>
              <w:t>&lt;=3.01万元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6F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AC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11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2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14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4E4B">
            <w:pPr>
              <w:jc w:val="center"/>
            </w:pPr>
            <w:r>
              <w:rPr>
                <w:rFonts w:ascii="宋体" w:hAnsi="宋体" w:eastAsia="宋体"/>
                <w:sz w:val="16"/>
              </w:rPr>
              <w:t>=3.01万元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88E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1B2D8">
            <w:pPr>
              <w:jc w:val="center"/>
            </w:pPr>
          </w:p>
        </w:tc>
      </w:tr>
      <w:tr w14:paraId="66F6C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F5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6B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05B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79B3">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FA17">
            <w:pPr>
              <w:jc w:val="center"/>
            </w:pPr>
            <w:r>
              <w:rPr>
                <w:rFonts w:ascii="宋体" w:hAnsi="宋体" w:eastAsia="宋体"/>
                <w:sz w:val="16"/>
              </w:rPr>
              <w:t>&lt;=31.44万元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57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B7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BA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D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4D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A228">
            <w:pPr>
              <w:jc w:val="center"/>
            </w:pPr>
            <w:r>
              <w:rPr>
                <w:rFonts w:ascii="宋体" w:hAnsi="宋体" w:eastAsia="宋体"/>
                <w:sz w:val="16"/>
              </w:rPr>
              <w:t>=31.44万元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E92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F833A">
            <w:pPr>
              <w:jc w:val="center"/>
            </w:pPr>
          </w:p>
        </w:tc>
      </w:tr>
      <w:tr w14:paraId="440EF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C7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11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74A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F032">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EADF">
            <w:pPr>
              <w:jc w:val="center"/>
            </w:pPr>
            <w:r>
              <w:rPr>
                <w:rFonts w:ascii="宋体" w:hAnsi="宋体" w:eastAsia="宋体"/>
                <w:sz w:val="16"/>
              </w:rPr>
              <w:t>&lt;=15.15万元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4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80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1C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50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16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8FA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D8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3C18A">
            <w:pPr>
              <w:jc w:val="center"/>
            </w:pPr>
            <w:r>
              <w:rPr>
                <w:rFonts w:ascii="宋体" w:hAnsi="宋体" w:eastAsia="宋体"/>
                <w:sz w:val="16"/>
              </w:rPr>
              <w:t>偏差原因：上海援疆资金未足额到位，后续资金暂时无法支付。改进措施：催促上海前指抓紧时间拨付项目尾款。</w:t>
            </w:r>
          </w:p>
        </w:tc>
      </w:tr>
      <w:tr w14:paraId="3097C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61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7BD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CE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1680">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5493">
            <w:pPr>
              <w:jc w:val="center"/>
            </w:pPr>
            <w:r>
              <w:rPr>
                <w:rFonts w:ascii="宋体" w:hAnsi="宋体" w:eastAsia="宋体"/>
                <w:sz w:val="16"/>
              </w:rPr>
              <w:t>&lt;=9.24万元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8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C9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D37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4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3F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ACDA">
            <w:pPr>
              <w:jc w:val="center"/>
            </w:pPr>
            <w:r>
              <w:rPr>
                <w:rFonts w:ascii="宋体" w:hAnsi="宋体" w:eastAsia="宋体"/>
                <w:sz w:val="16"/>
              </w:rPr>
              <w:t>=9.24万元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912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6CDFB">
            <w:pPr>
              <w:jc w:val="center"/>
            </w:pPr>
          </w:p>
        </w:tc>
      </w:tr>
      <w:tr w14:paraId="4BE60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47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2F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D1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9203">
            <w:pPr>
              <w:jc w:val="center"/>
            </w:pPr>
            <w:r>
              <w:rPr>
                <w:rFonts w:ascii="宋体" w:hAnsi="宋体" w:eastAsia="宋体"/>
                <w:sz w:val="16"/>
              </w:rPr>
              <w:t>促进喀什体育事业发展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4BD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7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0E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9D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63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A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4F6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40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98264">
            <w:pPr>
              <w:jc w:val="center"/>
            </w:pPr>
          </w:p>
        </w:tc>
      </w:tr>
      <w:tr w14:paraId="5496E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12A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2F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178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88B3">
            <w:pPr>
              <w:jc w:val="center"/>
            </w:pPr>
            <w:r>
              <w:rPr>
                <w:rFonts w:ascii="宋体" w:hAnsi="宋体" w:eastAsia="宋体"/>
                <w:sz w:val="16"/>
              </w:rPr>
              <w:t>参观体育博览会群众满意度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723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A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E4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C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1C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42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E7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AB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A9BA1">
            <w:pPr>
              <w:jc w:val="center"/>
            </w:pPr>
          </w:p>
        </w:tc>
      </w:tr>
      <w:tr w14:paraId="5072C2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080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CC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D67E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5076">
            <w:pPr>
              <w:jc w:val="center"/>
            </w:pPr>
            <w:r>
              <w:rPr>
                <w:rFonts w:ascii="宋体" w:hAnsi="宋体" w:eastAsia="宋体"/>
                <w:sz w:val="16"/>
              </w:rPr>
              <w:t>81.52分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1D984D"/>
        </w:tc>
      </w:tr>
    </w:tbl>
    <w:p w14:paraId="52E0802C">
      <w:r>
        <w:br w:type="page"/>
      </w:r>
    </w:p>
    <w:p w14:paraId="22A8000A">
      <w:pPr>
        <w:spacing w:line="640" w:lineRule="exact"/>
        <w:ind w:firstLine="640"/>
        <w:jc w:val="both"/>
        <w:outlineLvl w:val="2"/>
      </w:pPr>
      <w:r>
        <w:rPr>
          <w:rFonts w:ascii="黑体" w:hAnsi="黑体" w:eastAsia="黑体"/>
          <w:sz w:val="32"/>
        </w:rPr>
        <w:t>十二、其他需说明的事项</w:t>
      </w:r>
    </w:p>
    <w:p w14:paraId="36113D7E">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项目1个，全年预算数7.5</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万元，全年执行数7.5</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bookmarkStart w:id="0" w:name="_GoBack"/>
      <w:bookmarkEnd w:id="0"/>
    </w:p>
    <w:p w14:paraId="6D2B5A72">
      <w:r>
        <w:br w:type="page"/>
      </w:r>
    </w:p>
    <w:p w14:paraId="5205019C">
      <w:pPr>
        <w:spacing w:line="240" w:lineRule="auto"/>
        <w:jc w:val="center"/>
        <w:outlineLvl w:val="1"/>
      </w:pPr>
      <w:r>
        <w:rPr>
          <w:rFonts w:ascii="黑体" w:hAnsi="黑体" w:eastAsia="黑体"/>
          <w:sz w:val="32"/>
        </w:rPr>
        <w:t>第三部分 专业名词解释</w:t>
      </w:r>
    </w:p>
    <w:p w14:paraId="79C0384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4F3DD5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2BAE4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91282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619E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B183D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C7C04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19BE2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763E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C0333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4611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7BF3B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22864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20457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23BE61">
      <w:r>
        <w:br w:type="page"/>
      </w:r>
    </w:p>
    <w:p w14:paraId="57EE132E">
      <w:pPr>
        <w:spacing w:line="240" w:lineRule="auto"/>
        <w:jc w:val="center"/>
        <w:outlineLvl w:val="1"/>
      </w:pPr>
      <w:r>
        <w:rPr>
          <w:rFonts w:ascii="黑体" w:hAnsi="黑体" w:eastAsia="黑体"/>
          <w:sz w:val="32"/>
        </w:rPr>
        <w:t>第四部分 部门决算报表（见附表）</w:t>
      </w:r>
    </w:p>
    <w:p w14:paraId="471E6A43">
      <w:pPr>
        <w:spacing w:line="240" w:lineRule="auto"/>
        <w:ind w:firstLine="640"/>
        <w:jc w:val="both"/>
      </w:pPr>
      <w:r>
        <w:rPr>
          <w:rFonts w:ascii="仿宋_GB2312" w:hAnsi="仿宋_GB2312" w:eastAsia="仿宋_GB2312"/>
          <w:b w:val="0"/>
          <w:sz w:val="32"/>
        </w:rPr>
        <w:t>一、《收入支出决算总表》</w:t>
      </w:r>
    </w:p>
    <w:p w14:paraId="41BCCD20">
      <w:pPr>
        <w:spacing w:line="240" w:lineRule="auto"/>
        <w:ind w:firstLine="640"/>
        <w:jc w:val="both"/>
      </w:pPr>
      <w:r>
        <w:rPr>
          <w:rFonts w:ascii="仿宋_GB2312" w:hAnsi="仿宋_GB2312" w:eastAsia="仿宋_GB2312"/>
          <w:b w:val="0"/>
          <w:sz w:val="32"/>
        </w:rPr>
        <w:t>二、《收入决算表》</w:t>
      </w:r>
    </w:p>
    <w:p w14:paraId="2E9093FC">
      <w:pPr>
        <w:spacing w:line="240" w:lineRule="auto"/>
        <w:ind w:firstLine="640"/>
        <w:jc w:val="both"/>
      </w:pPr>
      <w:r>
        <w:rPr>
          <w:rFonts w:ascii="仿宋_GB2312" w:hAnsi="仿宋_GB2312" w:eastAsia="仿宋_GB2312"/>
          <w:b w:val="0"/>
          <w:sz w:val="32"/>
        </w:rPr>
        <w:t>三、《支出决算表》</w:t>
      </w:r>
    </w:p>
    <w:p w14:paraId="46F607A9">
      <w:pPr>
        <w:spacing w:line="240" w:lineRule="auto"/>
        <w:ind w:firstLine="640"/>
        <w:jc w:val="both"/>
      </w:pPr>
      <w:r>
        <w:rPr>
          <w:rFonts w:ascii="仿宋_GB2312" w:hAnsi="仿宋_GB2312" w:eastAsia="仿宋_GB2312"/>
          <w:b w:val="0"/>
          <w:sz w:val="32"/>
        </w:rPr>
        <w:t>四、《财政拨款收入支出决算总表》</w:t>
      </w:r>
    </w:p>
    <w:p w14:paraId="3F7674C5">
      <w:pPr>
        <w:spacing w:line="240" w:lineRule="auto"/>
        <w:ind w:firstLine="640"/>
        <w:jc w:val="both"/>
      </w:pPr>
      <w:r>
        <w:rPr>
          <w:rFonts w:ascii="仿宋_GB2312" w:hAnsi="仿宋_GB2312" w:eastAsia="仿宋_GB2312"/>
          <w:b w:val="0"/>
          <w:sz w:val="32"/>
        </w:rPr>
        <w:t>五、《一般公共预算财政拨款支出决算表》</w:t>
      </w:r>
    </w:p>
    <w:p w14:paraId="3CD3DC6E">
      <w:pPr>
        <w:spacing w:line="240" w:lineRule="auto"/>
        <w:ind w:firstLine="640"/>
        <w:jc w:val="both"/>
      </w:pPr>
      <w:r>
        <w:rPr>
          <w:rFonts w:ascii="仿宋_GB2312" w:hAnsi="仿宋_GB2312" w:eastAsia="仿宋_GB2312"/>
          <w:b w:val="0"/>
          <w:sz w:val="32"/>
        </w:rPr>
        <w:t>六、《一般公共预算财政拨款基本支出决算表》</w:t>
      </w:r>
    </w:p>
    <w:p w14:paraId="4A0D2A3B">
      <w:pPr>
        <w:spacing w:line="240" w:lineRule="auto"/>
        <w:ind w:firstLine="640"/>
        <w:jc w:val="both"/>
      </w:pPr>
      <w:r>
        <w:rPr>
          <w:rFonts w:ascii="仿宋_GB2312" w:hAnsi="仿宋_GB2312" w:eastAsia="仿宋_GB2312"/>
          <w:b w:val="0"/>
          <w:sz w:val="32"/>
        </w:rPr>
        <w:t>七、《政府性基金预算财政拨款收入支出决算表》</w:t>
      </w:r>
    </w:p>
    <w:p w14:paraId="1633232F">
      <w:pPr>
        <w:spacing w:line="240" w:lineRule="auto"/>
        <w:ind w:firstLine="640"/>
        <w:jc w:val="both"/>
      </w:pPr>
      <w:r>
        <w:rPr>
          <w:rFonts w:ascii="仿宋_GB2312" w:hAnsi="仿宋_GB2312" w:eastAsia="仿宋_GB2312"/>
          <w:b w:val="0"/>
          <w:sz w:val="32"/>
        </w:rPr>
        <w:t>八、《国有资本经营预算财政拨款收入支出决算表》</w:t>
      </w:r>
    </w:p>
    <w:p w14:paraId="0F383B39">
      <w:pPr>
        <w:spacing w:line="240" w:lineRule="auto"/>
        <w:ind w:firstLine="640"/>
        <w:jc w:val="both"/>
      </w:pPr>
      <w:r>
        <w:rPr>
          <w:rFonts w:ascii="仿宋_GB2312" w:hAnsi="仿宋_GB2312" w:eastAsia="仿宋_GB2312"/>
          <w:b w:val="0"/>
          <w:sz w:val="32"/>
        </w:rPr>
        <w:t>九、《财政拨款“三公”经费支出决算表》</w:t>
      </w:r>
    </w:p>
    <w:p w14:paraId="3D2160D3">
      <w:pPr>
        <w:spacing w:line="240" w:lineRule="auto"/>
        <w:ind w:firstLine="640"/>
        <w:jc w:val="both"/>
      </w:pPr>
    </w:p>
    <w:p w14:paraId="2FD03386">
      <w:pPr>
        <w:spacing w:line="240" w:lineRule="auto"/>
        <w:ind w:firstLine="640"/>
        <w:jc w:val="both"/>
      </w:pPr>
    </w:p>
    <w:p w14:paraId="1D6B11C8">
      <w:pPr>
        <w:spacing w:line="240" w:lineRule="auto"/>
        <w:ind w:firstLine="640"/>
        <w:jc w:val="both"/>
      </w:pPr>
    </w:p>
    <w:p w14:paraId="2670D984">
      <w:pPr>
        <w:spacing w:line="240" w:lineRule="auto"/>
        <w:ind w:firstLine="640"/>
        <w:jc w:val="both"/>
      </w:pPr>
    </w:p>
    <w:p w14:paraId="1050F66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6AECC2-5184-4DCE-9636-7E7C866AAC1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E18940D-C6AC-46DE-9FAE-3E0F020835EE}"/>
  </w:font>
  <w:font w:name="方正小标宋_GBK">
    <w:panose1 w:val="02000000000000000000"/>
    <w:charset w:val="86"/>
    <w:family w:val="script"/>
    <w:pitch w:val="default"/>
    <w:sig w:usb0="A00002BF" w:usb1="38CF7CFA" w:usb2="00082016" w:usb3="00000000" w:csb0="00040001" w:csb1="00000000"/>
    <w:embedRegular r:id="rId3" w:fontKey="{F2806E9F-E4EC-4285-80C8-D44228426C51}"/>
  </w:font>
  <w:font w:name="楷体_GB2312">
    <w:altName w:val="楷体"/>
    <w:panose1 w:val="02010609030101010101"/>
    <w:charset w:val="86"/>
    <w:family w:val="auto"/>
    <w:pitch w:val="default"/>
    <w:sig w:usb0="00000000" w:usb1="00000000" w:usb2="00000000" w:usb3="00000000" w:csb0="00040000" w:csb1="00000000"/>
    <w:embedRegular r:id="rId4" w:fontKey="{E3E4139A-B2B9-4A74-95E3-67ED4C44FF87}"/>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1E724F"/>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8A1625"/>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2D0342"/>
    <w:rsid w:val="6D8919A8"/>
    <w:rsid w:val="6E0F7A08"/>
    <w:rsid w:val="6E801ABC"/>
    <w:rsid w:val="71473612"/>
    <w:rsid w:val="718F7F65"/>
    <w:rsid w:val="720D027B"/>
    <w:rsid w:val="73423603"/>
    <w:rsid w:val="737A5923"/>
    <w:rsid w:val="73DE4104"/>
    <w:rsid w:val="73FB6630"/>
    <w:rsid w:val="74CE04EC"/>
    <w:rsid w:val="74E76DCD"/>
    <w:rsid w:val="76660D7C"/>
    <w:rsid w:val="77ED6F44"/>
    <w:rsid w:val="795A0A34"/>
    <w:rsid w:val="7A0D3BC7"/>
    <w:rsid w:val="7A3A3CDB"/>
    <w:rsid w:val="7AA975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7327</Words>
  <Characters>8404</Characters>
  <Lines>0</Lines>
  <Paragraphs>0</Paragraphs>
  <TotalTime>7</TotalTime>
  <ScaleCrop>false</ScaleCrop>
  <LinksUpToDate>false</LinksUpToDate>
  <CharactersWithSpaces>8413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