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新疆维吾尔自治区喀什地区少数民族小学教师培训中心2024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59169B">
      <w:r>
        <w:br w:type="page"/>
      </w:r>
    </w:p>
    <w:p w14:paraId="5B442883">
      <w:pPr>
        <w:spacing w:line="640" w:lineRule="exact"/>
        <w:jc w:val="center"/>
        <w:outlineLvl w:val="1"/>
      </w:pPr>
      <w:r>
        <w:rPr>
          <w:rFonts w:ascii="黑体" w:hAnsi="黑体" w:eastAsia="黑体"/>
          <w:sz w:val="32"/>
        </w:rPr>
        <w:t>第一部分 部门概况</w:t>
      </w:r>
    </w:p>
    <w:p w14:paraId="5717CB71">
      <w:pPr>
        <w:spacing w:line="640" w:lineRule="exact"/>
        <w:ind w:firstLine="640"/>
        <w:jc w:val="both"/>
        <w:outlineLvl w:val="2"/>
      </w:pPr>
      <w:r>
        <w:rPr>
          <w:rFonts w:ascii="黑体" w:hAnsi="黑体" w:eastAsia="黑体"/>
          <w:sz w:val="32"/>
        </w:rPr>
        <w:t>一、主要职能</w:t>
      </w:r>
    </w:p>
    <w:p w14:paraId="583EF8EC">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1、负责喀什地区中小学教师进修，培养教师专业人才及各种短期培训的全额拨款事业单位。</w:t>
      </w:r>
    </w:p>
    <w:p w14:paraId="4FFA2B28">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2、负责中小学（学前）书记校长（幼儿园园长）继续教育培训及中小学教师学科培训、普通话培训、普通话测试等；并充分利用学校的办学资源；</w:t>
      </w:r>
      <w:bookmarkStart w:id="0" w:name="_GoBack"/>
      <w:bookmarkEnd w:id="0"/>
      <w:r>
        <w:rPr>
          <w:rFonts w:hint="eastAsia" w:ascii="仿宋_GB2312" w:hAnsi="仿宋_GB2312" w:eastAsia="仿宋_GB2312"/>
          <w:sz w:val="32"/>
        </w:rPr>
        <w:t>承担多领域的继续教育和岗位培训任务，与政府相关部门及行业合作开展各类培训。</w:t>
      </w:r>
    </w:p>
    <w:p w14:paraId="240A275B">
      <w:pPr>
        <w:spacing w:line="580" w:lineRule="exact"/>
        <w:ind w:firstLine="640"/>
        <w:jc w:val="both"/>
      </w:pPr>
      <w:r>
        <w:rPr>
          <w:rFonts w:hint="eastAsia" w:ascii="仿宋_GB2312" w:hAnsi="仿宋_GB2312" w:eastAsia="仿宋_GB2312"/>
          <w:sz w:val="32"/>
        </w:rPr>
        <w:t>3、负责喀什开放大学、喀什老年大学的招生、教学工作和喀什地区社区服务教育工作。</w:t>
      </w:r>
    </w:p>
    <w:p w14:paraId="1169F6C0">
      <w:pPr>
        <w:spacing w:line="640" w:lineRule="exact"/>
        <w:ind w:firstLine="640"/>
        <w:jc w:val="both"/>
        <w:outlineLvl w:val="2"/>
      </w:pPr>
      <w:r>
        <w:rPr>
          <w:rFonts w:ascii="黑体" w:hAnsi="黑体" w:eastAsia="黑体"/>
          <w:sz w:val="32"/>
        </w:rPr>
        <w:t>二、机构设置及人员情况</w:t>
      </w:r>
    </w:p>
    <w:p w14:paraId="1666674E">
      <w:pPr>
        <w:spacing w:line="580" w:lineRule="exact"/>
        <w:ind w:firstLine="640"/>
        <w:jc w:val="both"/>
      </w:pPr>
      <w:r>
        <w:rPr>
          <w:rFonts w:ascii="仿宋_GB2312" w:hAnsi="仿宋_GB2312" w:eastAsia="仿宋_GB2312"/>
          <w:sz w:val="32"/>
        </w:rPr>
        <w:t>新疆维吾尔自治区喀什地区少数民族小学教师培训中心2024年度，实有人数17人，其中：在职人员3人，减少3人；离休人员0人，增加0人；退休人员14人,增加2人。</w:t>
      </w:r>
    </w:p>
    <w:p w14:paraId="7EC3AFA3">
      <w:pPr>
        <w:spacing w:line="580" w:lineRule="exact"/>
        <w:ind w:firstLine="640"/>
        <w:jc w:val="both"/>
      </w:pPr>
      <w:r>
        <w:rPr>
          <w:rFonts w:ascii="仿宋_GB2312" w:hAnsi="仿宋_GB2312" w:eastAsia="仿宋_GB2312"/>
          <w:sz w:val="32"/>
        </w:rPr>
        <w:t>新疆维吾尔自治区喀什地区少数民族小学教师培训中心无下属预算单位，下设11个科室，分别是：党政办公室、教务科、组织人事科、财务科、总务科、纪检监察室、电教中心、保卫科、开大工作部、培训管理科、工会。</w:t>
      </w:r>
    </w:p>
    <w:p w14:paraId="6E14FD07">
      <w:r>
        <w:br w:type="page"/>
      </w:r>
    </w:p>
    <w:p w14:paraId="1BD8F8F6">
      <w:pPr>
        <w:spacing w:line="240" w:lineRule="auto"/>
        <w:jc w:val="center"/>
        <w:outlineLvl w:val="1"/>
      </w:pPr>
      <w:r>
        <w:rPr>
          <w:rFonts w:ascii="黑体" w:hAnsi="黑体" w:eastAsia="黑体"/>
          <w:sz w:val="32"/>
        </w:rPr>
        <w:t>第二部分 部门决算情况说明</w:t>
      </w:r>
    </w:p>
    <w:p w14:paraId="43DDCAAF">
      <w:pPr>
        <w:spacing w:line="640" w:lineRule="exact"/>
        <w:ind w:firstLine="640"/>
        <w:jc w:val="both"/>
        <w:outlineLvl w:val="2"/>
      </w:pPr>
      <w:r>
        <w:rPr>
          <w:rFonts w:ascii="黑体" w:hAnsi="黑体" w:eastAsia="黑体"/>
          <w:sz w:val="32"/>
        </w:rPr>
        <w:t>一、收入支出决算总体情况说明</w:t>
      </w:r>
    </w:p>
    <w:p w14:paraId="5363FF64">
      <w:pPr>
        <w:spacing w:line="580" w:lineRule="exact"/>
        <w:ind w:firstLine="640"/>
        <w:jc w:val="both"/>
      </w:pPr>
      <w:r>
        <w:rPr>
          <w:rFonts w:ascii="仿宋_GB2312" w:hAnsi="仿宋_GB2312" w:eastAsia="仿宋_GB2312"/>
          <w:b/>
          <w:sz w:val="32"/>
        </w:rPr>
        <w:t>2024年度收入总计1,592.59万元，</w:t>
      </w:r>
      <w:r>
        <w:rPr>
          <w:rFonts w:ascii="仿宋_GB2312" w:hAnsi="仿宋_GB2312" w:eastAsia="仿宋_GB2312"/>
          <w:b w:val="0"/>
          <w:sz w:val="32"/>
        </w:rPr>
        <w:t>其中：本年收入合计1,354.89万元，使用非财政拨款结余（含专用结余）0.00万元，年初结转和结余237.70万元。</w:t>
      </w:r>
    </w:p>
    <w:p w14:paraId="37667B62">
      <w:pPr>
        <w:spacing w:line="580" w:lineRule="exact"/>
        <w:ind w:firstLine="640"/>
        <w:jc w:val="both"/>
      </w:pPr>
      <w:r>
        <w:rPr>
          <w:rFonts w:ascii="仿宋_GB2312" w:hAnsi="仿宋_GB2312" w:eastAsia="仿宋_GB2312"/>
          <w:b/>
          <w:sz w:val="32"/>
        </w:rPr>
        <w:t>2024年度支出总计1,592.59万元，</w:t>
      </w:r>
      <w:r>
        <w:rPr>
          <w:rFonts w:ascii="仿宋_GB2312" w:hAnsi="仿宋_GB2312" w:eastAsia="仿宋_GB2312"/>
          <w:b w:val="0"/>
          <w:sz w:val="32"/>
        </w:rPr>
        <w:t>其中：本年支出合计1,528.94万元，结余分配0.00万元，年末结转和结余63.65万元。</w:t>
      </w:r>
    </w:p>
    <w:p w14:paraId="194B1AEA">
      <w:pPr>
        <w:spacing w:line="580" w:lineRule="exact"/>
        <w:ind w:firstLine="640"/>
        <w:jc w:val="both"/>
      </w:pPr>
      <w:r>
        <w:rPr>
          <w:rFonts w:ascii="仿宋_GB2312" w:hAnsi="仿宋_GB2312" w:eastAsia="仿宋_GB2312"/>
          <w:b w:val="0"/>
          <w:sz w:val="32"/>
        </w:rPr>
        <w:t>收入支出总体与上年相比，减少1,091.26万元，下降40.66%，主要原因是：本年减少托管“1+4”托管模式下喀什大学转入的用于构建固定资产项目，上年基本完工，今年付其尾款，因此经费较上年减少。</w:t>
      </w:r>
    </w:p>
    <w:p w14:paraId="233C0DD3">
      <w:pPr>
        <w:spacing w:line="640" w:lineRule="exact"/>
        <w:ind w:firstLine="640"/>
        <w:jc w:val="both"/>
        <w:outlineLvl w:val="2"/>
      </w:pPr>
      <w:r>
        <w:rPr>
          <w:rFonts w:ascii="黑体" w:hAnsi="黑体" w:eastAsia="黑体"/>
          <w:sz w:val="32"/>
        </w:rPr>
        <w:t>二、收入决算情况说明</w:t>
      </w:r>
    </w:p>
    <w:p w14:paraId="3BD5F9EB">
      <w:pPr>
        <w:spacing w:line="580" w:lineRule="exact"/>
        <w:ind w:firstLine="640"/>
        <w:jc w:val="both"/>
      </w:pPr>
      <w:r>
        <w:rPr>
          <w:rFonts w:ascii="仿宋_GB2312" w:hAnsi="仿宋_GB2312" w:eastAsia="仿宋_GB2312"/>
          <w:b/>
          <w:sz w:val="32"/>
        </w:rPr>
        <w:t>本年收入1,354.89万元，</w:t>
      </w:r>
      <w:r>
        <w:rPr>
          <w:rFonts w:ascii="仿宋_GB2312" w:hAnsi="仿宋_GB2312" w:eastAsia="仿宋_GB2312"/>
          <w:b w:val="0"/>
          <w:sz w:val="32"/>
        </w:rPr>
        <w:t>其中：财政拨款收入353.46万元，占26.09%；上级补助收入0.00万元，占0.00%；事业收入300.96万元，占22.21%；经营收入0.00万元，占0.00%；附属单位上缴收入0.00万元，占0.00%；其他收入700.47万元，占51.70%。</w:t>
      </w:r>
    </w:p>
    <w:p w14:paraId="0C3583F1">
      <w:pPr>
        <w:spacing w:line="640" w:lineRule="exact"/>
        <w:ind w:firstLine="640"/>
        <w:jc w:val="both"/>
        <w:outlineLvl w:val="2"/>
      </w:pPr>
      <w:r>
        <w:rPr>
          <w:rFonts w:ascii="黑体" w:hAnsi="黑体" w:eastAsia="黑体"/>
          <w:sz w:val="32"/>
        </w:rPr>
        <w:t>三、支出决算情况说明</w:t>
      </w:r>
    </w:p>
    <w:p w14:paraId="73990A27">
      <w:pPr>
        <w:spacing w:line="580" w:lineRule="exact"/>
        <w:ind w:firstLine="640"/>
        <w:jc w:val="both"/>
      </w:pPr>
      <w:r>
        <w:rPr>
          <w:rFonts w:ascii="仿宋_GB2312" w:hAnsi="仿宋_GB2312" w:eastAsia="仿宋_GB2312"/>
          <w:b/>
          <w:sz w:val="32"/>
        </w:rPr>
        <w:t>本年支出1,528.94万元，</w:t>
      </w:r>
      <w:r>
        <w:rPr>
          <w:rFonts w:ascii="仿宋_GB2312" w:hAnsi="仿宋_GB2312" w:eastAsia="仿宋_GB2312"/>
          <w:b w:val="0"/>
          <w:sz w:val="32"/>
        </w:rPr>
        <w:t>其中：基本支出322.12万元，占21.07%；项目支出1,206.82万元，占78.93%；上缴上级支出0.00万元，占0.00%；经营支出0.00万元，占0.00%；对附属单位补助支出0.00万元，占0.00%。</w:t>
      </w:r>
    </w:p>
    <w:p w14:paraId="6AF9668E">
      <w:pPr>
        <w:spacing w:line="640" w:lineRule="exact"/>
        <w:ind w:firstLine="640"/>
        <w:jc w:val="both"/>
        <w:outlineLvl w:val="2"/>
      </w:pPr>
      <w:r>
        <w:rPr>
          <w:rFonts w:ascii="黑体" w:hAnsi="黑体" w:eastAsia="黑体"/>
          <w:sz w:val="32"/>
        </w:rPr>
        <w:t>四、财政拨款收入支出决算总体情况说明</w:t>
      </w:r>
    </w:p>
    <w:p w14:paraId="6FF2EDD4">
      <w:pPr>
        <w:spacing w:line="580" w:lineRule="exact"/>
        <w:ind w:firstLine="640"/>
        <w:jc w:val="both"/>
      </w:pPr>
      <w:r>
        <w:rPr>
          <w:rFonts w:ascii="仿宋_GB2312" w:hAnsi="仿宋_GB2312" w:eastAsia="仿宋_GB2312"/>
          <w:b/>
          <w:sz w:val="32"/>
        </w:rPr>
        <w:t>2024年度财政拨款收入总计353.46万元，</w:t>
      </w:r>
      <w:r>
        <w:rPr>
          <w:rFonts w:ascii="仿宋_GB2312" w:hAnsi="仿宋_GB2312" w:eastAsia="仿宋_GB2312"/>
          <w:b w:val="0"/>
          <w:sz w:val="32"/>
        </w:rPr>
        <w:t>其中：年初财政拨款结转和结余0.00万元，本年财政拨款收入353.46万元。</w:t>
      </w:r>
      <w:r>
        <w:rPr>
          <w:rFonts w:ascii="仿宋_GB2312" w:hAnsi="仿宋_GB2312" w:eastAsia="仿宋_GB2312"/>
          <w:b/>
          <w:sz w:val="32"/>
        </w:rPr>
        <w:t>财政拨款支出总计353.46万元，</w:t>
      </w:r>
      <w:r>
        <w:rPr>
          <w:rFonts w:ascii="仿宋_GB2312" w:hAnsi="仿宋_GB2312" w:eastAsia="仿宋_GB2312"/>
          <w:b w:val="0"/>
          <w:sz w:val="32"/>
        </w:rPr>
        <w:t>其中：年末财政拨款结转和结余0.00万元，本年财政拨款支出353.46万元。</w:t>
      </w:r>
    </w:p>
    <w:p w14:paraId="21FE5A1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减少148.88万元，下降29.64%，主要原因是：本年减少校园变压器及总配电房升级、供电线路改造项目；在职转退休，人员经费减少。</w:t>
      </w:r>
      <w:r>
        <w:rPr>
          <w:rFonts w:ascii="仿宋_GB2312" w:hAnsi="仿宋_GB2312" w:eastAsia="仿宋_GB2312"/>
          <w:b/>
          <w:sz w:val="32"/>
        </w:rPr>
        <w:t>与年初预算相比，</w:t>
      </w:r>
      <w:r>
        <w:rPr>
          <w:rFonts w:ascii="仿宋_GB2312" w:hAnsi="仿宋_GB2312" w:eastAsia="仿宋_GB2312"/>
          <w:b w:val="0"/>
          <w:sz w:val="32"/>
        </w:rPr>
        <w:t>年初预算数363.36万元，决算数353.46万元，预决算差异率-2.72%，主要原因是：在职转退休，本年在职人员减少，年中调减人员经费，导致预决算存在差异。</w:t>
      </w:r>
    </w:p>
    <w:p w14:paraId="06F55E9E">
      <w:pPr>
        <w:spacing w:line="640" w:lineRule="exact"/>
        <w:ind w:firstLine="640"/>
        <w:jc w:val="both"/>
        <w:outlineLvl w:val="2"/>
      </w:pPr>
      <w:r>
        <w:rPr>
          <w:rFonts w:ascii="黑体" w:hAnsi="黑体" w:eastAsia="黑体"/>
          <w:sz w:val="32"/>
        </w:rPr>
        <w:t>五、一般公共预算财政拨款支出决算情况说明</w:t>
      </w:r>
    </w:p>
    <w:p w14:paraId="39726A54">
      <w:pPr>
        <w:spacing w:line="640" w:lineRule="exact"/>
        <w:ind w:firstLine="640"/>
        <w:jc w:val="both"/>
        <w:outlineLvl w:val="3"/>
      </w:pPr>
      <w:r>
        <w:rPr>
          <w:rFonts w:ascii="楷体_GB2312" w:hAnsi="楷体_GB2312" w:eastAsia="楷体_GB2312"/>
          <w:b/>
          <w:sz w:val="32"/>
        </w:rPr>
        <w:t>（一）一般公共预算财政拨款支出决算总体情况</w:t>
      </w:r>
    </w:p>
    <w:p w14:paraId="6090A8BB">
      <w:pPr>
        <w:spacing w:line="580" w:lineRule="exact"/>
        <w:ind w:firstLine="640"/>
        <w:jc w:val="both"/>
      </w:pPr>
      <w:r>
        <w:rPr>
          <w:rFonts w:ascii="仿宋_GB2312" w:hAnsi="仿宋_GB2312" w:eastAsia="仿宋_GB2312"/>
          <w:b/>
          <w:sz w:val="32"/>
        </w:rPr>
        <w:t>2024年度一般公共预算财政拨款支出353.46万元，</w:t>
      </w:r>
      <w:r>
        <w:rPr>
          <w:rFonts w:ascii="仿宋_GB2312" w:hAnsi="仿宋_GB2312" w:eastAsia="仿宋_GB2312"/>
          <w:b w:val="0"/>
          <w:sz w:val="32"/>
        </w:rPr>
        <w:t>占本年支出合计的23.12%。</w:t>
      </w:r>
      <w:r>
        <w:rPr>
          <w:rFonts w:ascii="仿宋_GB2312" w:hAnsi="仿宋_GB2312" w:eastAsia="仿宋_GB2312"/>
          <w:b/>
          <w:sz w:val="32"/>
        </w:rPr>
        <w:t>与上年相比，</w:t>
      </w:r>
      <w:r>
        <w:rPr>
          <w:rFonts w:ascii="仿宋_GB2312" w:hAnsi="仿宋_GB2312" w:eastAsia="仿宋_GB2312"/>
          <w:b w:val="0"/>
          <w:sz w:val="32"/>
        </w:rPr>
        <w:t>减少148.88万元，下降29.64%，主要原因是：本年在职转退休，相关人员经费减少；减少校园变压器及总配电房升级、供电线路改造项目。</w:t>
      </w:r>
      <w:r>
        <w:rPr>
          <w:rFonts w:ascii="仿宋_GB2312" w:hAnsi="仿宋_GB2312" w:eastAsia="仿宋_GB2312"/>
          <w:b/>
          <w:sz w:val="32"/>
        </w:rPr>
        <w:t>与年初预算相比,</w:t>
      </w:r>
      <w:r>
        <w:rPr>
          <w:rFonts w:ascii="仿宋_GB2312" w:hAnsi="仿宋_GB2312" w:eastAsia="仿宋_GB2312"/>
          <w:b w:val="0"/>
          <w:sz w:val="32"/>
        </w:rPr>
        <w:t>年初预算数363.36万元，决算数353.46万元，预决算差异率-2.72%，主要原因是：在职转退休，本年在职人员减少，年中调减人员经费，导致预决算存在差异。</w:t>
      </w:r>
    </w:p>
    <w:p w14:paraId="33708453">
      <w:pPr>
        <w:spacing w:line="640" w:lineRule="exact"/>
        <w:ind w:firstLine="640"/>
        <w:jc w:val="both"/>
        <w:outlineLvl w:val="3"/>
      </w:pPr>
      <w:r>
        <w:rPr>
          <w:rFonts w:ascii="楷体_GB2312" w:hAnsi="楷体_GB2312" w:eastAsia="楷体_GB2312"/>
          <w:b/>
          <w:sz w:val="32"/>
        </w:rPr>
        <w:t>（二）一般公共预算财政拨款支出决算结构情况</w:t>
      </w:r>
    </w:p>
    <w:p w14:paraId="0D6306A3">
      <w:pPr>
        <w:spacing w:line="580" w:lineRule="exact"/>
        <w:ind w:firstLine="640"/>
        <w:jc w:val="both"/>
      </w:pPr>
      <w:r>
        <w:rPr>
          <w:rFonts w:ascii="仿宋_GB2312" w:hAnsi="仿宋_GB2312" w:eastAsia="仿宋_GB2312"/>
          <w:b w:val="0"/>
          <w:sz w:val="32"/>
        </w:rPr>
        <w:t>1.教育支出(类)319.97万元,占90.53%。</w:t>
      </w:r>
    </w:p>
    <w:p w14:paraId="1E49DDA9">
      <w:pPr>
        <w:spacing w:line="580" w:lineRule="exact"/>
        <w:ind w:firstLine="640"/>
        <w:jc w:val="both"/>
      </w:pPr>
      <w:r>
        <w:rPr>
          <w:rFonts w:ascii="仿宋_GB2312" w:hAnsi="仿宋_GB2312" w:eastAsia="仿宋_GB2312"/>
          <w:b w:val="0"/>
          <w:sz w:val="32"/>
        </w:rPr>
        <w:t>2.社会保障和就业支出(类)33.49万元,占9.47%。</w:t>
      </w:r>
    </w:p>
    <w:p w14:paraId="538BCA34">
      <w:pPr>
        <w:spacing w:line="640" w:lineRule="exact"/>
        <w:ind w:firstLine="640"/>
        <w:jc w:val="both"/>
        <w:outlineLvl w:val="3"/>
      </w:pPr>
      <w:r>
        <w:rPr>
          <w:rFonts w:ascii="楷体_GB2312" w:hAnsi="楷体_GB2312" w:eastAsia="楷体_GB2312"/>
          <w:b/>
          <w:sz w:val="32"/>
        </w:rPr>
        <w:t>（三）一般公共预算财政拨款支出决算具体情况</w:t>
      </w:r>
    </w:p>
    <w:p w14:paraId="6D914F24">
      <w:pPr>
        <w:spacing w:line="580" w:lineRule="exact"/>
        <w:ind w:firstLine="640"/>
        <w:jc w:val="both"/>
      </w:pPr>
      <w:r>
        <w:rPr>
          <w:rFonts w:ascii="仿宋_GB2312" w:hAnsi="仿宋_GB2312" w:eastAsia="仿宋_GB2312"/>
          <w:b w:val="0"/>
          <w:sz w:val="32"/>
        </w:rPr>
        <w:t>1.教育支出(类)进修及培训(款)教师进修(项):支出决算数为319.97万元，比上年决算减少158.20万元，下降33.08%,主要原因是：本年减少校园变压器及总配电房升级、供电线路改造项目。</w:t>
      </w:r>
    </w:p>
    <w:p w14:paraId="2CBD279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11.52万元，比上年决算减少3.42万元，下降22.89%,主要原因是：本年在职转退休，单位基本养老保险缴费较上年减少。</w:t>
      </w:r>
    </w:p>
    <w:p w14:paraId="73834A3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3.社会保障和就业支出(类)行政事业单位养老支出(款)机关事业单位职业年金缴费支出(项):支出决算数为21.97万元，比上年决算增加12.74万元，增长138.03%,主要原因是：新增退休人员，职业年金缴费支出增加。</w:t>
      </w:r>
    </w:p>
    <w:p w14:paraId="5E1F4DBC">
      <w:pPr>
        <w:spacing w:line="640" w:lineRule="exact"/>
        <w:ind w:firstLine="640"/>
        <w:jc w:val="both"/>
        <w:outlineLvl w:val="2"/>
      </w:pPr>
      <w:r>
        <w:rPr>
          <w:rFonts w:ascii="黑体" w:hAnsi="黑体" w:eastAsia="黑体"/>
          <w:sz w:val="32"/>
        </w:rPr>
        <w:t>六、一般公共预算财政拨款基本支出决算情况说明</w:t>
      </w:r>
    </w:p>
    <w:p w14:paraId="6D348853">
      <w:pPr>
        <w:spacing w:line="580" w:lineRule="exact"/>
        <w:ind w:firstLine="640"/>
        <w:jc w:val="both"/>
      </w:pPr>
      <w:r>
        <w:rPr>
          <w:rFonts w:ascii="仿宋_GB2312" w:hAnsi="仿宋_GB2312" w:eastAsia="仿宋_GB2312"/>
          <w:b w:val="0"/>
          <w:sz w:val="32"/>
        </w:rPr>
        <w:t>2024年度一般公共预算财政拨款基本支出322.12万元，其中：</w:t>
      </w:r>
      <w:r>
        <w:rPr>
          <w:rFonts w:ascii="仿宋_GB2312" w:hAnsi="仿宋_GB2312" w:eastAsia="仿宋_GB2312"/>
          <w:b/>
          <w:sz w:val="32"/>
        </w:rPr>
        <w:t>人员经费172.36万元，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6F438CB3">
      <w:pPr>
        <w:spacing w:line="580" w:lineRule="exact"/>
        <w:ind w:firstLine="640"/>
        <w:jc w:val="both"/>
      </w:pPr>
      <w:r>
        <w:rPr>
          <w:rFonts w:ascii="仿宋_GB2312" w:hAnsi="仿宋_GB2312" w:eastAsia="仿宋_GB2312"/>
          <w:b/>
          <w:sz w:val="32"/>
        </w:rPr>
        <w:t>公用经费149.76万元，</w:t>
      </w:r>
      <w:r>
        <w:rPr>
          <w:rFonts w:ascii="仿宋_GB2312" w:hAnsi="仿宋_GB2312" w:eastAsia="仿宋_GB2312"/>
          <w:b w:val="0"/>
          <w:sz w:val="32"/>
        </w:rPr>
        <w:t>包括：取暖费、工会经费、其他交通费用、其他商品和服务支出。</w:t>
      </w:r>
    </w:p>
    <w:p w14:paraId="2F8E8C60">
      <w:pPr>
        <w:spacing w:line="640" w:lineRule="exact"/>
        <w:ind w:firstLine="640"/>
        <w:jc w:val="both"/>
        <w:outlineLvl w:val="2"/>
      </w:pPr>
      <w:r>
        <w:rPr>
          <w:rFonts w:ascii="黑体" w:hAnsi="黑体" w:eastAsia="黑体"/>
          <w:sz w:val="32"/>
        </w:rPr>
        <w:t>七、政府性基金预算财政拨款收入支出决算情况说明</w:t>
      </w:r>
    </w:p>
    <w:p w14:paraId="646B092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190A0BA">
      <w:pPr>
        <w:spacing w:line="640" w:lineRule="exact"/>
        <w:ind w:firstLine="640"/>
        <w:jc w:val="both"/>
        <w:outlineLvl w:val="2"/>
      </w:pPr>
      <w:r>
        <w:rPr>
          <w:rFonts w:ascii="黑体" w:hAnsi="黑体" w:eastAsia="黑体"/>
          <w:sz w:val="32"/>
        </w:rPr>
        <w:t>八、国有资本经营预算财政拨款收入支出决算情况说明</w:t>
      </w:r>
    </w:p>
    <w:p w14:paraId="40FE37A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F877E61">
      <w:pPr>
        <w:spacing w:line="640" w:lineRule="exact"/>
        <w:ind w:firstLine="640"/>
        <w:jc w:val="both"/>
        <w:outlineLvl w:val="2"/>
      </w:pPr>
      <w:r>
        <w:rPr>
          <w:rFonts w:ascii="黑体" w:hAnsi="黑体" w:eastAsia="黑体"/>
          <w:sz w:val="32"/>
        </w:rPr>
        <w:t>九、财政拨款“三公”经费支出决算情况说明</w:t>
      </w:r>
    </w:p>
    <w:p w14:paraId="27E78DC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8641EA2">
      <w:pPr>
        <w:spacing w:line="580" w:lineRule="exact"/>
        <w:ind w:firstLine="640"/>
        <w:jc w:val="both"/>
      </w:pPr>
      <w:r>
        <w:rPr>
          <w:rFonts w:ascii="仿宋_GB2312" w:hAnsi="仿宋_GB2312" w:eastAsia="仿宋_GB2312"/>
          <w:b/>
          <w:sz w:val="32"/>
        </w:rPr>
        <w:t>具体情况如下：</w:t>
      </w:r>
    </w:p>
    <w:p w14:paraId="4487708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D42805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12751DD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C7990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7DC0F856">
      <w:pPr>
        <w:spacing w:line="640" w:lineRule="exact"/>
        <w:ind w:firstLine="640"/>
        <w:jc w:val="both"/>
        <w:outlineLvl w:val="2"/>
      </w:pPr>
      <w:r>
        <w:rPr>
          <w:rFonts w:ascii="黑体" w:hAnsi="黑体" w:eastAsia="黑体"/>
          <w:sz w:val="32"/>
        </w:rPr>
        <w:t>十、其他重要事项的情况说明</w:t>
      </w:r>
    </w:p>
    <w:p w14:paraId="5FC92D12">
      <w:pPr>
        <w:spacing w:line="640" w:lineRule="exact"/>
        <w:ind w:firstLine="640"/>
        <w:jc w:val="both"/>
        <w:outlineLvl w:val="3"/>
      </w:pPr>
      <w:r>
        <w:rPr>
          <w:rFonts w:ascii="楷体_GB2312" w:hAnsi="楷体_GB2312" w:eastAsia="楷体_GB2312"/>
          <w:b/>
          <w:sz w:val="32"/>
        </w:rPr>
        <w:t>（一）机关运行经费及公用经费支出情况</w:t>
      </w:r>
    </w:p>
    <w:p w14:paraId="1B1CF509">
      <w:pPr>
        <w:spacing w:line="580" w:lineRule="exact"/>
        <w:ind w:firstLine="640"/>
        <w:jc w:val="both"/>
      </w:pPr>
      <w:r>
        <w:rPr>
          <w:rFonts w:ascii="仿宋_GB2312" w:hAnsi="仿宋_GB2312" w:eastAsia="仿宋_GB2312"/>
          <w:b w:val="0"/>
          <w:sz w:val="32"/>
        </w:rPr>
        <w:t>2024年度新疆维吾尔自治区喀什地区少数民族小学教师培训中心（事业单位）公用经费支出149.76万元，比上年增加7.91万元，增长5.58%，主要原因是：本年增加取暖费，导致公用经费增加。</w:t>
      </w:r>
    </w:p>
    <w:p w14:paraId="2D77C45E">
      <w:pPr>
        <w:spacing w:line="640" w:lineRule="exact"/>
        <w:ind w:firstLine="640"/>
        <w:jc w:val="both"/>
        <w:outlineLvl w:val="3"/>
      </w:pPr>
      <w:r>
        <w:rPr>
          <w:rFonts w:ascii="楷体_GB2312" w:hAnsi="楷体_GB2312" w:eastAsia="楷体_GB2312"/>
          <w:b/>
          <w:sz w:val="32"/>
        </w:rPr>
        <w:t>（二）政府采购情况</w:t>
      </w:r>
    </w:p>
    <w:p w14:paraId="58FCE646">
      <w:pPr>
        <w:spacing w:line="580" w:lineRule="exact"/>
        <w:ind w:firstLine="640"/>
        <w:jc w:val="both"/>
      </w:pPr>
      <w:r>
        <w:rPr>
          <w:rFonts w:ascii="仿宋_GB2312" w:hAnsi="仿宋_GB2312" w:eastAsia="仿宋_GB2312"/>
          <w:b w:val="0"/>
          <w:sz w:val="32"/>
        </w:rPr>
        <w:t>2024年度政府采购支出总额125.50万元，其中：政府采购货物支出65.58万元、政府采购工程支出57.86万元、政府采购服务支出2.06万元。</w:t>
      </w:r>
    </w:p>
    <w:p w14:paraId="4655AEBB">
      <w:pPr>
        <w:spacing w:line="580" w:lineRule="exact"/>
        <w:ind w:firstLine="640"/>
        <w:jc w:val="both"/>
      </w:pPr>
      <w:r>
        <w:rPr>
          <w:rFonts w:ascii="仿宋_GB2312" w:hAnsi="仿宋_GB2312" w:eastAsia="仿宋_GB2312"/>
          <w:b w:val="0"/>
          <w:sz w:val="32"/>
        </w:rPr>
        <w:t>授予中小企业合同金额125.50万元，占政府采购支出总额的100.00%，其中：授予小微企业合同金额125.50万元，占政府采购支出总额的100.00%。</w:t>
      </w:r>
    </w:p>
    <w:p w14:paraId="77085A64">
      <w:pPr>
        <w:spacing w:line="640" w:lineRule="exact"/>
        <w:ind w:firstLine="640"/>
        <w:jc w:val="both"/>
        <w:outlineLvl w:val="3"/>
      </w:pPr>
      <w:r>
        <w:rPr>
          <w:rFonts w:ascii="楷体_GB2312" w:hAnsi="楷体_GB2312" w:eastAsia="楷体_GB2312"/>
          <w:b/>
          <w:sz w:val="32"/>
        </w:rPr>
        <w:t>（三）国有资产占用情况说明</w:t>
      </w:r>
    </w:p>
    <w:p w14:paraId="762E6928">
      <w:pPr>
        <w:spacing w:line="580" w:lineRule="exact"/>
        <w:ind w:firstLine="640"/>
        <w:jc w:val="both"/>
      </w:pPr>
      <w:r>
        <w:rPr>
          <w:rFonts w:ascii="仿宋_GB2312" w:hAnsi="仿宋_GB2312" w:eastAsia="仿宋_GB2312"/>
          <w:b w:val="0"/>
          <w:sz w:val="32"/>
        </w:rPr>
        <w:t>截至2024年12月31日，房屋10,216.24平方米，价值941.63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47C6CB90">
      <w:pPr>
        <w:spacing w:line="640" w:lineRule="exact"/>
        <w:ind w:firstLine="640"/>
        <w:jc w:val="both"/>
        <w:outlineLvl w:val="2"/>
      </w:pPr>
      <w:r>
        <w:rPr>
          <w:rFonts w:ascii="黑体" w:hAnsi="黑体" w:eastAsia="黑体"/>
          <w:sz w:val="32"/>
        </w:rPr>
        <w:t>十一、预算绩效的情况说明</w:t>
      </w:r>
    </w:p>
    <w:p w14:paraId="237FA5A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1,611.63万元，实际执行总额1,528.94万元；预算绩效评价项目6个，全年预算数548.38万元，全年执行数529.16万元。预算绩效管理取得的成效：一是通过项目绩效管理工作，提高了项目的运行质量，推进了项目的执行进度，确保了资金使用效率，履行了单位职责。项目能够严格按照《项目实施方案》执行，项目执行情况较好。二是对财政性资金实施全方位、全过程、全覆盖的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一体化，着力提高了资金配置效率和使用，做到效益花钱必问效，无效必问责。加强组织领导，本项目绩效评价工作，有主要领导亲自挂帅，分管领导具体负责，从项目到资金，均能够很好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我单位及时向领导汇报项目建设进度，加强与施工单位的沟通，确保项目按期完工。发现的问题及原因：一是部分业务人员绩效管理意识有待增强，未能全面深入认识理解绩效管理工作的意义。绩效管理经验不足，预算绩效管理工作有待进一步落实。二是绩效目标设置指向不清、预算和目标匹配不足，数量目标和质量目标量化不细，效益目标编制不完整；绩效指标的明确性、可衡量性、相关性还需进一步提升。三是预算精细化管理还需完善，预算编制管理水平仍有进一步提升的空间。下一步改进措施：一是加强预算绩效目标管理工作。明确预算项目绩效目标编制要求，分类别建立科学合理、细化量化、可比可测预算绩效指标体系，突出结果导向，重点考核实绩。完善绩效指标，提高整体绩效目标质量。提升预算精细化管理水平。二是加强绩效业务学习及培训，增强业务人员绩效管理意识，进一步加强预算绩效管理工作，优化项目支出绩效指标体系，完善预算绩效管理制度，有效推动我单位下一年度预算绩效管理工作常态化、规范化。继续完善预算绩效管理相关工作制度，建立全过程预算绩效管理链条，有效贯彻落实全面实施绩效管理的精神。三是通过强化专业培训、学习考察、业务交流等措施，帮助和促进本部门现有人员提高绩效管理业务水平、实际工作能力。强化预算绩效执行工作，指定专人负责预算执行监督管理，进一步推动预算绩效管理工作。具体附部门整体支出绩效自评表，项目支出绩效自评表和部门评价报告。</w:t>
      </w:r>
    </w:p>
    <w:p w14:paraId="19301C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A06864">
        <w:tblPrEx>
          <w:tblCellMar>
            <w:top w:w="0" w:type="dxa"/>
            <w:left w:w="108" w:type="dxa"/>
            <w:bottom w:w="0" w:type="dxa"/>
            <w:right w:w="108" w:type="dxa"/>
          </w:tblCellMar>
        </w:tblPrEx>
        <w:tc>
          <w:tcPr>
            <w:tcW w:w="8847" w:type="dxa"/>
            <w:gridSpan w:val="9"/>
            <w:vAlign w:val="center"/>
          </w:tcPr>
          <w:p w14:paraId="1D9FC28A">
            <w:pPr>
              <w:jc w:val="center"/>
            </w:pPr>
            <w:r>
              <w:rPr>
                <w:rFonts w:ascii="宋体" w:hAnsi="宋体" w:eastAsia="宋体"/>
                <w:sz w:val="24"/>
              </w:rPr>
              <w:t>部门整体支出绩效自评表</w:t>
            </w:r>
          </w:p>
        </w:tc>
      </w:tr>
      <w:tr w14:paraId="5C99B1A7">
        <w:tblPrEx>
          <w:tblCellMar>
            <w:top w:w="0" w:type="dxa"/>
            <w:left w:w="108" w:type="dxa"/>
            <w:bottom w:w="0" w:type="dxa"/>
            <w:right w:w="108" w:type="dxa"/>
          </w:tblCellMar>
        </w:tblPrEx>
        <w:tc>
          <w:tcPr>
            <w:tcW w:w="8847" w:type="dxa"/>
            <w:gridSpan w:val="9"/>
            <w:vAlign w:val="center"/>
          </w:tcPr>
          <w:p w14:paraId="26509F71">
            <w:pPr>
              <w:jc w:val="center"/>
            </w:pPr>
            <w:r>
              <w:rPr>
                <w:rFonts w:ascii="宋体" w:hAnsi="宋体" w:eastAsia="宋体"/>
                <w:sz w:val="24"/>
              </w:rPr>
              <w:t>（2024年度）</w:t>
            </w:r>
          </w:p>
        </w:tc>
      </w:tr>
      <w:tr w14:paraId="6ED9EF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7B2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59F73C">
            <w:pPr>
              <w:jc w:val="center"/>
            </w:pPr>
            <w:r>
              <w:rPr>
                <w:rFonts w:ascii="宋体" w:hAnsi="宋体" w:eastAsia="宋体"/>
                <w:sz w:val="16"/>
              </w:rPr>
              <w:t>新疆维吾尔自治区喀什地区少数民族小学教师培训中心</w:t>
            </w:r>
          </w:p>
        </w:tc>
      </w:tr>
      <w:tr w14:paraId="64B018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2B00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5CB4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76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9AE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89C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D76D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05C1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73E9">
            <w:pPr>
              <w:jc w:val="center"/>
            </w:pPr>
            <w:r>
              <w:rPr>
                <w:rFonts w:ascii="宋体" w:hAnsi="宋体" w:eastAsia="宋体"/>
                <w:sz w:val="16"/>
              </w:rPr>
              <w:t>得分</w:t>
            </w:r>
          </w:p>
        </w:tc>
      </w:tr>
      <w:tr w14:paraId="16C741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A7D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FB3B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9FD2">
            <w:pPr>
              <w:jc w:val="center"/>
            </w:pPr>
            <w:r>
              <w:rPr>
                <w:rFonts w:ascii="宋体" w:hAnsi="宋体" w:eastAsia="宋体"/>
                <w:sz w:val="16"/>
              </w:rPr>
              <w:t>873.42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7B615">
            <w:pPr>
              <w:jc w:val="center"/>
            </w:pPr>
            <w:r>
              <w:rPr>
                <w:rFonts w:ascii="宋体" w:hAnsi="宋体" w:eastAsia="宋体"/>
                <w:sz w:val="16"/>
              </w:rPr>
              <w:t>1,611.63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F6035">
            <w:pPr>
              <w:jc w:val="center"/>
            </w:pPr>
            <w:r>
              <w:rPr>
                <w:rFonts w:ascii="宋体" w:hAnsi="宋体" w:eastAsia="宋体"/>
                <w:sz w:val="16"/>
              </w:rPr>
              <w:t>1,528.94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35A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5823E">
            <w:pPr>
              <w:jc w:val="center"/>
            </w:pPr>
            <w:r>
              <w:rPr>
                <w:rFonts w:ascii="宋体" w:hAnsi="宋体" w:eastAsia="宋体"/>
                <w:sz w:val="16"/>
              </w:rPr>
              <w:t>94.87%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82CA6">
            <w:pPr>
              <w:jc w:val="center"/>
            </w:pPr>
            <w:r>
              <w:rPr>
                <w:rFonts w:ascii="宋体" w:hAnsi="宋体" w:eastAsia="宋体"/>
                <w:sz w:val="16"/>
              </w:rPr>
              <w:t>9.49</w:t>
            </w:r>
          </w:p>
        </w:tc>
      </w:tr>
      <w:tr w14:paraId="0AE2F3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50F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0FDD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9D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E7012">
            <w:pPr>
              <w:jc w:val="center"/>
            </w:pPr>
            <w:r>
              <w:rPr>
                <w:rFonts w:ascii="宋体" w:hAnsi="宋体" w:eastAsia="宋体"/>
                <w:sz w:val="16"/>
              </w:rPr>
              <w:t>32.94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1AE23">
            <w:pPr>
              <w:jc w:val="center"/>
            </w:pPr>
            <w:r>
              <w:rPr>
                <w:rFonts w:ascii="宋体" w:hAnsi="宋体" w:eastAsia="宋体"/>
                <w:sz w:val="16"/>
              </w:rPr>
              <w:t>32.94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C20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7CE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C5F7">
            <w:pPr>
              <w:jc w:val="center"/>
            </w:pPr>
            <w:r>
              <w:rPr>
                <w:rFonts w:ascii="宋体" w:hAnsi="宋体" w:eastAsia="宋体"/>
                <w:sz w:val="16"/>
              </w:rPr>
              <w:t>—</w:t>
            </w:r>
          </w:p>
        </w:tc>
      </w:tr>
      <w:tr w14:paraId="6AED68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9B3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5A84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6AD0F">
            <w:pPr>
              <w:jc w:val="center"/>
            </w:pPr>
            <w:r>
              <w:rPr>
                <w:rFonts w:ascii="宋体" w:hAnsi="宋体" w:eastAsia="宋体"/>
                <w:sz w:val="16"/>
              </w:rPr>
              <w:t>683.37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F5621">
            <w:pPr>
              <w:jc w:val="center"/>
            </w:pPr>
            <w:r>
              <w:rPr>
                <w:rFonts w:ascii="宋体" w:hAnsi="宋体" w:eastAsia="宋体"/>
                <w:sz w:val="16"/>
              </w:rPr>
              <w:t>640.52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FA19">
            <w:pPr>
              <w:jc w:val="center"/>
            </w:pPr>
            <w:r>
              <w:rPr>
                <w:rFonts w:ascii="宋体" w:hAnsi="宋体" w:eastAsia="宋体"/>
                <w:sz w:val="16"/>
              </w:rPr>
              <w:t>621.48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454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81F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52737">
            <w:pPr>
              <w:jc w:val="center"/>
            </w:pPr>
            <w:r>
              <w:rPr>
                <w:rFonts w:ascii="宋体" w:hAnsi="宋体" w:eastAsia="宋体"/>
                <w:sz w:val="16"/>
              </w:rPr>
              <w:t>—</w:t>
            </w:r>
          </w:p>
        </w:tc>
      </w:tr>
      <w:tr w14:paraId="075CF5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28A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97A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544D5">
            <w:pPr>
              <w:jc w:val="center"/>
            </w:pPr>
            <w:r>
              <w:rPr>
                <w:rFonts w:ascii="宋体" w:hAnsi="宋体" w:eastAsia="宋体"/>
                <w:sz w:val="16"/>
              </w:rPr>
              <w:t>190.05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9BAE">
            <w:pPr>
              <w:jc w:val="center"/>
            </w:pPr>
            <w:r>
              <w:rPr>
                <w:rFonts w:ascii="宋体" w:hAnsi="宋体" w:eastAsia="宋体"/>
                <w:sz w:val="16"/>
              </w:rPr>
              <w:t>938.17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8450">
            <w:pPr>
              <w:jc w:val="center"/>
            </w:pPr>
            <w:r>
              <w:rPr>
                <w:rFonts w:ascii="宋体" w:hAnsi="宋体" w:eastAsia="宋体"/>
                <w:sz w:val="16"/>
              </w:rPr>
              <w:t>874.52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3F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8D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DCF8">
            <w:pPr>
              <w:jc w:val="center"/>
            </w:pPr>
            <w:r>
              <w:rPr>
                <w:rFonts w:ascii="宋体" w:hAnsi="宋体" w:eastAsia="宋体"/>
                <w:sz w:val="16"/>
              </w:rPr>
              <w:t>—</w:t>
            </w:r>
          </w:p>
        </w:tc>
      </w:tr>
      <w:tr w14:paraId="15E04C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68C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3BCD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D59F5">
            <w:pPr>
              <w:jc w:val="center"/>
            </w:pPr>
            <w:r>
              <w:rPr>
                <w:rFonts w:ascii="宋体" w:hAnsi="宋体" w:eastAsia="宋体"/>
                <w:sz w:val="16"/>
              </w:rPr>
              <w:t>实际完成情况</w:t>
            </w:r>
          </w:p>
        </w:tc>
      </w:tr>
      <w:tr w14:paraId="6E3634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93878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E54E4D">
            <w:pPr>
              <w:jc w:val="both"/>
            </w:pPr>
            <w:r>
              <w:rPr>
                <w:rFonts w:ascii="宋体" w:hAnsi="宋体" w:eastAsia="宋体"/>
                <w:sz w:val="16"/>
              </w:rPr>
              <w:t>喀什地区少数民族小学教师培训中心是地区级全额事业单位，负责地区小学、幼儿园教师、教育行政管理干部的各类培训、继续教育培训；负责开放大学、老年开放大学教学工作；负责普通话测试站工作。重点围绕中小学教师继续教育、普通话、新入职教师教学能力、中小学学科类，以及新增县市</w:t>
            </w:r>
            <w:r>
              <w:rPr>
                <w:rFonts w:hint="eastAsia" w:ascii="宋体" w:hAnsi="宋体"/>
                <w:sz w:val="16"/>
                <w:lang w:eastAsia="zh-CN"/>
              </w:rPr>
              <w:t>党委、政府</w:t>
            </w:r>
            <w:r>
              <w:rPr>
                <w:rFonts w:ascii="宋体" w:hAnsi="宋体" w:eastAsia="宋体"/>
                <w:sz w:val="16"/>
              </w:rPr>
              <w:t>分管教育的领导、教育行政部门正职领导、名书记（校长）开展培训，拓宽培训渠道，</w:t>
            </w:r>
            <w:r>
              <w:rPr>
                <w:rFonts w:hint="eastAsia" w:ascii="宋体" w:hAnsi="宋体"/>
                <w:sz w:val="16"/>
                <w:lang w:eastAsia="zh-CN"/>
              </w:rPr>
              <w:t>提升</w:t>
            </w:r>
            <w:r>
              <w:rPr>
                <w:rFonts w:ascii="宋体" w:hAnsi="宋体" w:eastAsia="宋体"/>
                <w:sz w:val="16"/>
              </w:rPr>
              <w:t>办学层次。严格执行全年基本支出预算，保障部门正常运转。严格执行项目资金预算支出，充分履行喀什地区少数民族小学教师培训中心部门职能。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94635F">
            <w:pPr>
              <w:jc w:val="both"/>
            </w:pPr>
            <w:r>
              <w:rPr>
                <w:rFonts w:ascii="宋体" w:hAnsi="宋体" w:eastAsia="宋体"/>
                <w:sz w:val="16"/>
              </w:rPr>
              <w:t>我单位2024年开放大学在籍教学人数共计1580人，有效提高喀什开放大学所开展的专升本、高升专等各类成人教学任务，有效利用现代信息技术手段，为学生提供多样化的教学支持和服务；参加普通话培训班人数共计3300人，有效提高参加普通话培训学员的普通话水平，规范学员能用</w:t>
            </w:r>
            <w:r>
              <w:rPr>
                <w:rFonts w:hint="eastAsia" w:ascii="宋体" w:hAnsi="宋体"/>
                <w:sz w:val="16"/>
                <w:lang w:eastAsia="zh-CN"/>
              </w:rPr>
              <w:t>标准</w:t>
            </w:r>
            <w:r>
              <w:rPr>
                <w:rFonts w:ascii="宋体" w:hAnsi="宋体" w:eastAsia="宋体"/>
                <w:sz w:val="16"/>
              </w:rPr>
              <w:t>的普通话教学和交际，形成一种自觉学习普通话、使用普通话的良好氛围；参加继续教育人数共计8000人，有效提高参加继续教育培训老师的教学实践和自学能力，有效</w:t>
            </w:r>
            <w:r>
              <w:rPr>
                <w:rFonts w:hint="eastAsia" w:ascii="宋体" w:hAnsi="宋体"/>
                <w:sz w:val="16"/>
                <w:lang w:eastAsia="zh-CN"/>
              </w:rPr>
              <w:t>帮助</w:t>
            </w:r>
            <w:r>
              <w:rPr>
                <w:rFonts w:ascii="宋体" w:hAnsi="宋体" w:eastAsia="宋体"/>
                <w:sz w:val="16"/>
              </w:rPr>
              <w:t>他们掌握新课程下教材的使用与创新技能、课堂拓展技能；完成购置1批普通话测试站防作弊设备，有效提高了监考任务，杜绝作弊行为。不仅有效保障了考试的公正性，更为教育公平开辟了新路径，实现了社会效益与教育质量的双重提升；培训的各位老师在短时间内获取更多的专业新知，提高了专业水平和教育质量。充分履行了喀什地区少数民族小学教师培训中心部门职能。</w:t>
            </w:r>
          </w:p>
        </w:tc>
      </w:tr>
      <w:tr w14:paraId="7E26AC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305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03D4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FAB9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B8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99D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927B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9B1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8C0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1E04">
            <w:pPr>
              <w:jc w:val="center"/>
            </w:pPr>
            <w:r>
              <w:rPr>
                <w:rFonts w:ascii="宋体" w:hAnsi="宋体" w:eastAsia="宋体"/>
                <w:sz w:val="16"/>
              </w:rPr>
              <w:t>得分</w:t>
            </w:r>
          </w:p>
        </w:tc>
      </w:tr>
      <w:tr w14:paraId="5EA519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EFCB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27A6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A4A28">
            <w:pPr>
              <w:jc w:val="center"/>
            </w:pPr>
            <w:r>
              <w:rPr>
                <w:rFonts w:ascii="宋体" w:hAnsi="宋体" w:eastAsia="宋体"/>
                <w:sz w:val="16"/>
              </w:rPr>
              <w:t>购置普通话测试站防作弊设备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B6CFE">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FF58">
            <w:pPr>
              <w:jc w:val="center"/>
            </w:pPr>
            <w:r>
              <w:rPr>
                <w:rFonts w:ascii="宋体" w:hAnsi="宋体" w:eastAsia="宋体"/>
                <w:sz w:val="16"/>
              </w:rPr>
              <w:t>《关于喀什地区教师培训中心标准化考试系统及防作弊系统建设项目事宜的批复》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BF9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7FC3F">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D8A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55043">
            <w:pPr>
              <w:jc w:val="center"/>
            </w:pPr>
            <w:r>
              <w:rPr>
                <w:rFonts w:ascii="宋体" w:hAnsi="宋体" w:eastAsia="宋体"/>
                <w:sz w:val="16"/>
              </w:rPr>
              <w:t>20</w:t>
            </w:r>
          </w:p>
        </w:tc>
      </w:tr>
      <w:tr w14:paraId="7E7789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D5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E65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AE4E3">
            <w:pPr>
              <w:jc w:val="center"/>
            </w:pPr>
            <w:r>
              <w:rPr>
                <w:rFonts w:ascii="宋体" w:hAnsi="宋体" w:eastAsia="宋体"/>
                <w:sz w:val="16"/>
              </w:rPr>
              <w:t>参加普通话培训班人数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E8FD">
            <w:pPr>
              <w:jc w:val="center"/>
            </w:pPr>
            <w:r>
              <w:rPr>
                <w:rFonts w:ascii="宋体" w:hAnsi="宋体" w:eastAsia="宋体"/>
                <w:sz w:val="16"/>
              </w:rPr>
              <w:t>&gt;=3300人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C2E22">
            <w:pPr>
              <w:jc w:val="center"/>
            </w:pPr>
            <w:r>
              <w:rPr>
                <w:rFonts w:ascii="宋体" w:hAnsi="宋体" w:eastAsia="宋体"/>
                <w:sz w:val="16"/>
              </w:rPr>
              <w:t>《喀什地区2024年度级各类教师培训项目计划汇总表》(喀教函〔2024〕4号)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764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6E4F">
            <w:pPr>
              <w:jc w:val="center"/>
            </w:pPr>
            <w:r>
              <w:rPr>
                <w:rFonts w:ascii="宋体" w:hAnsi="宋体" w:eastAsia="宋体"/>
                <w:sz w:val="16"/>
              </w:rPr>
              <w: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738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75DA">
            <w:pPr>
              <w:jc w:val="center"/>
            </w:pPr>
            <w:r>
              <w:rPr>
                <w:rFonts w:ascii="宋体" w:hAnsi="宋体" w:eastAsia="宋体"/>
                <w:sz w:val="16"/>
              </w:rPr>
              <w:t>20</w:t>
            </w:r>
          </w:p>
        </w:tc>
      </w:tr>
      <w:tr w14:paraId="15CAC2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646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A8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73A73">
            <w:pPr>
              <w:jc w:val="center"/>
            </w:pPr>
            <w:r>
              <w:rPr>
                <w:rFonts w:ascii="宋体" w:hAnsi="宋体" w:eastAsia="宋体"/>
                <w:sz w:val="16"/>
              </w:rPr>
              <w:t>参加继续教育人数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149B9">
            <w:pPr>
              <w:jc w:val="center"/>
            </w:pPr>
            <w:r>
              <w:rPr>
                <w:rFonts w:ascii="宋体" w:hAnsi="宋体" w:eastAsia="宋体"/>
                <w:sz w:val="16"/>
              </w:rPr>
              <w:t>&gt;=8000人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E98F7">
            <w:pPr>
              <w:jc w:val="center"/>
            </w:pPr>
            <w:r>
              <w:rPr>
                <w:rFonts w:ascii="宋体" w:hAnsi="宋体" w:eastAsia="宋体"/>
                <w:sz w:val="16"/>
              </w:rPr>
              <w:t>《喀什地区2024年度级各类教师培训项目计划汇总表》(喀教函〔2024〕4号)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47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3934F">
            <w:pPr>
              <w:jc w:val="center"/>
            </w:pPr>
            <w:r>
              <w:rPr>
                <w:rFonts w:ascii="宋体" w:hAnsi="宋体" w:eastAsia="宋体"/>
                <w:sz w:val="16"/>
              </w:rPr>
              <w:t>8000人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4C1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61A2D">
            <w:pPr>
              <w:jc w:val="center"/>
            </w:pPr>
            <w:r>
              <w:rPr>
                <w:rFonts w:ascii="宋体" w:hAnsi="宋体" w:eastAsia="宋体"/>
                <w:sz w:val="16"/>
              </w:rPr>
              <w:t>10</w:t>
            </w:r>
          </w:p>
        </w:tc>
      </w:tr>
      <w:tr w14:paraId="1A5FD6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302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D3C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A9AB4">
            <w:pPr>
              <w:jc w:val="center"/>
            </w:pPr>
            <w:r>
              <w:rPr>
                <w:rFonts w:ascii="宋体" w:hAnsi="宋体" w:eastAsia="宋体"/>
                <w:sz w:val="16"/>
              </w:rPr>
              <w:t>开放大学在籍教学人数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D921C">
            <w:pPr>
              <w:jc w:val="center"/>
            </w:pPr>
            <w:r>
              <w:rPr>
                <w:rFonts w:ascii="宋体" w:hAnsi="宋体" w:eastAsia="宋体"/>
                <w:sz w:val="16"/>
              </w:rPr>
              <w:t>&gt;=2000人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3D900">
            <w:pPr>
              <w:jc w:val="center"/>
            </w:pPr>
            <w:r>
              <w:rPr>
                <w:rFonts w:ascii="宋体" w:hAnsi="宋体" w:eastAsia="宋体"/>
                <w:sz w:val="16"/>
              </w:rPr>
              <w:t>喀什开放大学教务管理系统在籍人数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DC8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3948">
            <w:pPr>
              <w:jc w:val="center"/>
            </w:pPr>
            <w:r>
              <w:rPr>
                <w:rFonts w:ascii="宋体" w:hAnsi="宋体" w:eastAsia="宋体"/>
                <w:sz w:val="16"/>
              </w:rPr>
              <w:t>1580人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5938">
            <w:pPr>
              <w:jc w:val="center"/>
            </w:pPr>
            <w:r>
              <w:rPr>
                <w:rFonts w:ascii="宋体" w:hAnsi="宋体" w:eastAsia="宋体"/>
                <w:sz w:val="16"/>
              </w:rPr>
              <w:t>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F22A8">
            <w:pPr>
              <w:jc w:val="center"/>
            </w:pPr>
            <w:r>
              <w:rPr>
                <w:rFonts w:ascii="宋体" w:hAnsi="宋体" w:eastAsia="宋体"/>
                <w:sz w:val="16"/>
              </w:rPr>
              <w:t>15.8</w:t>
            </w:r>
          </w:p>
        </w:tc>
      </w:tr>
      <w:tr w14:paraId="0C0A7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779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000E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88DF">
            <w:pPr>
              <w:jc w:val="center"/>
            </w:pPr>
            <w:r>
              <w:rPr>
                <w:rFonts w:ascii="宋体" w:hAnsi="宋体" w:eastAsia="宋体"/>
                <w:sz w:val="16"/>
              </w:rPr>
              <w:t>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E6A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6BE1">
            <w:pPr>
              <w:jc w:val="center"/>
            </w:pPr>
            <w:r>
              <w:rPr>
                <w:rFonts w:ascii="宋体" w:hAnsi="宋体" w:eastAsia="宋体"/>
                <w:sz w:val="16"/>
              </w:rPr>
              <w:t>喀什职业技术学院教师培训中心2024年工作计划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F4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6C6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D9E03">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DC77">
            <w:pPr>
              <w:jc w:val="center"/>
            </w:pPr>
            <w:r>
              <w:rPr>
                <w:rFonts w:ascii="宋体" w:hAnsi="宋体" w:eastAsia="宋体"/>
                <w:sz w:val="16"/>
              </w:rPr>
              <w:t>20</w:t>
            </w:r>
          </w:p>
        </w:tc>
      </w:tr>
    </w:tbl>
    <w:p w14:paraId="13DF74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9B6A55">
        <w:tc>
          <w:tcPr>
            <w:tcW w:w="8848" w:type="dxa"/>
            <w:gridSpan w:val="14"/>
            <w:vAlign w:val="center"/>
          </w:tcPr>
          <w:p w14:paraId="61D286B9">
            <w:pPr>
              <w:jc w:val="center"/>
            </w:pPr>
            <w:r>
              <w:rPr>
                <w:rFonts w:ascii="宋体" w:hAnsi="宋体" w:eastAsia="宋体"/>
                <w:sz w:val="24"/>
              </w:rPr>
              <w:t>项目支出绩效自评表</w:t>
            </w:r>
          </w:p>
        </w:tc>
      </w:tr>
      <w:tr w14:paraId="29CC0E61">
        <w:tblPrEx>
          <w:tblCellMar>
            <w:top w:w="0" w:type="dxa"/>
            <w:left w:w="108" w:type="dxa"/>
            <w:bottom w:w="0" w:type="dxa"/>
            <w:right w:w="108" w:type="dxa"/>
          </w:tblCellMar>
        </w:tblPrEx>
        <w:tc>
          <w:tcPr>
            <w:tcW w:w="8848" w:type="dxa"/>
            <w:gridSpan w:val="14"/>
            <w:vAlign w:val="center"/>
          </w:tcPr>
          <w:p w14:paraId="34F4455A">
            <w:pPr>
              <w:jc w:val="center"/>
            </w:pPr>
            <w:r>
              <w:rPr>
                <w:rFonts w:ascii="宋体" w:hAnsi="宋体" w:eastAsia="宋体"/>
                <w:sz w:val="24"/>
              </w:rPr>
              <w:t>(2024年度)</w:t>
            </w:r>
          </w:p>
        </w:tc>
      </w:tr>
      <w:tr w14:paraId="6FB9B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00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AD6B36">
            <w:pPr>
              <w:jc w:val="center"/>
            </w:pPr>
            <w:r>
              <w:rPr>
                <w:rFonts w:ascii="宋体" w:hAnsi="宋体" w:eastAsia="宋体"/>
                <w:sz w:val="16"/>
              </w:rPr>
              <w:t>2024年教学经费保障项目</w:t>
            </w:r>
          </w:p>
        </w:tc>
      </w:tr>
      <w:tr w14:paraId="1565C5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77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828E2">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C1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1BCA02">
            <w:pPr>
              <w:jc w:val="center"/>
            </w:pPr>
            <w:r>
              <w:rPr>
                <w:rFonts w:ascii="宋体" w:hAnsi="宋体" w:eastAsia="宋体"/>
                <w:sz w:val="16"/>
              </w:rPr>
              <w:t>新疆维吾尔自治区喀什地区少数民族小学教师培训中心</w:t>
            </w:r>
          </w:p>
        </w:tc>
      </w:tr>
      <w:tr w14:paraId="50C754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4AC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B3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15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F2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E6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639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17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6752">
            <w:pPr>
              <w:jc w:val="center"/>
            </w:pPr>
            <w:r>
              <w:rPr>
                <w:rFonts w:ascii="宋体" w:hAnsi="宋体" w:eastAsia="宋体"/>
                <w:sz w:val="16"/>
              </w:rPr>
              <w:t>得分</w:t>
            </w:r>
          </w:p>
        </w:tc>
      </w:tr>
      <w:tr w14:paraId="678B6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BB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EB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7435">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F1FEC">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0DFC">
            <w:pPr>
              <w:jc w:val="center"/>
            </w:pPr>
            <w:r>
              <w:rPr>
                <w:rFonts w:ascii="宋体" w:hAnsi="宋体" w:eastAsia="宋体"/>
                <w:sz w:val="16"/>
              </w:rPr>
              <w:t>300.96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6A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6D1E9">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5780">
            <w:pPr>
              <w:jc w:val="center"/>
            </w:pPr>
            <w:r>
              <w:rPr>
                <w:rFonts w:ascii="宋体" w:hAnsi="宋体" w:eastAsia="宋体"/>
                <w:sz w:val="16"/>
              </w:rPr>
              <w:t>8.51分</w:t>
            </w:r>
          </w:p>
        </w:tc>
      </w:tr>
      <w:tr w14:paraId="30316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FB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2F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15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28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D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66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77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A4DE">
            <w:pPr>
              <w:jc w:val="center"/>
            </w:pPr>
            <w:r>
              <w:rPr>
                <w:rFonts w:ascii="宋体" w:hAnsi="宋体" w:eastAsia="宋体"/>
                <w:sz w:val="16"/>
              </w:rPr>
              <w:t>—</w:t>
            </w:r>
          </w:p>
        </w:tc>
      </w:tr>
      <w:tr w14:paraId="39054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805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4C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BA19E">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65D8">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FA42F">
            <w:pPr>
              <w:jc w:val="center"/>
            </w:pPr>
            <w:r>
              <w:rPr>
                <w:rFonts w:ascii="宋体" w:hAnsi="宋体" w:eastAsia="宋体"/>
                <w:sz w:val="16"/>
              </w:rPr>
              <w:t>300.96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829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0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8E73">
            <w:pPr>
              <w:jc w:val="center"/>
            </w:pPr>
            <w:r>
              <w:rPr>
                <w:rFonts w:ascii="宋体" w:hAnsi="宋体" w:eastAsia="宋体"/>
                <w:sz w:val="16"/>
              </w:rPr>
              <w:t>—</w:t>
            </w:r>
          </w:p>
        </w:tc>
      </w:tr>
      <w:tr w14:paraId="5925C5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004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504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5366B">
            <w:pPr>
              <w:jc w:val="center"/>
            </w:pPr>
            <w:r>
              <w:rPr>
                <w:rFonts w:ascii="宋体" w:hAnsi="宋体" w:eastAsia="宋体"/>
                <w:sz w:val="16"/>
              </w:rPr>
              <w:t>实际完成情况</w:t>
            </w:r>
          </w:p>
        </w:tc>
      </w:tr>
      <w:tr w14:paraId="14185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2B3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DAB30">
            <w:pPr>
              <w:jc w:val="both"/>
            </w:pPr>
            <w:r>
              <w:rPr>
                <w:rFonts w:ascii="宋体" w:hAnsi="宋体" w:eastAsia="宋体"/>
                <w:sz w:val="16"/>
              </w:rPr>
              <w:t>一是保障购置办公设备；二是购置更新信息网络及软件1套；三是保障办公人员数量为6人；弥补基本公用，保证学校正常运转和设施设</w:t>
            </w:r>
            <w:r>
              <w:rPr>
                <w:rFonts w:hint="eastAsia" w:ascii="宋体" w:hAnsi="宋体"/>
                <w:sz w:val="16"/>
                <w:lang w:eastAsia="zh-CN"/>
              </w:rPr>
              <w:t>备的</w:t>
            </w:r>
            <w:r>
              <w:rPr>
                <w:rFonts w:ascii="宋体" w:hAnsi="宋体" w:eastAsia="宋体"/>
                <w:sz w:val="16"/>
              </w:rPr>
              <w:t>维护维修、升级更新、办公、教育教学正常运转、基本</w:t>
            </w:r>
            <w:r>
              <w:rPr>
                <w:rFonts w:hint="eastAsia" w:ascii="宋体" w:hAnsi="宋体"/>
                <w:sz w:val="16"/>
                <w:lang w:eastAsia="zh-CN"/>
              </w:rPr>
              <w:t>公共</w:t>
            </w:r>
            <w:r>
              <w:rPr>
                <w:rFonts w:ascii="宋体" w:hAnsi="宋体" w:eastAsia="宋体"/>
                <w:sz w:val="16"/>
              </w:rPr>
              <w:t>运转、物资采购、设备的更新升级配备、劳务费、物业管理费等的支付等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7E6338">
            <w:pPr>
              <w:jc w:val="both"/>
            </w:pPr>
            <w:r>
              <w:rPr>
                <w:rFonts w:ascii="宋体" w:hAnsi="宋体" w:eastAsia="宋体"/>
                <w:sz w:val="16"/>
              </w:rPr>
              <w:t>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w:t>
            </w:r>
            <w:r>
              <w:rPr>
                <w:rFonts w:hint="eastAsia" w:ascii="宋体" w:hAnsi="宋体"/>
                <w:sz w:val="16"/>
                <w:lang w:eastAsia="zh-CN"/>
              </w:rPr>
              <w:t>截至</w:t>
            </w:r>
            <w:r>
              <w:rPr>
                <w:rFonts w:ascii="宋体" w:hAnsi="宋体" w:eastAsia="宋体"/>
                <w:sz w:val="16"/>
              </w:rPr>
              <w:t>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w:t>
            </w:r>
          </w:p>
        </w:tc>
      </w:tr>
      <w:tr w14:paraId="4F016A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F07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67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B3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8A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2D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85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D3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9B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71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6A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6A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5E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6994">
            <w:pPr>
              <w:jc w:val="center"/>
            </w:pPr>
            <w:r>
              <w:rPr>
                <w:rFonts w:ascii="宋体" w:hAnsi="宋体" w:eastAsia="宋体"/>
                <w:sz w:val="16"/>
              </w:rPr>
              <w:t>偏差原因分析及改进措施</w:t>
            </w:r>
          </w:p>
        </w:tc>
      </w:tr>
      <w:tr w14:paraId="5DC54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440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0F0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076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5AAD">
            <w:pPr>
              <w:jc w:val="center"/>
            </w:pPr>
            <w:r>
              <w:rPr>
                <w:rFonts w:ascii="宋体" w:hAnsi="宋体" w:eastAsia="宋体"/>
                <w:sz w:val="16"/>
              </w:rPr>
              <w:t>保障在职人数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F18E">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C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9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1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2B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CB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FDE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0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7E62">
            <w:pPr>
              <w:jc w:val="center"/>
            </w:pPr>
          </w:p>
        </w:tc>
      </w:tr>
      <w:tr w14:paraId="7E575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C8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A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1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2A7C">
            <w:pPr>
              <w:jc w:val="center"/>
            </w:pPr>
            <w:r>
              <w:rPr>
                <w:rFonts w:ascii="宋体" w:hAnsi="宋体" w:eastAsia="宋体"/>
                <w:sz w:val="16"/>
              </w:rPr>
              <w:t>购置（更新）信息网络及软件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A3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2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F3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1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31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71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E1AE">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46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3616">
            <w:pPr>
              <w:jc w:val="center"/>
            </w:pPr>
            <w:r>
              <w:rPr>
                <w:rFonts w:ascii="宋体" w:hAnsi="宋体" w:eastAsia="宋体"/>
                <w:sz w:val="16"/>
              </w:rPr>
              <w:t>偏差原因：这款网络信息软件也不是常用，借用喀什职业技术学院的网络软件，为了节省成本，因此决定不采购</w:t>
            </w:r>
            <w:r>
              <w:rPr>
                <w:rFonts w:hint="eastAsia" w:ascii="宋体" w:hAnsi="宋体"/>
                <w:sz w:val="16"/>
                <w:lang w:eastAsia="zh-CN"/>
              </w:rPr>
              <w:t>这些</w:t>
            </w:r>
            <w:r>
              <w:rPr>
                <w:rFonts w:ascii="宋体" w:hAnsi="宋体" w:eastAsia="宋体"/>
                <w:sz w:val="16"/>
              </w:rPr>
              <w:t>信息网络软件。改进措施：提高项目负责人的绩效管理水平，年初做预算要严格把握实际情况。</w:t>
            </w:r>
          </w:p>
        </w:tc>
      </w:tr>
      <w:tr w14:paraId="6CB3A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0D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D5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0B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1371">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C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C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4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F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61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0C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A3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B3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0D76E">
            <w:pPr>
              <w:jc w:val="center"/>
            </w:pPr>
            <w:r>
              <w:rPr>
                <w:rFonts w:ascii="宋体" w:hAnsi="宋体" w:eastAsia="宋体"/>
                <w:sz w:val="16"/>
              </w:rPr>
              <w:t>偏差原因：因为部分设备年初做的项目库政府采购指标与实际采购目录有出入，没法进行采购，等对指标进行调整了才能做支出。改进措施：严格要求项目库录入的指标与政府采购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3BDDA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C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3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BE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2C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053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A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DA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4B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0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DF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18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30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AF90">
            <w:pPr>
              <w:jc w:val="center"/>
            </w:pPr>
          </w:p>
        </w:tc>
      </w:tr>
      <w:tr w14:paraId="08CAA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C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69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C8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2B8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DFE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E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A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86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E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7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D6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7370">
            <w:pPr>
              <w:jc w:val="center"/>
            </w:pPr>
            <w:r>
              <w:rPr>
                <w:rFonts w:ascii="宋体" w:hAnsi="宋体" w:eastAsia="宋体"/>
                <w:sz w:val="16"/>
              </w:rPr>
              <w:t>17.02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D441">
            <w:pPr>
              <w:jc w:val="center"/>
            </w:pPr>
            <w:r>
              <w:rPr>
                <w:rFonts w:ascii="宋体" w:hAnsi="宋体" w:eastAsia="宋体"/>
                <w:sz w:val="16"/>
              </w:rPr>
              <w:t>偏差原因：因为年初做预算差旅费和培训费报的金额有点多，按照上级安排能缩就缩，能省就省的原则，就没执行支付。改进措施：提高做项目预算人以及项目负责人的能力水平。</w:t>
            </w:r>
          </w:p>
        </w:tc>
      </w:tr>
      <w:tr w14:paraId="181F7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E0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4F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43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C576">
            <w:pPr>
              <w:jc w:val="center"/>
            </w:pPr>
            <w:r>
              <w:rPr>
                <w:rFonts w:ascii="宋体" w:hAnsi="宋体" w:eastAsia="宋体"/>
                <w:sz w:val="16"/>
              </w:rPr>
              <w:t>提升教师学历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46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E3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ED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1F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2A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2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99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82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D6AA">
            <w:pPr>
              <w:jc w:val="center"/>
            </w:pPr>
          </w:p>
        </w:tc>
      </w:tr>
      <w:tr w14:paraId="6A04B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18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1E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C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B42B">
            <w:pPr>
              <w:jc w:val="center"/>
            </w:pPr>
            <w:r>
              <w:rPr>
                <w:rFonts w:ascii="宋体" w:hAnsi="宋体" w:eastAsia="宋体"/>
                <w:sz w:val="16"/>
              </w:rPr>
              <w:t>学校教职工满意度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CA2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F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4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6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61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1E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C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3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895F">
            <w:pPr>
              <w:jc w:val="center"/>
            </w:pPr>
            <w:r>
              <w:rPr>
                <w:rFonts w:ascii="宋体" w:hAnsi="宋体" w:eastAsia="宋体"/>
                <w:sz w:val="16"/>
              </w:rPr>
              <w:t>偏差原因：年初预算绩效指标设置不合理，指标设置过低。改进措施：加强项目管理人员制度性培训学习，提高绩效目标质量，提升预算精细化管理水平。</w:t>
            </w:r>
          </w:p>
        </w:tc>
      </w:tr>
      <w:tr w14:paraId="3BF2A4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B50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92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C7D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0BE6">
            <w:pPr>
              <w:jc w:val="center"/>
            </w:pPr>
            <w:r>
              <w:rPr>
                <w:rFonts w:ascii="宋体" w:hAnsi="宋体" w:eastAsia="宋体"/>
                <w:sz w:val="16"/>
              </w:rPr>
              <w:t>75.53分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E3A4BD"/>
        </w:tc>
      </w:tr>
    </w:tbl>
    <w:p w14:paraId="4B72BA59">
      <w:r>
        <w:br w:type="page"/>
      </w:r>
    </w:p>
    <w:tbl>
      <w:tblPr>
        <w:tblStyle w:val="9"/>
        <w:tblW w:w="9331"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gridCol w:w="275"/>
      </w:tblGrid>
      <w:tr w14:paraId="1FD9CBC1">
        <w:trPr>
          <w:gridAfter w:val="1"/>
          <w:wAfter w:w="275" w:type="dxa"/>
        </w:trPr>
        <w:tc>
          <w:tcPr>
            <w:tcW w:w="9056" w:type="dxa"/>
            <w:gridSpan w:val="14"/>
            <w:vAlign w:val="center"/>
          </w:tcPr>
          <w:p w14:paraId="18078105">
            <w:pPr>
              <w:jc w:val="center"/>
            </w:pPr>
            <w:r>
              <w:rPr>
                <w:rFonts w:ascii="宋体" w:hAnsi="宋体" w:eastAsia="宋体"/>
                <w:sz w:val="24"/>
              </w:rPr>
              <w:t>项目支出绩效自评表</w:t>
            </w:r>
          </w:p>
        </w:tc>
      </w:tr>
      <w:tr w14:paraId="0C580724">
        <w:tblPrEx>
          <w:tblCellMar>
            <w:top w:w="0" w:type="dxa"/>
            <w:left w:w="108" w:type="dxa"/>
            <w:bottom w:w="0" w:type="dxa"/>
            <w:right w:w="108" w:type="dxa"/>
          </w:tblCellMar>
        </w:tblPrEx>
        <w:trPr>
          <w:gridAfter w:val="1"/>
          <w:wAfter w:w="275" w:type="dxa"/>
        </w:trPr>
        <w:tc>
          <w:tcPr>
            <w:tcW w:w="9056" w:type="dxa"/>
            <w:gridSpan w:val="14"/>
            <w:vAlign w:val="center"/>
          </w:tcPr>
          <w:p w14:paraId="1AFF5323">
            <w:pPr>
              <w:jc w:val="center"/>
            </w:pPr>
            <w:r>
              <w:rPr>
                <w:rFonts w:ascii="宋体" w:hAnsi="宋体" w:eastAsia="宋体"/>
                <w:sz w:val="24"/>
              </w:rPr>
              <w:t>(2024年度)</w:t>
            </w:r>
          </w:p>
        </w:tc>
      </w:tr>
      <w:tr w14:paraId="5BEC92E7">
        <w:tblPrEx>
          <w:tblCellMar>
            <w:top w:w="0" w:type="dxa"/>
            <w:left w:w="108" w:type="dxa"/>
            <w:bottom w:w="0" w:type="dxa"/>
            <w:right w:w="108" w:type="dxa"/>
          </w:tblCellMar>
        </w:tblPrEx>
        <w:trPr>
          <w:gridAfter w:val="1"/>
          <w:wAfter w:w="27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2111">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1778FB">
            <w:pPr>
              <w:jc w:val="center"/>
            </w:pPr>
            <w:r>
              <w:rPr>
                <w:rFonts w:ascii="宋体" w:hAnsi="宋体" w:eastAsia="宋体"/>
                <w:sz w:val="16"/>
              </w:rPr>
              <w:t>2024年普通话测试经费保障项目</w:t>
            </w:r>
          </w:p>
        </w:tc>
      </w:tr>
      <w:tr w14:paraId="6A0AC407">
        <w:tblPrEx>
          <w:tblCellMar>
            <w:top w:w="0" w:type="dxa"/>
            <w:left w:w="108" w:type="dxa"/>
            <w:bottom w:w="0" w:type="dxa"/>
            <w:right w:w="108" w:type="dxa"/>
          </w:tblCellMar>
        </w:tblPrEx>
        <w:trPr>
          <w:gridAfter w:val="1"/>
          <w:wAfter w:w="275"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B420">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2E292">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68F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F7035A">
            <w:pPr>
              <w:jc w:val="center"/>
            </w:pPr>
            <w:r>
              <w:rPr>
                <w:rFonts w:ascii="宋体" w:hAnsi="宋体" w:eastAsia="宋体"/>
                <w:sz w:val="16"/>
              </w:rPr>
              <w:t>新疆维吾尔自治区喀什地区少数民族小学教师培训中心</w:t>
            </w:r>
          </w:p>
        </w:tc>
      </w:tr>
      <w:tr w14:paraId="4B648F9A">
        <w:tblPrEx>
          <w:tblCellMar>
            <w:top w:w="0" w:type="dxa"/>
            <w:left w:w="108" w:type="dxa"/>
            <w:bottom w:w="0" w:type="dxa"/>
            <w:right w:w="108" w:type="dxa"/>
          </w:tblCellMar>
        </w:tblPrEx>
        <w:trPr>
          <w:gridAfter w:val="1"/>
          <w:wAfter w:w="27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662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F6C3B">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4D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34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551D">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5B6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3C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FBD0">
            <w:pPr>
              <w:jc w:val="center"/>
            </w:pPr>
            <w:r>
              <w:rPr>
                <w:rFonts w:ascii="宋体" w:hAnsi="宋体" w:eastAsia="宋体"/>
                <w:sz w:val="16"/>
              </w:rPr>
              <w:t>得分</w:t>
            </w:r>
          </w:p>
        </w:tc>
      </w:tr>
      <w:tr w14:paraId="42379B53">
        <w:tblPrEx>
          <w:tblCellMar>
            <w:top w:w="0" w:type="dxa"/>
            <w:left w:w="108" w:type="dxa"/>
            <w:bottom w:w="0" w:type="dxa"/>
            <w:right w:w="108" w:type="dxa"/>
          </w:tblCellMar>
        </w:tblPrEx>
        <w:trPr>
          <w:gridAfter w:val="1"/>
          <w:wAfter w:w="27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38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4D08B">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5065">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6886">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A48F">
            <w:pPr>
              <w:jc w:val="center"/>
            </w:pPr>
            <w:r>
              <w:rPr>
                <w:rFonts w:ascii="宋体" w:hAnsi="宋体" w:eastAsia="宋体"/>
                <w:sz w:val="16"/>
              </w:rPr>
              <w:t>31.34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D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8A9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3670">
            <w:pPr>
              <w:jc w:val="center"/>
            </w:pPr>
            <w:r>
              <w:rPr>
                <w:rFonts w:ascii="宋体" w:hAnsi="宋体" w:eastAsia="宋体"/>
                <w:sz w:val="16"/>
              </w:rPr>
              <w:t>10.00分</w:t>
            </w:r>
          </w:p>
        </w:tc>
      </w:tr>
      <w:tr w14:paraId="13E328D3">
        <w:tblPrEx>
          <w:tblCellMar>
            <w:top w:w="0" w:type="dxa"/>
            <w:left w:w="108" w:type="dxa"/>
            <w:bottom w:w="0" w:type="dxa"/>
            <w:right w:w="108" w:type="dxa"/>
          </w:tblCellMar>
        </w:tblPrEx>
        <w:trPr>
          <w:gridAfter w:val="1"/>
          <w:wAfter w:w="27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5C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64DA1">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B7CA">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C3AB">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984C5">
            <w:pPr>
              <w:jc w:val="center"/>
            </w:pPr>
            <w:r>
              <w:rPr>
                <w:rFonts w:ascii="宋体" w:hAnsi="宋体" w:eastAsia="宋体"/>
                <w:sz w:val="16"/>
              </w:rPr>
              <w:t>31.34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B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B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2912">
            <w:pPr>
              <w:jc w:val="center"/>
            </w:pPr>
            <w:r>
              <w:rPr>
                <w:rFonts w:ascii="宋体" w:hAnsi="宋体" w:eastAsia="宋体"/>
                <w:sz w:val="16"/>
              </w:rPr>
              <w:t>—</w:t>
            </w:r>
          </w:p>
        </w:tc>
      </w:tr>
      <w:tr w14:paraId="0DD57E30">
        <w:tblPrEx>
          <w:tblCellMar>
            <w:top w:w="0" w:type="dxa"/>
            <w:left w:w="108" w:type="dxa"/>
            <w:bottom w:w="0" w:type="dxa"/>
            <w:right w:w="108" w:type="dxa"/>
          </w:tblCellMar>
        </w:tblPrEx>
        <w:trPr>
          <w:gridAfter w:val="1"/>
          <w:wAfter w:w="27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CE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E1CD">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FE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D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F70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F03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7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BEC2">
            <w:pPr>
              <w:jc w:val="center"/>
            </w:pPr>
            <w:r>
              <w:rPr>
                <w:rFonts w:ascii="宋体" w:hAnsi="宋体" w:eastAsia="宋体"/>
                <w:sz w:val="16"/>
              </w:rPr>
              <w:t>—</w:t>
            </w:r>
          </w:p>
        </w:tc>
      </w:tr>
      <w:tr w14:paraId="6604EB47">
        <w:tblPrEx>
          <w:tblCellMar>
            <w:top w:w="0" w:type="dxa"/>
            <w:left w:w="108" w:type="dxa"/>
            <w:bottom w:w="0" w:type="dxa"/>
            <w:right w:w="108" w:type="dxa"/>
          </w:tblCellMar>
        </w:tblPrEx>
        <w:trPr>
          <w:gridAfter w:val="1"/>
          <w:wAfter w:w="27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17001">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564C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79B53">
            <w:pPr>
              <w:jc w:val="center"/>
            </w:pPr>
            <w:r>
              <w:rPr>
                <w:rFonts w:ascii="宋体" w:hAnsi="宋体" w:eastAsia="宋体"/>
                <w:sz w:val="16"/>
              </w:rPr>
              <w:t>实际完成情况</w:t>
            </w:r>
          </w:p>
        </w:tc>
      </w:tr>
      <w:tr w14:paraId="7FADD117">
        <w:tblPrEx>
          <w:tblCellMar>
            <w:top w:w="0" w:type="dxa"/>
            <w:left w:w="108" w:type="dxa"/>
            <w:bottom w:w="0" w:type="dxa"/>
            <w:right w:w="108" w:type="dxa"/>
          </w:tblCellMar>
        </w:tblPrEx>
        <w:trPr>
          <w:gridAfter w:val="1"/>
          <w:wAfter w:w="275"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F84F6"/>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BC83C">
            <w:pPr>
              <w:jc w:val="both"/>
            </w:pPr>
            <w:r>
              <w:rPr>
                <w:rFonts w:ascii="宋体" w:hAnsi="宋体" w:eastAsia="宋体"/>
                <w:sz w:val="16"/>
              </w:rPr>
              <w:t>我单位作为普通话测试重点，按照教育局安排，每月进行普通话测试，本年计划保障参加普通话测试人数14760名，此项目资金支付因此产生的考务费15.05万元、评测费11.12万元，平台使用费5.17万元。因而提高社会人员普通话水平，让参加普通话测试工作的考务及评测人员对此项目的满意度达到99%以上。确保满足考生“应测必测，愿测即测”需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1DB10">
            <w:pPr>
              <w:jc w:val="both"/>
            </w:pPr>
            <w:r>
              <w:rPr>
                <w:rFonts w:ascii="宋体" w:hAnsi="宋体" w:eastAsia="宋体"/>
                <w:sz w:val="16"/>
              </w:rPr>
              <w:t>本年度，我中心测试站严格按照国家语委制定的普通话水平测试标准和流程，从2024年1月至12月，组织报名参加普通话测试人数14760人次，组织考试共计34天，普通话测试保障率达到100%，按时完成普通话测试任务率达到100%，在此过程中产生的考务费、测评费、平台使用费都已及时发放。我单位作为普通话测试重点，负责了全</w:t>
            </w:r>
            <w:r>
              <w:rPr>
                <w:rFonts w:hint="eastAsia" w:ascii="宋体" w:hAnsi="宋体"/>
                <w:sz w:val="16"/>
                <w:lang w:eastAsia="zh-CN"/>
              </w:rPr>
              <w:t>地区</w:t>
            </w:r>
            <w:r>
              <w:rPr>
                <w:rFonts w:ascii="宋体" w:hAnsi="宋体" w:eastAsia="宋体"/>
                <w:sz w:val="16"/>
              </w:rPr>
              <w:t>的普通话水平测试工作，确保了测试中心在推广普通话。培训中心普通话测试站将进一步做好普通话测试力度，更好地传承中华民族优秀文化，提升我校师生国家通用语言文字的使用水平，以实际行动铸牢中华民族共同体意识，用语言热情迸发民族团结进步之强声！</w:t>
            </w:r>
          </w:p>
        </w:tc>
      </w:tr>
      <w:tr w14:paraId="50036771">
        <w:tblPrEx>
          <w:tblCellMar>
            <w:top w:w="0" w:type="dxa"/>
            <w:left w:w="108" w:type="dxa"/>
            <w:bottom w:w="0" w:type="dxa"/>
            <w:right w:w="108" w:type="dxa"/>
          </w:tblCellMar>
        </w:tblPrEx>
        <w:trPr>
          <w:gridAfter w:val="1"/>
          <w:wAfter w:w="275"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6D809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12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7F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27F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5794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70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CC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88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AD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26E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769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4C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DE902">
            <w:pPr>
              <w:jc w:val="center"/>
            </w:pPr>
            <w:r>
              <w:rPr>
                <w:rFonts w:ascii="宋体" w:hAnsi="宋体" w:eastAsia="宋体"/>
                <w:sz w:val="16"/>
              </w:rPr>
              <w:t>偏差原因分析及改进措施</w:t>
            </w:r>
          </w:p>
        </w:tc>
      </w:tr>
      <w:tr w14:paraId="05DF3D12">
        <w:tblPrEx>
          <w:tblCellMar>
            <w:top w:w="0" w:type="dxa"/>
            <w:left w:w="108" w:type="dxa"/>
            <w:bottom w:w="0" w:type="dxa"/>
            <w:right w:w="108" w:type="dxa"/>
          </w:tblCellMar>
        </w:tblPrEx>
        <w:trPr>
          <w:gridAfter w:val="1"/>
          <w:wAfter w:w="275"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97F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8E7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83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AD43">
            <w:pPr>
              <w:jc w:val="center"/>
            </w:pPr>
            <w:r>
              <w:rPr>
                <w:rFonts w:ascii="宋体" w:hAnsi="宋体" w:eastAsia="宋体"/>
                <w:sz w:val="16"/>
              </w:rPr>
              <w:t>普通话测试参加人数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1BE2FD">
            <w:pPr>
              <w:jc w:val="center"/>
            </w:pPr>
            <w:r>
              <w:rPr>
                <w:rFonts w:ascii="宋体" w:hAnsi="宋体" w:eastAsia="宋体"/>
                <w:sz w:val="16"/>
              </w:rPr>
              <w:t>&gt;=14760人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E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3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D3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A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649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0E1B68">
            <w:pPr>
              <w:jc w:val="center"/>
            </w:pPr>
            <w:r>
              <w:rPr>
                <w:rFonts w:ascii="宋体" w:hAnsi="宋体" w:eastAsia="宋体"/>
                <w:sz w:val="16"/>
              </w:rPr>
              <w:t>=14760人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85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F564">
            <w:pPr>
              <w:jc w:val="center"/>
            </w:pPr>
          </w:p>
        </w:tc>
      </w:tr>
      <w:tr w14:paraId="310FC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F8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7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94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62E3">
            <w:pPr>
              <w:jc w:val="center"/>
            </w:pPr>
            <w:r>
              <w:rPr>
                <w:rFonts w:ascii="宋体" w:hAnsi="宋体" w:eastAsia="宋体"/>
                <w:sz w:val="16"/>
              </w:rPr>
              <w:t>普通话测试保障率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894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0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E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F1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2D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71A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9E6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EB24">
            <w:pPr>
              <w:jc w:val="center"/>
            </w:pPr>
            <w:r>
              <w:rPr>
                <w:rFonts w:ascii="宋体" w:hAnsi="宋体" w:eastAsia="宋体"/>
                <w:sz w:val="16"/>
              </w:rPr>
              <w:t>10</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2BD939">
            <w:pPr>
              <w:jc w:val="center"/>
            </w:pPr>
          </w:p>
        </w:tc>
      </w:tr>
      <w:tr w14:paraId="33AEE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6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D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BB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BD33">
            <w:pPr>
              <w:jc w:val="center"/>
            </w:pPr>
            <w:r>
              <w:rPr>
                <w:rFonts w:ascii="宋体" w:hAnsi="宋体" w:eastAsia="宋体"/>
                <w:sz w:val="16"/>
              </w:rPr>
              <w:t>按时完成普通话测试任务率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6E5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8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6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C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81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13A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97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9FC4">
            <w:pPr>
              <w:jc w:val="center"/>
            </w:pPr>
            <w:r>
              <w:rPr>
                <w:rFonts w:ascii="宋体" w:hAnsi="宋体" w:eastAsia="宋体"/>
                <w:sz w:val="16"/>
              </w:rPr>
              <w:t>20</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846CA1">
            <w:pPr>
              <w:jc w:val="center"/>
            </w:pPr>
          </w:p>
        </w:tc>
      </w:tr>
      <w:tr w14:paraId="69D66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4A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8F5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5D4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313F">
            <w:pPr>
              <w:jc w:val="center"/>
            </w:pPr>
            <w:r>
              <w:rPr>
                <w:rFonts w:ascii="宋体" w:hAnsi="宋体" w:eastAsia="宋体"/>
                <w:sz w:val="16"/>
              </w:rPr>
              <w:t>考务费成本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3A3A32">
            <w:pPr>
              <w:jc w:val="center"/>
            </w:pPr>
            <w:r>
              <w:rPr>
                <w:rFonts w:ascii="宋体" w:hAnsi="宋体" w:eastAsia="宋体"/>
                <w:sz w:val="16"/>
              </w:rPr>
              <w:t>&lt;=15.05万元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7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D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B8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3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BA2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5222C">
            <w:pPr>
              <w:jc w:val="center"/>
            </w:pPr>
            <w:r>
              <w:rPr>
                <w:rFonts w:ascii="宋体" w:hAnsi="宋体" w:eastAsia="宋体"/>
                <w:sz w:val="16"/>
              </w:rPr>
              <w:t>=15.05万元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7235">
            <w:pPr>
              <w:jc w:val="center"/>
            </w:pPr>
            <w:r>
              <w:rPr>
                <w:rFonts w:ascii="宋体" w:hAnsi="宋体" w:eastAsia="宋体"/>
                <w:sz w:val="16"/>
              </w:rPr>
              <w:t>5</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F9E586">
            <w:pPr>
              <w:jc w:val="center"/>
            </w:pPr>
          </w:p>
        </w:tc>
      </w:tr>
      <w:tr w14:paraId="1C0A0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7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0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D4C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2D66">
            <w:pPr>
              <w:jc w:val="center"/>
            </w:pPr>
            <w:r>
              <w:rPr>
                <w:rFonts w:ascii="宋体" w:hAnsi="宋体" w:eastAsia="宋体"/>
                <w:sz w:val="16"/>
              </w:rPr>
              <w:t>平台使用费成本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049CA8">
            <w:pPr>
              <w:jc w:val="center"/>
            </w:pPr>
            <w:r>
              <w:rPr>
                <w:rFonts w:ascii="宋体" w:hAnsi="宋体" w:eastAsia="宋体"/>
                <w:sz w:val="16"/>
              </w:rPr>
              <w:t>&lt;=5.17万元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4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E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6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4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19F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C3402B">
            <w:pPr>
              <w:jc w:val="center"/>
            </w:pPr>
            <w:r>
              <w:rPr>
                <w:rFonts w:ascii="宋体" w:hAnsi="宋体" w:eastAsia="宋体"/>
                <w:sz w:val="16"/>
              </w:rPr>
              <w: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F179">
            <w:pPr>
              <w:jc w:val="center"/>
            </w:pPr>
            <w:r>
              <w:rPr>
                <w:rFonts w:ascii="宋体" w:hAnsi="宋体" w:eastAsia="宋体"/>
                <w:sz w:val="16"/>
              </w:rPr>
              <w:t>10</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D60307">
            <w:pPr>
              <w:jc w:val="center"/>
            </w:pPr>
          </w:p>
        </w:tc>
      </w:tr>
      <w:tr w14:paraId="73DA8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606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A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D3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D3CC">
            <w:pPr>
              <w:jc w:val="center"/>
            </w:pPr>
            <w:r>
              <w:rPr>
                <w:rFonts w:ascii="宋体" w:hAnsi="宋体" w:eastAsia="宋体"/>
                <w:sz w:val="16"/>
              </w:rPr>
              <w:t>测评费成本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7E0411">
            <w:pPr>
              <w:jc w:val="center"/>
            </w:pPr>
            <w:r>
              <w:rPr>
                <w:rFonts w:ascii="宋体" w:hAnsi="宋体" w:eastAsia="宋体"/>
                <w:sz w:val="16"/>
              </w:rPr>
              <w:t>&lt;=11.12万元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6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D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6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D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821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828491">
            <w:pPr>
              <w:jc w:val="center"/>
            </w:pPr>
            <w:r>
              <w:rPr>
                <w:rFonts w:ascii="宋体" w:hAnsi="宋体" w:eastAsia="宋体"/>
                <w:sz w:val="16"/>
              </w:rPr>
              <w: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89E1">
            <w:pPr>
              <w:jc w:val="center"/>
            </w:pPr>
            <w:r>
              <w:rPr>
                <w:rFonts w:ascii="宋体" w:hAnsi="宋体" w:eastAsia="宋体"/>
                <w:sz w:val="16"/>
              </w:rPr>
              <w:t>5</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9816F6">
            <w:pPr>
              <w:jc w:val="center"/>
            </w:pPr>
          </w:p>
        </w:tc>
      </w:tr>
      <w:tr w14:paraId="39DA1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E2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7A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C5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C3FF">
            <w:pPr>
              <w:jc w:val="center"/>
            </w:pPr>
            <w:r>
              <w:rPr>
                <w:rFonts w:ascii="宋体" w:hAnsi="宋体" w:eastAsia="宋体"/>
                <w:sz w:val="16"/>
              </w:rPr>
              <w:t>致力提高社会人员普通话水平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1284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627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22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7D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55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A6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877F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FBDD">
            <w:pPr>
              <w:jc w:val="center"/>
            </w:pPr>
            <w:r>
              <w:rPr>
                <w:rFonts w:ascii="宋体" w:hAnsi="宋体" w:eastAsia="宋体"/>
                <w:sz w:val="16"/>
              </w:rPr>
              <w:t>20</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C54E19">
            <w:pPr>
              <w:jc w:val="center"/>
            </w:pPr>
          </w:p>
        </w:tc>
      </w:tr>
      <w:tr w14:paraId="728F3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A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23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8F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FE6F">
            <w:pPr>
              <w:jc w:val="center"/>
            </w:pPr>
            <w:r>
              <w:rPr>
                <w:rFonts w:ascii="宋体" w:hAnsi="宋体" w:eastAsia="宋体"/>
                <w:sz w:val="16"/>
              </w:rPr>
              <w:t>参与普通话测试考务工作人员满意度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A4BB1D">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B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5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A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6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0D0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A65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4968">
            <w:pPr>
              <w:jc w:val="center"/>
            </w:pPr>
            <w:r>
              <w:rPr>
                <w:rFonts w:ascii="宋体" w:hAnsi="宋体" w:eastAsia="宋体"/>
                <w:sz w:val="16"/>
              </w:rPr>
              <w:t>10</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AB998DE">
            <w:pPr>
              <w:jc w:val="center"/>
            </w:pPr>
            <w:r>
              <w:rPr>
                <w:rFonts w:ascii="宋体" w:hAnsi="宋体" w:eastAsia="宋体"/>
                <w:sz w:val="16"/>
              </w:rPr>
              <w:t>原因：年初设置指标较低，导致实际完成值高于年初指标的情况；改进措施：今后项目目标严格按要求切合实际情况设置指标，项目执行应与年初预算相一致，严格按实施方案实施。</w:t>
            </w:r>
          </w:p>
        </w:tc>
      </w:tr>
      <w:tr w14:paraId="60E2C6B3">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9DB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A412">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0EDD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5C58">
            <w:pPr>
              <w:jc w:val="center"/>
            </w:pPr>
            <w:r>
              <w:rPr>
                <w:rFonts w:ascii="宋体" w:hAnsi="宋体" w:eastAsia="宋体"/>
                <w:sz w:val="16"/>
              </w:rPr>
              <w:t>100分</w:t>
            </w:r>
          </w:p>
        </w:tc>
        <w:tc>
          <w:tcPr>
            <w:tcW w:w="1539" w:type="dxa"/>
            <w:gridSpan w:val="3"/>
            <w:tcBorders>
              <w:top w:val="single" w:color="auto" w:sz="10" w:space="0"/>
              <w:left w:val="single" w:color="auto" w:sz="10" w:space="0"/>
              <w:bottom w:val="single" w:color="auto" w:sz="10" w:space="0"/>
              <w:right w:val="single" w:color="auto" w:sz="10" w:space="0"/>
              <w:insideV w:val="single" w:sz="10" w:space="0"/>
            </w:tcBorders>
          </w:tcPr>
          <w:p w14:paraId="75AD6866"/>
        </w:tc>
      </w:tr>
    </w:tbl>
    <w:p w14:paraId="0486EB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45B0C6D">
        <w:tblPrEx>
          <w:tblCellMar>
            <w:top w:w="0" w:type="dxa"/>
            <w:left w:w="108" w:type="dxa"/>
            <w:bottom w:w="0" w:type="dxa"/>
            <w:right w:w="108" w:type="dxa"/>
          </w:tblCellMar>
        </w:tblPrEx>
        <w:tc>
          <w:tcPr>
            <w:tcW w:w="8848" w:type="dxa"/>
            <w:gridSpan w:val="14"/>
            <w:vAlign w:val="center"/>
          </w:tcPr>
          <w:p w14:paraId="55AB0181">
            <w:pPr>
              <w:jc w:val="center"/>
            </w:pPr>
            <w:r>
              <w:rPr>
                <w:rFonts w:ascii="宋体" w:hAnsi="宋体" w:eastAsia="宋体"/>
                <w:sz w:val="24"/>
              </w:rPr>
              <w:t>项目支出绩效自评表</w:t>
            </w:r>
          </w:p>
        </w:tc>
      </w:tr>
      <w:tr w14:paraId="27526663">
        <w:tblPrEx>
          <w:tblCellMar>
            <w:top w:w="0" w:type="dxa"/>
            <w:left w:w="108" w:type="dxa"/>
            <w:bottom w:w="0" w:type="dxa"/>
            <w:right w:w="108" w:type="dxa"/>
          </w:tblCellMar>
        </w:tblPrEx>
        <w:tc>
          <w:tcPr>
            <w:tcW w:w="8848" w:type="dxa"/>
            <w:gridSpan w:val="14"/>
            <w:vAlign w:val="center"/>
          </w:tcPr>
          <w:p w14:paraId="6A188304">
            <w:pPr>
              <w:jc w:val="center"/>
            </w:pPr>
            <w:r>
              <w:rPr>
                <w:rFonts w:ascii="宋体" w:hAnsi="宋体" w:eastAsia="宋体"/>
                <w:sz w:val="24"/>
              </w:rPr>
              <w:t>(2024年度)</w:t>
            </w:r>
          </w:p>
        </w:tc>
      </w:tr>
      <w:tr w14:paraId="344333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EB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C2F49C">
            <w:pPr>
              <w:jc w:val="center"/>
            </w:pPr>
            <w:r>
              <w:rPr>
                <w:rFonts w:ascii="宋体" w:hAnsi="宋体" w:eastAsia="宋体"/>
                <w:sz w:val="16"/>
              </w:rPr>
              <w:t>传统国学馆（师德馆）开设项目</w:t>
            </w:r>
          </w:p>
        </w:tc>
      </w:tr>
      <w:tr w14:paraId="3A6E8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6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7983F">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28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5B33C1">
            <w:pPr>
              <w:jc w:val="center"/>
            </w:pPr>
            <w:r>
              <w:rPr>
                <w:rFonts w:ascii="宋体" w:hAnsi="宋体" w:eastAsia="宋体"/>
                <w:sz w:val="16"/>
              </w:rPr>
              <w:t>新疆维吾尔自治区喀什地区少数民族小学教师培训中心</w:t>
            </w:r>
          </w:p>
        </w:tc>
      </w:tr>
      <w:tr w14:paraId="08574E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F8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A1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BB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8A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F7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18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A3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5B3A">
            <w:pPr>
              <w:jc w:val="center"/>
            </w:pPr>
            <w:r>
              <w:rPr>
                <w:rFonts w:ascii="宋体" w:hAnsi="宋体" w:eastAsia="宋体"/>
                <w:sz w:val="16"/>
              </w:rPr>
              <w:t>得分</w:t>
            </w:r>
          </w:p>
        </w:tc>
      </w:tr>
      <w:tr w14:paraId="2BAB0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86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D2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3FAF">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DF9B">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CD78">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03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879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13EF">
            <w:pPr>
              <w:jc w:val="center"/>
            </w:pPr>
            <w:r>
              <w:rPr>
                <w:rFonts w:ascii="宋体" w:hAnsi="宋体" w:eastAsia="宋体"/>
                <w:sz w:val="16"/>
              </w:rPr>
              <w:t>10.00分</w:t>
            </w:r>
          </w:p>
        </w:tc>
      </w:tr>
      <w:tr w14:paraId="7F301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75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7D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7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4D2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B1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01D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FBD7">
            <w:pPr>
              <w:jc w:val="center"/>
            </w:pPr>
            <w:r>
              <w:rPr>
                <w:rFonts w:ascii="宋体" w:hAnsi="宋体" w:eastAsia="宋体"/>
                <w:sz w:val="16"/>
              </w:rPr>
              <w:t>—</w:t>
            </w:r>
          </w:p>
        </w:tc>
      </w:tr>
      <w:tr w14:paraId="49818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A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EB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E8E4">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AFD2">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C269">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F1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F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6B1B">
            <w:pPr>
              <w:jc w:val="center"/>
            </w:pPr>
            <w:r>
              <w:rPr>
                <w:rFonts w:ascii="宋体" w:hAnsi="宋体" w:eastAsia="宋体"/>
                <w:sz w:val="16"/>
              </w:rPr>
              <w:t>—</w:t>
            </w:r>
          </w:p>
        </w:tc>
      </w:tr>
      <w:tr w14:paraId="3FC66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9A2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E48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04FBD">
            <w:pPr>
              <w:jc w:val="center"/>
            </w:pPr>
            <w:r>
              <w:rPr>
                <w:rFonts w:ascii="宋体" w:hAnsi="宋体" w:eastAsia="宋体"/>
                <w:sz w:val="16"/>
              </w:rPr>
              <w:t>实际完成情况</w:t>
            </w:r>
          </w:p>
        </w:tc>
      </w:tr>
      <w:tr w14:paraId="58012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8E6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F0E8D">
            <w:pPr>
              <w:jc w:val="both"/>
            </w:pPr>
            <w:r>
              <w:rPr>
                <w:rFonts w:ascii="宋体" w:hAnsi="宋体" w:eastAsia="宋体"/>
                <w:sz w:val="16"/>
              </w:rPr>
              <w:t>通过建设国学馆，强化中华优秀传统文化、师德文化的研究与传播，面积约1000㎡，各类拟建国学馆增加藏品、展板展面、展示实物</w:t>
            </w:r>
            <w:r>
              <w:rPr>
                <w:rFonts w:hint="eastAsia" w:ascii="宋体" w:hAnsi="宋体"/>
                <w:sz w:val="16"/>
                <w:lang w:eastAsia="zh-CN"/>
              </w:rPr>
              <w:t>且</w:t>
            </w:r>
            <w:r>
              <w:rPr>
                <w:rFonts w:ascii="宋体" w:hAnsi="宋体" w:eastAsia="宋体"/>
                <w:sz w:val="16"/>
              </w:rPr>
              <w:t>达到100%合格。兼有中华优秀传统文化与中国教育鲜明特色的宣传教育观，成为喀什地区唯一一家师德文化馆，激励全区教育工作者扎根边疆，</w:t>
            </w:r>
            <w:r>
              <w:rPr>
                <w:rFonts w:hint="eastAsia" w:ascii="宋体" w:hAnsi="宋体"/>
                <w:sz w:val="16"/>
                <w:lang w:eastAsia="zh-CN"/>
              </w:rPr>
              <w:t>为党育人、为国育才</w:t>
            </w:r>
            <w:r>
              <w:rPr>
                <w:rFonts w:ascii="宋体" w:hAnsi="宋体" w:eastAsia="宋体"/>
                <w:sz w:val="16"/>
              </w:rPr>
              <w:t>，服务新疆工作总目标，培训一批又一批建设伟大祖国的有用之才。年均参观培训人数达到15000人。学员对参观满意度达到95%以上。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FB204">
            <w:pPr>
              <w:jc w:val="both"/>
            </w:pPr>
            <w:r>
              <w:rPr>
                <w:rFonts w:ascii="宋体" w:hAnsi="宋体" w:eastAsia="宋体"/>
                <w:sz w:val="16"/>
              </w:rPr>
              <w:t>此项目在本年度内已完成建设一层师德馆，购置室内增设师德馆用电脑、服装等资本性支出为13.75万元；室内装饰，修缮等支出为105.42万元。通过实施传统文化国学馆（师德馆）项目，用以对中小学教师进行了中华民族文化浸润、宣传和体验式教育，提高了教师传统文化素养和中华民族共同体意识。</w:t>
            </w:r>
          </w:p>
        </w:tc>
      </w:tr>
      <w:tr w14:paraId="28825A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50F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ED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18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3B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0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57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57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BF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62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F7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01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68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10F6">
            <w:pPr>
              <w:jc w:val="center"/>
            </w:pPr>
            <w:r>
              <w:rPr>
                <w:rFonts w:ascii="宋体" w:hAnsi="宋体" w:eastAsia="宋体"/>
                <w:sz w:val="16"/>
              </w:rPr>
              <w:t>偏差原因分析及改进措施</w:t>
            </w:r>
          </w:p>
        </w:tc>
      </w:tr>
      <w:tr w14:paraId="583F72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F5E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69A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66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FAE6">
            <w:pPr>
              <w:jc w:val="center"/>
            </w:pPr>
            <w:r>
              <w:rPr>
                <w:rFonts w:ascii="宋体" w:hAnsi="宋体" w:eastAsia="宋体"/>
                <w:sz w:val="16"/>
              </w:rPr>
              <w:t>拟建国学馆一层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DB31">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E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12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B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2F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6B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8EDB">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28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0B87">
            <w:pPr>
              <w:jc w:val="center"/>
            </w:pPr>
          </w:p>
        </w:tc>
      </w:tr>
      <w:tr w14:paraId="4A818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A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F43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A97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CFC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3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6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7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8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2C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A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A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A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6DFC">
            <w:pPr>
              <w:jc w:val="center"/>
            </w:pPr>
          </w:p>
        </w:tc>
      </w:tr>
      <w:tr w14:paraId="0D8B9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9C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E0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7B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82C2">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2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D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9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6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B4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0E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0D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E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993B">
            <w:pPr>
              <w:jc w:val="center"/>
            </w:pPr>
          </w:p>
        </w:tc>
      </w:tr>
      <w:tr w14:paraId="61E67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A8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AB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B4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94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F79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B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E7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6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4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94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9898">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8F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9BD1">
            <w:pPr>
              <w:jc w:val="center"/>
            </w:pPr>
          </w:p>
        </w:tc>
      </w:tr>
      <w:tr w14:paraId="364B2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41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5F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07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509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052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A30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7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A8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5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D4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3E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20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7818">
            <w:pPr>
              <w:jc w:val="center"/>
            </w:pPr>
          </w:p>
        </w:tc>
      </w:tr>
      <w:tr w14:paraId="6C230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BD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89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9E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1AFA">
            <w:pPr>
              <w:jc w:val="center"/>
            </w:pPr>
            <w:r>
              <w:rPr>
                <w:rFonts w:ascii="宋体" w:hAnsi="宋体" w:eastAsia="宋体"/>
                <w:sz w:val="16"/>
              </w:rPr>
              <w:t>教育激励全区教育工作者扎根边疆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5C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1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30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AB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2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C5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C2D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54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FF26">
            <w:pPr>
              <w:jc w:val="center"/>
            </w:pPr>
          </w:p>
        </w:tc>
      </w:tr>
      <w:tr w14:paraId="7A067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F1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5B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3C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EF2A">
            <w:pPr>
              <w:jc w:val="center"/>
            </w:pPr>
            <w:r>
              <w:rPr>
                <w:rFonts w:ascii="宋体" w:hAnsi="宋体" w:eastAsia="宋体"/>
                <w:sz w:val="16"/>
              </w:rPr>
              <w:t>参观学员满意度（%）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2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6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F3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B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8B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D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DD36">
            <w:pPr>
              <w:jc w:val="center"/>
            </w:pPr>
            <w:r>
              <w:rPr>
                <w:rFonts w:ascii="宋体" w:hAnsi="宋体" w:eastAsia="宋体"/>
                <w:sz w:val="16"/>
              </w:rPr>
              <w:t>=99.14%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E1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50E8">
            <w:pPr>
              <w:jc w:val="center"/>
            </w:pPr>
            <w:r>
              <w:rPr>
                <w:rFonts w:ascii="宋体" w:hAnsi="宋体" w:eastAsia="宋体"/>
                <w:sz w:val="16"/>
              </w:rPr>
              <w:t>偏差原因：年初预算绩效指标设置不合理，导致实际完成值高于年初目标指标值。改进措施：加强项目管理人员制度性培训学习，提高绩效目标质量，提升预算精细化管理水平。</w:t>
            </w:r>
          </w:p>
        </w:tc>
      </w:tr>
      <w:tr w14:paraId="6D8E04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DB8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95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B3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7E7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5D1F2B"/>
        </w:tc>
      </w:tr>
    </w:tbl>
    <w:p w14:paraId="251993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D2216EB">
        <w:tblPrEx>
          <w:tblCellMar>
            <w:top w:w="0" w:type="dxa"/>
            <w:left w:w="108" w:type="dxa"/>
            <w:bottom w:w="0" w:type="dxa"/>
            <w:right w:w="108" w:type="dxa"/>
          </w:tblCellMar>
        </w:tblPrEx>
        <w:tc>
          <w:tcPr>
            <w:tcW w:w="8848" w:type="dxa"/>
            <w:gridSpan w:val="14"/>
            <w:vAlign w:val="center"/>
          </w:tcPr>
          <w:p w14:paraId="3F9E71E4">
            <w:pPr>
              <w:jc w:val="center"/>
            </w:pPr>
            <w:r>
              <w:rPr>
                <w:rFonts w:ascii="宋体" w:hAnsi="宋体" w:eastAsia="宋体"/>
                <w:sz w:val="24"/>
              </w:rPr>
              <w:t>项目支出绩效自评表</w:t>
            </w:r>
          </w:p>
        </w:tc>
      </w:tr>
      <w:tr w14:paraId="6F746917">
        <w:tblPrEx>
          <w:tblCellMar>
            <w:top w:w="0" w:type="dxa"/>
            <w:left w:w="108" w:type="dxa"/>
            <w:bottom w:w="0" w:type="dxa"/>
            <w:right w:w="108" w:type="dxa"/>
          </w:tblCellMar>
        </w:tblPrEx>
        <w:tc>
          <w:tcPr>
            <w:tcW w:w="8848" w:type="dxa"/>
            <w:gridSpan w:val="14"/>
            <w:vAlign w:val="center"/>
          </w:tcPr>
          <w:p w14:paraId="57A4064B">
            <w:pPr>
              <w:jc w:val="center"/>
            </w:pPr>
            <w:r>
              <w:rPr>
                <w:rFonts w:ascii="宋体" w:hAnsi="宋体" w:eastAsia="宋体"/>
                <w:sz w:val="24"/>
              </w:rPr>
              <w:t>(2024年度)</w:t>
            </w:r>
          </w:p>
        </w:tc>
      </w:tr>
      <w:tr w14:paraId="1EED66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E0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BBAC5C">
            <w:pPr>
              <w:jc w:val="center"/>
            </w:pPr>
            <w:r>
              <w:rPr>
                <w:rFonts w:ascii="宋体" w:hAnsi="宋体" w:eastAsia="宋体"/>
                <w:sz w:val="16"/>
              </w:rPr>
              <w:t>学分银行开设项目</w:t>
            </w:r>
          </w:p>
        </w:tc>
      </w:tr>
      <w:tr w14:paraId="6794E7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4B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99784">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E8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8ED6F3">
            <w:pPr>
              <w:jc w:val="center"/>
            </w:pPr>
            <w:r>
              <w:rPr>
                <w:rFonts w:ascii="宋体" w:hAnsi="宋体" w:eastAsia="宋体"/>
                <w:sz w:val="16"/>
              </w:rPr>
              <w:t>新疆维吾尔自治区喀什地区少数民族小学教师培训中心</w:t>
            </w:r>
          </w:p>
        </w:tc>
      </w:tr>
      <w:tr w14:paraId="20D6F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96E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EF1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07A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1B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B8C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866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044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4A25">
            <w:pPr>
              <w:jc w:val="center"/>
            </w:pPr>
            <w:r>
              <w:rPr>
                <w:rFonts w:ascii="宋体" w:hAnsi="宋体" w:eastAsia="宋体"/>
                <w:sz w:val="16"/>
              </w:rPr>
              <w:t>得分</w:t>
            </w:r>
          </w:p>
        </w:tc>
      </w:tr>
      <w:tr w14:paraId="006DA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F27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9C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0ED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B8A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C21B">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4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0732">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D9D6">
            <w:pPr>
              <w:jc w:val="center"/>
            </w:pPr>
            <w:r>
              <w:rPr>
                <w:rFonts w:ascii="宋体" w:hAnsi="宋体" w:eastAsia="宋体"/>
                <w:sz w:val="16"/>
              </w:rPr>
              <w:t>9.64分</w:t>
            </w:r>
          </w:p>
        </w:tc>
      </w:tr>
      <w:tr w14:paraId="21AA6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14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97E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04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923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4E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18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7E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E02E">
            <w:pPr>
              <w:jc w:val="center"/>
            </w:pPr>
            <w:r>
              <w:rPr>
                <w:rFonts w:ascii="宋体" w:hAnsi="宋体" w:eastAsia="宋体"/>
                <w:sz w:val="16"/>
              </w:rPr>
              <w:t>—</w:t>
            </w:r>
          </w:p>
        </w:tc>
      </w:tr>
      <w:tr w14:paraId="40A7D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C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C1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F9F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C7CB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6427">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0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1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3BF6">
            <w:pPr>
              <w:jc w:val="center"/>
            </w:pPr>
            <w:r>
              <w:rPr>
                <w:rFonts w:ascii="宋体" w:hAnsi="宋体" w:eastAsia="宋体"/>
                <w:sz w:val="16"/>
              </w:rPr>
              <w:t>—</w:t>
            </w:r>
          </w:p>
        </w:tc>
      </w:tr>
      <w:tr w14:paraId="54F89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3C0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92C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9AF4D">
            <w:pPr>
              <w:jc w:val="center"/>
            </w:pPr>
            <w:r>
              <w:rPr>
                <w:rFonts w:ascii="宋体" w:hAnsi="宋体" w:eastAsia="宋体"/>
                <w:sz w:val="16"/>
              </w:rPr>
              <w:t>实际完成情况</w:t>
            </w:r>
          </w:p>
        </w:tc>
      </w:tr>
      <w:tr w14:paraId="42F2D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566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00CDE">
            <w:pPr>
              <w:jc w:val="both"/>
            </w:pPr>
            <w:r>
              <w:rPr>
                <w:rFonts w:ascii="宋体" w:hAnsi="宋体" w:eastAsia="宋体"/>
                <w:sz w:val="16"/>
              </w:rPr>
              <w:t>为推进教育数字化，服务建设全民终身学习的学习型社会、学习型大国，建设学分银行分中心。</w:t>
            </w:r>
            <w:r>
              <w:rPr>
                <w:rFonts w:ascii="宋体" w:hAnsi="宋体" w:eastAsia="宋体"/>
                <w:sz w:val="16"/>
              </w:rPr>
              <w:br w:type="textWrapping"/>
            </w:r>
            <w:r>
              <w:rPr>
                <w:rFonts w:ascii="宋体" w:hAnsi="宋体" w:eastAsia="宋体"/>
                <w:sz w:val="16"/>
              </w:rPr>
              <w:t>此专项经费主要用于分中心装修、环境布局，预计花4.4万元；设施设备购置，预计花2.6万元，其中：购置办公设备4个（办公桌椅2个、文件柜2个）0.59万元，购置电子设备3台（笔记本电脑1台、传真机1台、扫描仪1台）2.01万元。</w:t>
            </w:r>
            <w:r>
              <w:rPr>
                <w:rFonts w:ascii="宋体" w:hAnsi="宋体" w:eastAsia="宋体"/>
                <w:sz w:val="16"/>
              </w:rPr>
              <w:br w:type="textWrapping"/>
            </w:r>
            <w:r>
              <w:rPr>
                <w:rFonts w:ascii="宋体" w:hAnsi="宋体" w:eastAsia="宋体"/>
                <w:sz w:val="16"/>
              </w:rPr>
              <w:t>因而进一步促进学校优质学习资源面向全社会开放，提高社会人们终身学习“活到老、学到老”的理念。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6AB46">
            <w:pPr>
              <w:jc w:val="both"/>
            </w:pPr>
            <w:r>
              <w:rPr>
                <w:rFonts w:ascii="宋体" w:hAnsi="宋体" w:eastAsia="宋体"/>
                <w:sz w:val="16"/>
              </w:rPr>
              <w:t>此项目在本年度，已完成学分银行室内装饰装修费4.4万元；购置了办公设备4个（办公桌椅2个、文件柜2个）0.59万元，购置电子设备3台（传真机1台、扫描仪1台，笔记本电脑1台）1.91万元。因而进一步促进了学校优质学习资源面向全社会开放，</w:t>
            </w:r>
            <w:r>
              <w:rPr>
                <w:rFonts w:hint="eastAsia" w:ascii="宋体" w:hAnsi="宋体"/>
                <w:sz w:val="16"/>
                <w:lang w:eastAsia="zh-CN"/>
              </w:rPr>
              <w:t>提</w:t>
            </w:r>
            <w:r>
              <w:rPr>
                <w:rFonts w:ascii="宋体" w:hAnsi="宋体" w:eastAsia="宋体"/>
                <w:sz w:val="16"/>
              </w:rPr>
              <w:t>高社会</w:t>
            </w:r>
            <w:r>
              <w:rPr>
                <w:rFonts w:hint="eastAsia" w:ascii="宋体" w:hAnsi="宋体"/>
                <w:sz w:val="16"/>
                <w:lang w:eastAsia="zh-CN"/>
              </w:rPr>
              <w:t>人民</w:t>
            </w:r>
            <w:r>
              <w:rPr>
                <w:rFonts w:ascii="宋体" w:hAnsi="宋体" w:eastAsia="宋体"/>
                <w:sz w:val="16"/>
              </w:rPr>
              <w:t>终身学习“活到老、学到老”的理念。我校建设学分银行分中心，将积极服务喀什地区各族人民，促进学历教育之间、学历教育与非学历教育之间融合与沟通，构建服务全民终身学习的教育体系。</w:t>
            </w:r>
          </w:p>
        </w:tc>
      </w:tr>
      <w:tr w14:paraId="1B5273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200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BA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06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D0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6C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DC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66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DD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F1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60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93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BE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D0AF">
            <w:pPr>
              <w:jc w:val="center"/>
            </w:pPr>
            <w:r>
              <w:rPr>
                <w:rFonts w:ascii="宋体" w:hAnsi="宋体" w:eastAsia="宋体"/>
                <w:sz w:val="16"/>
              </w:rPr>
              <w:t>偏差原因分析及改进措施</w:t>
            </w:r>
          </w:p>
        </w:tc>
      </w:tr>
      <w:tr w14:paraId="3B7E5B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FA5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EB3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10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1233">
            <w:pPr>
              <w:jc w:val="center"/>
            </w:pPr>
            <w:r>
              <w:rPr>
                <w:rFonts w:ascii="宋体" w:hAnsi="宋体" w:eastAsia="宋体"/>
                <w:sz w:val="16"/>
              </w:rPr>
              <w:t>电子设备购置数量（台）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AA5D">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5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AD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F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7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2F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C234">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AA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972F">
            <w:pPr>
              <w:jc w:val="center"/>
            </w:pPr>
          </w:p>
        </w:tc>
      </w:tr>
      <w:tr w14:paraId="24A4E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D6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7B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9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BAE6">
            <w:pPr>
              <w:jc w:val="center"/>
            </w:pPr>
            <w:r>
              <w:rPr>
                <w:rFonts w:ascii="宋体" w:hAnsi="宋体" w:eastAsia="宋体"/>
                <w:sz w:val="16"/>
              </w:rPr>
              <w:t>办公设备购置数量（个）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F1F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5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C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1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2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C4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3EE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53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07D6">
            <w:pPr>
              <w:jc w:val="center"/>
            </w:pPr>
          </w:p>
        </w:tc>
      </w:tr>
      <w:tr w14:paraId="08184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18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1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53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0F4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3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4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5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D5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03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1C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85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4C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C41A">
            <w:pPr>
              <w:jc w:val="center"/>
            </w:pPr>
          </w:p>
        </w:tc>
      </w:tr>
      <w:tr w14:paraId="43B8F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5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6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FA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AE7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E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5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E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A1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FF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0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9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540C">
            <w:pPr>
              <w:jc w:val="center"/>
            </w:pPr>
          </w:p>
        </w:tc>
      </w:tr>
      <w:tr w14:paraId="3BA7E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C6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321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CCE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D634">
            <w:pPr>
              <w:jc w:val="center"/>
            </w:pPr>
            <w:r>
              <w:rPr>
                <w:rFonts w:ascii="宋体" w:hAnsi="宋体" w:eastAsia="宋体"/>
                <w:sz w:val="16"/>
              </w:rPr>
              <w:t>电子设备购置成本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2802">
            <w:pPr>
              <w:jc w:val="center"/>
            </w:pPr>
            <w:r>
              <w:rPr>
                <w:rFonts w:ascii="宋体" w:hAnsi="宋体" w:eastAsia="宋体"/>
                <w:sz w:val="16"/>
              </w:rPr>
              <w:t>&lt;=2.01万元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65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B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99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0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E2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E5B2">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E7C2">
            <w:pPr>
              <w:jc w:val="center"/>
            </w:pPr>
            <w:r>
              <w:rPr>
                <w:rFonts w:ascii="宋体" w:hAnsi="宋体" w:eastAsia="宋体"/>
                <w:sz w:val="16"/>
              </w:rPr>
              <w:t>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C3C4">
            <w:pPr>
              <w:jc w:val="center"/>
            </w:pPr>
            <w:r>
              <w:rPr>
                <w:rFonts w:ascii="宋体" w:hAnsi="宋体" w:eastAsia="宋体"/>
                <w:sz w:val="16"/>
              </w:rPr>
              <w:t>偏差原因：在正常能完成项目目标的前提下以节省成本为目的，能省就省，实际完成值比年初指标值低。改进措施：今后尽量按实际情况指定目标，全方面进行研究定目标值。</w:t>
            </w:r>
          </w:p>
        </w:tc>
      </w:tr>
      <w:tr w14:paraId="68324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68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E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C6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56AE">
            <w:pPr>
              <w:jc w:val="center"/>
            </w:pPr>
            <w:r>
              <w:rPr>
                <w:rFonts w:ascii="宋体" w:hAnsi="宋体" w:eastAsia="宋体"/>
                <w:sz w:val="16"/>
              </w:rPr>
              <w:t>办公设备购置成本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4D06">
            <w:pPr>
              <w:jc w:val="center"/>
            </w:pPr>
            <w:r>
              <w:rPr>
                <w:rFonts w:ascii="宋体" w:hAnsi="宋体" w:eastAsia="宋体"/>
                <w:sz w:val="16"/>
              </w:rPr>
              <w:t>&lt;=0.59万元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F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30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5B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1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C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3DF9">
            <w:pPr>
              <w:jc w:val="center"/>
            </w:pPr>
            <w:r>
              <w:rPr>
                <w:rFonts w:ascii="宋体" w:hAnsi="宋体" w:eastAsia="宋体"/>
                <w:sz w:val="16"/>
              </w:rPr>
              <w: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B8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EDF3">
            <w:pPr>
              <w:jc w:val="center"/>
            </w:pPr>
          </w:p>
        </w:tc>
      </w:tr>
      <w:tr w14:paraId="150A5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64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E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9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58E">
            <w:pPr>
              <w:jc w:val="center"/>
            </w:pPr>
            <w:r>
              <w:rPr>
                <w:rFonts w:ascii="宋体" w:hAnsi="宋体" w:eastAsia="宋体"/>
                <w:sz w:val="16"/>
              </w:rPr>
              <w:t>维修（护）费成本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BB15">
            <w:pPr>
              <w:jc w:val="center"/>
            </w:pPr>
            <w:r>
              <w:rPr>
                <w:rFonts w:ascii="宋体" w:hAnsi="宋体" w:eastAsia="宋体"/>
                <w:sz w:val="16"/>
              </w:rPr>
              <w:t>&lt;=4.40万元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4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D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7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F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92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70BB">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2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0B23">
            <w:pPr>
              <w:jc w:val="center"/>
            </w:pPr>
          </w:p>
        </w:tc>
      </w:tr>
      <w:tr w14:paraId="21B9A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82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68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1F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2212">
            <w:pPr>
              <w:jc w:val="center"/>
            </w:pPr>
            <w:r>
              <w:rPr>
                <w:rFonts w:ascii="宋体" w:hAnsi="宋体" w:eastAsia="宋体"/>
                <w:sz w:val="16"/>
              </w:rPr>
              <w:t>进一步促进学校优质学习资源面向全社会开放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1F0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52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B3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B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56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3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60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AE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9281">
            <w:pPr>
              <w:jc w:val="center"/>
            </w:pPr>
          </w:p>
        </w:tc>
      </w:tr>
      <w:tr w14:paraId="528B1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E1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0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F5CB">
            <w:pPr>
              <w:jc w:val="center"/>
            </w:pPr>
            <w:r>
              <w:rPr>
                <w:rFonts w:ascii="宋体" w:hAnsi="宋体" w:eastAsia="宋体"/>
                <w:sz w:val="16"/>
              </w:rPr>
              <w:t>学分银行场所使用者满意度（%）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E60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6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BC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6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B7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2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0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6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20C12">
            <w:pPr>
              <w:jc w:val="center"/>
            </w:pPr>
            <w:r>
              <w:rPr>
                <w:rFonts w:ascii="宋体" w:hAnsi="宋体" w:eastAsia="宋体"/>
                <w:sz w:val="16"/>
              </w:rPr>
              <w:t>偏差原因：年初目标指标值设的比较低，导致实际值比目标值高。改进措施：严格要求项目库录入的指标与政府采购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370DBD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EFA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D2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B42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3B24">
            <w:pPr>
              <w:jc w:val="center"/>
            </w:pPr>
            <w:r>
              <w:rPr>
                <w:rFonts w:ascii="宋体" w:hAnsi="宋体" w:eastAsia="宋体"/>
                <w:sz w:val="16"/>
              </w:rPr>
              <w:t>99.02分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62D838"/>
        </w:tc>
      </w:tr>
    </w:tbl>
    <w:p w14:paraId="011FA8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3A8C57">
        <w:tblPrEx>
          <w:tblCellMar>
            <w:top w:w="0" w:type="dxa"/>
            <w:left w:w="108" w:type="dxa"/>
            <w:bottom w:w="0" w:type="dxa"/>
            <w:right w:w="108" w:type="dxa"/>
          </w:tblCellMar>
        </w:tblPrEx>
        <w:tc>
          <w:tcPr>
            <w:tcW w:w="8848" w:type="dxa"/>
            <w:gridSpan w:val="14"/>
            <w:vAlign w:val="center"/>
          </w:tcPr>
          <w:p w14:paraId="45F58064">
            <w:pPr>
              <w:jc w:val="center"/>
            </w:pPr>
            <w:r>
              <w:rPr>
                <w:rFonts w:ascii="宋体" w:hAnsi="宋体" w:eastAsia="宋体"/>
                <w:sz w:val="24"/>
              </w:rPr>
              <w:t>项目支出绩效自评表</w:t>
            </w:r>
          </w:p>
        </w:tc>
      </w:tr>
      <w:tr w14:paraId="48652E0B">
        <w:tblPrEx>
          <w:tblCellMar>
            <w:top w:w="0" w:type="dxa"/>
            <w:left w:w="108" w:type="dxa"/>
            <w:bottom w:w="0" w:type="dxa"/>
            <w:right w:w="108" w:type="dxa"/>
          </w:tblCellMar>
        </w:tblPrEx>
        <w:tc>
          <w:tcPr>
            <w:tcW w:w="8848" w:type="dxa"/>
            <w:gridSpan w:val="14"/>
            <w:vAlign w:val="center"/>
          </w:tcPr>
          <w:p w14:paraId="0F9E80D7">
            <w:pPr>
              <w:jc w:val="center"/>
            </w:pPr>
            <w:r>
              <w:rPr>
                <w:rFonts w:ascii="宋体" w:hAnsi="宋体" w:eastAsia="宋体"/>
                <w:sz w:val="24"/>
              </w:rPr>
              <w:t>(2024年度)</w:t>
            </w:r>
          </w:p>
        </w:tc>
      </w:tr>
      <w:tr w14:paraId="0CE8A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EC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214545">
            <w:pPr>
              <w:jc w:val="center"/>
            </w:pPr>
            <w:r>
              <w:rPr>
                <w:rFonts w:ascii="宋体" w:hAnsi="宋体" w:eastAsia="宋体"/>
                <w:sz w:val="16"/>
              </w:rPr>
              <w:t>山东援疆柔性人才经费项目</w:t>
            </w:r>
          </w:p>
        </w:tc>
      </w:tr>
      <w:tr w14:paraId="00EBA2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1A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855B4">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C4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7CDCF">
            <w:pPr>
              <w:jc w:val="center"/>
            </w:pPr>
            <w:r>
              <w:rPr>
                <w:rFonts w:ascii="宋体" w:hAnsi="宋体" w:eastAsia="宋体"/>
                <w:sz w:val="16"/>
              </w:rPr>
              <w:t>新疆维吾尔自治区喀什地区少数民族小学教师培训中心</w:t>
            </w:r>
          </w:p>
        </w:tc>
      </w:tr>
      <w:tr w14:paraId="5FC29C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72D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84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8E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080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0E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785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B1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4CEB">
            <w:pPr>
              <w:jc w:val="center"/>
            </w:pPr>
            <w:r>
              <w:rPr>
                <w:rFonts w:ascii="宋体" w:hAnsi="宋体" w:eastAsia="宋体"/>
                <w:sz w:val="16"/>
              </w:rPr>
              <w:t>得分</w:t>
            </w:r>
          </w:p>
        </w:tc>
      </w:tr>
      <w:tr w14:paraId="1C1FA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B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D1C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0AC0">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4915F">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E9CF6">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13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BF2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8D25">
            <w:pPr>
              <w:jc w:val="center"/>
            </w:pPr>
            <w:r>
              <w:rPr>
                <w:rFonts w:ascii="宋体" w:hAnsi="宋体" w:eastAsia="宋体"/>
                <w:sz w:val="16"/>
              </w:rPr>
              <w:t>10.00分</w:t>
            </w:r>
          </w:p>
        </w:tc>
      </w:tr>
      <w:tr w14:paraId="13107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5EE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65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A7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CA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B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45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6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5C6F">
            <w:pPr>
              <w:jc w:val="center"/>
            </w:pPr>
            <w:r>
              <w:rPr>
                <w:rFonts w:ascii="宋体" w:hAnsi="宋体" w:eastAsia="宋体"/>
                <w:sz w:val="16"/>
              </w:rPr>
              <w:t>—</w:t>
            </w:r>
          </w:p>
        </w:tc>
      </w:tr>
      <w:tr w14:paraId="5684E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23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BA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52A8">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64A7">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352B">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E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D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8C56">
            <w:pPr>
              <w:jc w:val="center"/>
            </w:pPr>
            <w:r>
              <w:rPr>
                <w:rFonts w:ascii="宋体" w:hAnsi="宋体" w:eastAsia="宋体"/>
                <w:sz w:val="16"/>
              </w:rPr>
              <w:t>—</w:t>
            </w:r>
          </w:p>
        </w:tc>
      </w:tr>
      <w:tr w14:paraId="00663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582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F14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B3A82">
            <w:pPr>
              <w:jc w:val="center"/>
            </w:pPr>
            <w:r>
              <w:rPr>
                <w:rFonts w:ascii="宋体" w:hAnsi="宋体" w:eastAsia="宋体"/>
                <w:sz w:val="16"/>
              </w:rPr>
              <w:t>实际完成情况</w:t>
            </w:r>
          </w:p>
        </w:tc>
      </w:tr>
      <w:tr w14:paraId="09856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28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D3584">
            <w:pPr>
              <w:jc w:val="both"/>
            </w:pPr>
            <w:r>
              <w:rPr>
                <w:rFonts w:ascii="宋体" w:hAnsi="宋体" w:eastAsia="宋体"/>
                <w:sz w:val="16"/>
              </w:rPr>
              <w:t>做好柔性人才在疆期间管理保障，促进对喀什地区教师培训中心的援助工作，有效提高喀什地区教师培训中心教育教学能力水平。保障5名山东援疆柔性人才在疆期间生活费及交通费。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2D423">
            <w:pPr>
              <w:jc w:val="both"/>
            </w:pPr>
            <w:r>
              <w:rPr>
                <w:rFonts w:ascii="宋体" w:hAnsi="宋体" w:eastAsia="宋体"/>
                <w:sz w:val="16"/>
              </w:rPr>
              <w:t>本年度内已完成给5位山东援疆教师发放在疆期间的生活费及往返交通费。此项目分两次发放，第一次于2024年4月发放生活补助15万元，交通补助7.16万元；第二次于2024年10月15日发放，生活补助15万元，因而补助发放覆盖率达到100%。通过发放这些补助费保障了5位援疆老师在疆期间的生活情况。同时这5位老师根据喀什地区教师培训中心的需要，扎扎实实开展工作，充分发挥援疆教师的示范、带动、引领、帮扶作用，取得了良好的成效。</w:t>
            </w:r>
          </w:p>
        </w:tc>
      </w:tr>
      <w:tr w14:paraId="68864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CAD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67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CC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97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6C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6D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93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DE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88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8C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C3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30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F1C51">
            <w:pPr>
              <w:jc w:val="center"/>
            </w:pPr>
            <w:r>
              <w:rPr>
                <w:rFonts w:ascii="宋体" w:hAnsi="宋体" w:eastAsia="宋体"/>
                <w:sz w:val="16"/>
              </w:rPr>
              <w:t>偏差原因分析及改进措施</w:t>
            </w:r>
          </w:p>
        </w:tc>
      </w:tr>
      <w:tr w14:paraId="43321C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AB5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E37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3C3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6E58">
            <w:pPr>
              <w:jc w:val="center"/>
            </w:pPr>
            <w:r>
              <w:rPr>
                <w:rFonts w:ascii="宋体" w:hAnsi="宋体" w:eastAsia="宋体"/>
                <w:sz w:val="16"/>
              </w:rPr>
              <w:t>柔性人才数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9A6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3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1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E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15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38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D5F5">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F3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84BD">
            <w:pPr>
              <w:jc w:val="center"/>
            </w:pPr>
          </w:p>
        </w:tc>
      </w:tr>
      <w:tr w14:paraId="349B4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B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5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C7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FC78">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852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2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6A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5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2F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06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0F0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72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6827">
            <w:pPr>
              <w:jc w:val="center"/>
            </w:pPr>
          </w:p>
        </w:tc>
      </w:tr>
      <w:tr w14:paraId="671D8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C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CB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73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61BB">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6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8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49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C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9B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C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4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B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42A8E">
            <w:pPr>
              <w:jc w:val="center"/>
            </w:pPr>
          </w:p>
        </w:tc>
      </w:tr>
      <w:tr w14:paraId="44E3F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9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0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A0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BE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3CC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8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F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DF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4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47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7FC5">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10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0454E">
            <w:pPr>
              <w:jc w:val="center"/>
            </w:pPr>
          </w:p>
        </w:tc>
      </w:tr>
      <w:tr w14:paraId="32D9E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3A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ED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BC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A5E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D57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A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4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BC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A2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BF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96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47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1FDB">
            <w:pPr>
              <w:jc w:val="center"/>
            </w:pPr>
          </w:p>
        </w:tc>
      </w:tr>
      <w:tr w14:paraId="34B13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2D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D3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D9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3BE4">
            <w:pPr>
              <w:jc w:val="center"/>
            </w:pPr>
            <w:r>
              <w:rPr>
                <w:rFonts w:ascii="宋体" w:hAnsi="宋体" w:eastAsia="宋体"/>
                <w:sz w:val="16"/>
              </w:rPr>
              <w:t>促进文化交流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043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69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4A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B5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EE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1A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519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16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C1C7A">
            <w:pPr>
              <w:jc w:val="center"/>
            </w:pPr>
          </w:p>
        </w:tc>
      </w:tr>
      <w:tr w14:paraId="68CF4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E2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F3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F0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7AC3">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89A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8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F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8A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8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B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AB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FC31">
            <w:pPr>
              <w:jc w:val="center"/>
            </w:pPr>
            <w:r>
              <w:rPr>
                <w:rFonts w:ascii="宋体" w:hAnsi="宋体" w:eastAsia="宋体"/>
                <w:sz w:val="16"/>
              </w:rPr>
              <w:t>偏差原因：年初预算绩效指标设置不合理，指标设置过低。改进措施：加强项目管理人员制度性培训学习，提高绩效目标质量，提升预算精细化管理水平。</w:t>
            </w:r>
          </w:p>
        </w:tc>
      </w:tr>
      <w:tr w14:paraId="2D91BEB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189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42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081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72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11E6DF"/>
        </w:tc>
      </w:tr>
    </w:tbl>
    <w:p w14:paraId="797E80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4478F48">
        <w:tblPrEx>
          <w:tblCellMar>
            <w:top w:w="0" w:type="dxa"/>
            <w:left w:w="108" w:type="dxa"/>
            <w:bottom w:w="0" w:type="dxa"/>
            <w:right w:w="108" w:type="dxa"/>
          </w:tblCellMar>
        </w:tblPrEx>
        <w:tc>
          <w:tcPr>
            <w:tcW w:w="8848" w:type="dxa"/>
            <w:gridSpan w:val="14"/>
            <w:vAlign w:val="center"/>
          </w:tcPr>
          <w:p w14:paraId="6DB58D93">
            <w:pPr>
              <w:jc w:val="center"/>
            </w:pPr>
            <w:r>
              <w:rPr>
                <w:rFonts w:ascii="宋体" w:hAnsi="宋体" w:eastAsia="宋体"/>
                <w:sz w:val="24"/>
              </w:rPr>
              <w:t>项目支出绩效自评表</w:t>
            </w:r>
          </w:p>
        </w:tc>
      </w:tr>
      <w:tr w14:paraId="3F7359B4">
        <w:tblPrEx>
          <w:tblCellMar>
            <w:top w:w="0" w:type="dxa"/>
            <w:left w:w="108" w:type="dxa"/>
            <w:bottom w:w="0" w:type="dxa"/>
            <w:right w:w="108" w:type="dxa"/>
          </w:tblCellMar>
        </w:tblPrEx>
        <w:tc>
          <w:tcPr>
            <w:tcW w:w="8848" w:type="dxa"/>
            <w:gridSpan w:val="14"/>
            <w:vAlign w:val="center"/>
          </w:tcPr>
          <w:p w14:paraId="4695AFDD">
            <w:pPr>
              <w:jc w:val="center"/>
            </w:pPr>
            <w:r>
              <w:rPr>
                <w:rFonts w:ascii="宋体" w:hAnsi="宋体" w:eastAsia="宋体"/>
                <w:sz w:val="24"/>
              </w:rPr>
              <w:t>(2024年度)</w:t>
            </w:r>
          </w:p>
        </w:tc>
      </w:tr>
      <w:tr w14:paraId="16621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18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6C65B">
            <w:pPr>
              <w:jc w:val="center"/>
            </w:pPr>
            <w:r>
              <w:rPr>
                <w:rFonts w:ascii="宋体" w:hAnsi="宋体" w:eastAsia="宋体"/>
                <w:sz w:val="16"/>
              </w:rPr>
              <w:t>标准化考场设备采购项目</w:t>
            </w:r>
          </w:p>
        </w:tc>
      </w:tr>
      <w:tr w14:paraId="378002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91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78741">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D0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5F7F91">
            <w:pPr>
              <w:jc w:val="center"/>
            </w:pPr>
            <w:r>
              <w:rPr>
                <w:rFonts w:ascii="宋体" w:hAnsi="宋体" w:eastAsia="宋体"/>
                <w:sz w:val="16"/>
              </w:rPr>
              <w:t>新疆维吾尔自治区喀什地区少数民族小学教师培训中心</w:t>
            </w:r>
          </w:p>
        </w:tc>
      </w:tr>
      <w:tr w14:paraId="54903A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9C6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24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ED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2EE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63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17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E8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9D3F">
            <w:pPr>
              <w:jc w:val="center"/>
            </w:pPr>
            <w:r>
              <w:rPr>
                <w:rFonts w:ascii="宋体" w:hAnsi="宋体" w:eastAsia="宋体"/>
                <w:sz w:val="16"/>
              </w:rPr>
              <w:t>得分</w:t>
            </w:r>
          </w:p>
        </w:tc>
      </w:tr>
      <w:tr w14:paraId="189BA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1B5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E0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A722">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98F54">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A73A3">
            <w:pPr>
              <w:jc w:val="center"/>
            </w:pPr>
            <w:r>
              <w:rPr>
                <w:rFonts w:ascii="宋体" w:hAnsi="宋体" w:eastAsia="宋体"/>
                <w:sz w:val="16"/>
              </w:rPr>
              <w:t>33.63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D7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3AEA">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251F">
            <w:pPr>
              <w:jc w:val="center"/>
            </w:pPr>
            <w:r>
              <w:rPr>
                <w:rFonts w:ascii="宋体" w:hAnsi="宋体" w:eastAsia="宋体"/>
                <w:sz w:val="16"/>
              </w:rPr>
              <w:t>10.00分</w:t>
            </w:r>
          </w:p>
        </w:tc>
      </w:tr>
      <w:tr w14:paraId="0B4F5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562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6D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61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BE8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D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A0E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1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7A52">
            <w:pPr>
              <w:jc w:val="center"/>
            </w:pPr>
            <w:r>
              <w:rPr>
                <w:rFonts w:ascii="宋体" w:hAnsi="宋体" w:eastAsia="宋体"/>
                <w:sz w:val="16"/>
              </w:rPr>
              <w:t>—</w:t>
            </w:r>
          </w:p>
        </w:tc>
      </w:tr>
      <w:tr w14:paraId="6F69F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A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57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883B">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4254">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7DB9">
            <w:pPr>
              <w:jc w:val="center"/>
            </w:pPr>
            <w:r>
              <w:rPr>
                <w:rFonts w:ascii="宋体" w:hAnsi="宋体" w:eastAsia="宋体"/>
                <w:sz w:val="16"/>
              </w:rPr>
              <w:t>33.64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C6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9E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7D3C">
            <w:pPr>
              <w:jc w:val="center"/>
            </w:pPr>
            <w:r>
              <w:rPr>
                <w:rFonts w:ascii="宋体" w:hAnsi="宋体" w:eastAsia="宋体"/>
                <w:sz w:val="16"/>
              </w:rPr>
              <w:t>—</w:t>
            </w:r>
          </w:p>
        </w:tc>
      </w:tr>
      <w:tr w14:paraId="0EE58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14D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291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803A05">
            <w:pPr>
              <w:jc w:val="center"/>
            </w:pPr>
            <w:r>
              <w:rPr>
                <w:rFonts w:ascii="宋体" w:hAnsi="宋体" w:eastAsia="宋体"/>
                <w:sz w:val="16"/>
              </w:rPr>
              <w:t>实际完成情况</w:t>
            </w:r>
          </w:p>
        </w:tc>
      </w:tr>
      <w:tr w14:paraId="68644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462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29279">
            <w:pPr>
              <w:jc w:val="both"/>
            </w:pPr>
            <w:r>
              <w:rPr>
                <w:rFonts w:ascii="宋体" w:hAnsi="宋体" w:eastAsia="宋体"/>
                <w:sz w:val="16"/>
              </w:rPr>
              <w:t>根据地区教育局的安排，开设标准化考场60件，采购防作弊设备一批，防止考生作弊行为，确保</w:t>
            </w:r>
            <w:r>
              <w:rPr>
                <w:rFonts w:hint="eastAsia" w:ascii="宋体" w:hAnsi="宋体"/>
                <w:sz w:val="16"/>
                <w:lang w:eastAsia="zh-CN"/>
              </w:rPr>
              <w:t>考试</w:t>
            </w:r>
            <w:r>
              <w:rPr>
                <w:rFonts w:ascii="宋体" w:hAnsi="宋体" w:eastAsia="宋体"/>
                <w:sz w:val="16"/>
              </w:rPr>
              <w:t>公平性。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BA54ED">
            <w:pPr>
              <w:jc w:val="both"/>
            </w:pPr>
            <w:r>
              <w:rPr>
                <w:rFonts w:ascii="宋体" w:hAnsi="宋体" w:eastAsia="宋体"/>
                <w:sz w:val="16"/>
              </w:rPr>
              <w:t>本年度内此项目已完成购置一批防作弊设备，并验收合格率达到100%，政府采购率达到100%。此批设备验收合格后开始运行一段时间了，通过使用这些设备有效提高了监考任务，杜绝作弊行为。不仅有效保障了考试的公正性，更为教育公平开辟了新路径，实现了社会效益与教育质量的双重提升。</w:t>
            </w:r>
          </w:p>
        </w:tc>
      </w:tr>
      <w:tr w14:paraId="2B8E49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A52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5D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3A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C7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24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A5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2F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D3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09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E2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E2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32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7B06">
            <w:pPr>
              <w:jc w:val="center"/>
            </w:pPr>
            <w:r>
              <w:rPr>
                <w:rFonts w:ascii="宋体" w:hAnsi="宋体" w:eastAsia="宋体"/>
                <w:sz w:val="16"/>
              </w:rPr>
              <w:t>偏差原因分析及改进措施</w:t>
            </w:r>
          </w:p>
        </w:tc>
      </w:tr>
      <w:tr w14:paraId="4ACA91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97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1AC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0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CF8C">
            <w:pPr>
              <w:jc w:val="center"/>
            </w:pPr>
            <w:r>
              <w:rPr>
                <w:rFonts w:ascii="宋体" w:hAnsi="宋体" w:eastAsia="宋体"/>
                <w:sz w:val="16"/>
              </w:rPr>
              <w:t>购置防作弊设备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A1E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1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DA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7E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0F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77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674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2C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51A1">
            <w:pPr>
              <w:jc w:val="center"/>
            </w:pPr>
          </w:p>
        </w:tc>
      </w:tr>
      <w:tr w14:paraId="0BED7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49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479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B86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B74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5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2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B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C7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92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1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C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2E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6A7DC">
            <w:pPr>
              <w:jc w:val="center"/>
            </w:pPr>
          </w:p>
        </w:tc>
      </w:tr>
      <w:tr w14:paraId="4EA8E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BE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83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B8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7FD3">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E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C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5E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9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02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01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B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2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B3100">
            <w:pPr>
              <w:jc w:val="center"/>
            </w:pPr>
          </w:p>
        </w:tc>
      </w:tr>
      <w:tr w14:paraId="0AD9F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F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9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6B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1F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5CC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A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F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4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D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D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C7E9">
            <w:pPr>
              <w:jc w:val="center"/>
            </w:pPr>
            <w:r>
              <w:rPr>
                <w:rFonts w:ascii="宋体" w:hAnsi="宋体" w:eastAsia="宋体"/>
                <w:sz w:val="16"/>
              </w:rPr>
              <w:t>=2024年10月14日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97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A261">
            <w:pPr>
              <w:jc w:val="center"/>
            </w:pPr>
          </w:p>
        </w:tc>
      </w:tr>
      <w:tr w14:paraId="14CD6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E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A4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D4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D8F9">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C4D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4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5F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BF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9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9C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E10E">
            <w:pPr>
              <w:jc w:val="center"/>
            </w:pPr>
            <w:r>
              <w:rPr>
                <w:rFonts w:ascii="宋体" w:hAnsi="宋体" w:eastAsia="宋体"/>
                <w:sz w:val="16"/>
              </w:rPr>
              <w:t>=0.07%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02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210D">
            <w:pPr>
              <w:jc w:val="center"/>
            </w:pPr>
          </w:p>
        </w:tc>
      </w:tr>
      <w:tr w14:paraId="62016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22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3B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81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066F">
            <w:pPr>
              <w:jc w:val="center"/>
            </w:pPr>
            <w:r>
              <w:rPr>
                <w:rFonts w:ascii="宋体" w:hAnsi="宋体" w:eastAsia="宋体"/>
                <w:sz w:val="16"/>
              </w:rPr>
              <w:t>防止考生作弊行为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BB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C6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5B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85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83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8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B21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8F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F6541">
            <w:pPr>
              <w:jc w:val="center"/>
            </w:pPr>
          </w:p>
        </w:tc>
      </w:tr>
      <w:tr w14:paraId="2C937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FC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91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F9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1AE4">
            <w:pPr>
              <w:jc w:val="center"/>
            </w:pPr>
            <w:r>
              <w:rPr>
                <w:rFonts w:ascii="宋体" w:hAnsi="宋体" w:eastAsia="宋体"/>
                <w:sz w:val="16"/>
              </w:rPr>
              <w:t>普通话监考教师满意度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C7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E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3C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BC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2D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5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3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E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34B6">
            <w:pPr>
              <w:jc w:val="center"/>
            </w:pPr>
            <w:r>
              <w:rPr>
                <w:rFonts w:ascii="宋体" w:hAnsi="宋体" w:eastAsia="宋体"/>
                <w:sz w:val="16"/>
              </w:rPr>
              <w:t>偏差原因：年初目标指标值设的比较低，导致实际值比目标值高。改进措施：严格要求项目库录入的指标与政府采购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091538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698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BA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515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13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8A06D2"/>
        </w:tc>
      </w:tr>
    </w:tbl>
    <w:p w14:paraId="4FE2F896">
      <w:r>
        <w:br w:type="page"/>
      </w:r>
    </w:p>
    <w:p w14:paraId="1CAAF57D">
      <w:pPr>
        <w:spacing w:line="640" w:lineRule="exact"/>
        <w:ind w:firstLine="640"/>
        <w:jc w:val="both"/>
        <w:outlineLvl w:val="2"/>
      </w:pPr>
      <w:r>
        <w:rPr>
          <w:rFonts w:ascii="黑体" w:hAnsi="黑体" w:eastAsia="黑体"/>
          <w:sz w:val="32"/>
        </w:rPr>
        <w:t>十二、其他需说明的事项</w:t>
      </w:r>
    </w:p>
    <w:p w14:paraId="618DED34">
      <w:pPr>
        <w:spacing w:line="580" w:lineRule="exact"/>
        <w:ind w:firstLine="640"/>
        <w:jc w:val="both"/>
      </w:pPr>
      <w:r>
        <w:rPr>
          <w:rFonts w:ascii="仿宋_GB2312" w:hAnsi="仿宋_GB2312" w:eastAsia="仿宋_GB2312"/>
          <w:b w:val="0"/>
          <w:sz w:val="32"/>
        </w:rPr>
        <w:t>本部门无其他需说明的事项。</w:t>
      </w:r>
    </w:p>
    <w:p w14:paraId="7A9D26D7">
      <w:r>
        <w:br w:type="page"/>
      </w:r>
    </w:p>
    <w:p w14:paraId="46BA602E">
      <w:pPr>
        <w:spacing w:line="240" w:lineRule="auto"/>
        <w:jc w:val="center"/>
        <w:outlineLvl w:val="1"/>
      </w:pPr>
      <w:r>
        <w:rPr>
          <w:rFonts w:ascii="黑体" w:hAnsi="黑体" w:eastAsia="黑体"/>
          <w:sz w:val="32"/>
        </w:rPr>
        <w:t>第三部分 专业名词解释</w:t>
      </w:r>
    </w:p>
    <w:p w14:paraId="3EC0EB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9759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69B3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63CB8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8FA8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A43D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7CBB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E1F1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53B4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B5051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8B49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985B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D47A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38D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712B41">
      <w:r>
        <w:br w:type="page"/>
      </w:r>
    </w:p>
    <w:p w14:paraId="6F15D872">
      <w:pPr>
        <w:spacing w:line="240" w:lineRule="auto"/>
        <w:jc w:val="center"/>
        <w:outlineLvl w:val="1"/>
      </w:pPr>
      <w:r>
        <w:rPr>
          <w:rFonts w:ascii="黑体" w:hAnsi="黑体" w:eastAsia="黑体"/>
          <w:sz w:val="32"/>
        </w:rPr>
        <w:t>第四部分 部门决算报表（见附表）</w:t>
      </w:r>
    </w:p>
    <w:p w14:paraId="60714DD4">
      <w:pPr>
        <w:spacing w:line="240" w:lineRule="auto"/>
        <w:ind w:firstLine="640"/>
        <w:jc w:val="both"/>
      </w:pPr>
      <w:r>
        <w:rPr>
          <w:rFonts w:ascii="仿宋_GB2312" w:hAnsi="仿宋_GB2312" w:eastAsia="仿宋_GB2312"/>
          <w:b w:val="0"/>
          <w:sz w:val="32"/>
        </w:rPr>
        <w:t>一、《收入支出决算总表》</w:t>
      </w:r>
    </w:p>
    <w:p w14:paraId="78D5EC7C">
      <w:pPr>
        <w:spacing w:line="240" w:lineRule="auto"/>
        <w:ind w:firstLine="640"/>
        <w:jc w:val="both"/>
      </w:pPr>
      <w:r>
        <w:rPr>
          <w:rFonts w:ascii="仿宋_GB2312" w:hAnsi="仿宋_GB2312" w:eastAsia="仿宋_GB2312"/>
          <w:b w:val="0"/>
          <w:sz w:val="32"/>
        </w:rPr>
        <w:t>二、《收入决算表》</w:t>
      </w:r>
    </w:p>
    <w:p w14:paraId="7F6E74FC">
      <w:pPr>
        <w:spacing w:line="240" w:lineRule="auto"/>
        <w:ind w:firstLine="640"/>
        <w:jc w:val="both"/>
      </w:pPr>
      <w:r>
        <w:rPr>
          <w:rFonts w:ascii="仿宋_GB2312" w:hAnsi="仿宋_GB2312" w:eastAsia="仿宋_GB2312"/>
          <w:b w:val="0"/>
          <w:sz w:val="32"/>
        </w:rPr>
        <w:t>三、《支出决算表》</w:t>
      </w:r>
    </w:p>
    <w:p w14:paraId="10383F5E">
      <w:pPr>
        <w:spacing w:line="240" w:lineRule="auto"/>
        <w:ind w:firstLine="640"/>
        <w:jc w:val="both"/>
      </w:pPr>
      <w:r>
        <w:rPr>
          <w:rFonts w:ascii="仿宋_GB2312" w:hAnsi="仿宋_GB2312" w:eastAsia="仿宋_GB2312"/>
          <w:b w:val="0"/>
          <w:sz w:val="32"/>
        </w:rPr>
        <w:t>四、《财政拨款收入支出决算总表》</w:t>
      </w:r>
    </w:p>
    <w:p w14:paraId="059C2B69">
      <w:pPr>
        <w:spacing w:line="240" w:lineRule="auto"/>
        <w:ind w:firstLine="640"/>
        <w:jc w:val="both"/>
      </w:pPr>
      <w:r>
        <w:rPr>
          <w:rFonts w:ascii="仿宋_GB2312" w:hAnsi="仿宋_GB2312" w:eastAsia="仿宋_GB2312"/>
          <w:b w:val="0"/>
          <w:sz w:val="32"/>
        </w:rPr>
        <w:t>五、《一般公共预算财政拨款支出决算表》</w:t>
      </w:r>
    </w:p>
    <w:p w14:paraId="60B92CB2">
      <w:pPr>
        <w:spacing w:line="240" w:lineRule="auto"/>
        <w:ind w:firstLine="640"/>
        <w:jc w:val="both"/>
      </w:pPr>
      <w:r>
        <w:rPr>
          <w:rFonts w:ascii="仿宋_GB2312" w:hAnsi="仿宋_GB2312" w:eastAsia="仿宋_GB2312"/>
          <w:b w:val="0"/>
          <w:sz w:val="32"/>
        </w:rPr>
        <w:t>六、《一般公共预算财政拨款基本支出决算表》</w:t>
      </w:r>
    </w:p>
    <w:p w14:paraId="2BEDA917">
      <w:pPr>
        <w:spacing w:line="240" w:lineRule="auto"/>
        <w:ind w:firstLine="640"/>
        <w:jc w:val="both"/>
      </w:pPr>
      <w:r>
        <w:rPr>
          <w:rFonts w:ascii="仿宋_GB2312" w:hAnsi="仿宋_GB2312" w:eastAsia="仿宋_GB2312"/>
          <w:b w:val="0"/>
          <w:sz w:val="32"/>
        </w:rPr>
        <w:t>七、《政府性基金预算财政拨款收入支出决算表》</w:t>
      </w:r>
    </w:p>
    <w:p w14:paraId="13BCCAD2">
      <w:pPr>
        <w:spacing w:line="240" w:lineRule="auto"/>
        <w:ind w:firstLine="640"/>
        <w:jc w:val="both"/>
      </w:pPr>
      <w:r>
        <w:rPr>
          <w:rFonts w:ascii="仿宋_GB2312" w:hAnsi="仿宋_GB2312" w:eastAsia="仿宋_GB2312"/>
          <w:b w:val="0"/>
          <w:sz w:val="32"/>
        </w:rPr>
        <w:t>八、《国有资本经营预算财政拨款收入支出决算表》</w:t>
      </w:r>
    </w:p>
    <w:p w14:paraId="5A524E39">
      <w:pPr>
        <w:spacing w:line="240" w:lineRule="auto"/>
        <w:ind w:firstLine="640"/>
        <w:jc w:val="both"/>
      </w:pPr>
      <w:r>
        <w:rPr>
          <w:rFonts w:ascii="仿宋_GB2312" w:hAnsi="仿宋_GB2312" w:eastAsia="仿宋_GB2312"/>
          <w:b w:val="0"/>
          <w:sz w:val="32"/>
        </w:rPr>
        <w:t>九、《财政拨款“三公”经费支出决算表》</w:t>
      </w:r>
    </w:p>
    <w:p w14:paraId="1ACFDF6D">
      <w:pPr>
        <w:spacing w:line="240" w:lineRule="auto"/>
        <w:ind w:firstLine="640"/>
        <w:jc w:val="both"/>
      </w:pPr>
    </w:p>
    <w:p w14:paraId="537C9139">
      <w:pPr>
        <w:spacing w:line="240" w:lineRule="auto"/>
        <w:ind w:firstLine="640"/>
        <w:jc w:val="both"/>
      </w:pPr>
    </w:p>
    <w:p w14:paraId="06BAB6DA">
      <w:pPr>
        <w:spacing w:line="240" w:lineRule="auto"/>
        <w:ind w:firstLine="640"/>
        <w:jc w:val="both"/>
      </w:pPr>
    </w:p>
    <w:p w14:paraId="430FC194">
      <w:pPr>
        <w:spacing w:line="240" w:lineRule="auto"/>
        <w:ind w:firstLine="640"/>
        <w:jc w:val="both"/>
      </w:pPr>
    </w:p>
    <w:p w14:paraId="7EDF2A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17028D3-8652-4D65-8FDF-162E2A7555E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811F3FF-7108-457A-BFFB-1415420E0A81}"/>
  </w:font>
  <w:font w:name="方正小标宋_GBK">
    <w:panose1 w:val="02000000000000000000"/>
    <w:charset w:val="86"/>
    <w:family w:val="script"/>
    <w:pitch w:val="default"/>
    <w:sig w:usb0="A00002BF" w:usb1="38CF7CFA" w:usb2="00082016" w:usb3="00000000" w:csb0="00040001" w:csb1="00000000"/>
    <w:embedRegular r:id="rId3" w:fontKey="{ACB5E1C5-7691-444B-AF4C-9D25C2B36F27}"/>
  </w:font>
  <w:font w:name="楷体_GB2312">
    <w:panose1 w:val="02010609030101010101"/>
    <w:charset w:val="86"/>
    <w:family w:val="auto"/>
    <w:pitch w:val="default"/>
    <w:sig w:usb0="00000001" w:usb1="080E0000" w:usb2="00000000" w:usb3="00000000" w:csb0="00040000" w:csb1="00000000"/>
    <w:embedRegular r:id="rId4" w:fontKey="{D07AA893-84C8-4A74-8C3A-2502930E51D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0C4EE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6E041A"/>
    <w:rsid w:val="464B7E04"/>
    <w:rsid w:val="464F7E64"/>
    <w:rsid w:val="46901EEE"/>
    <w:rsid w:val="469C74D2"/>
    <w:rsid w:val="47445515"/>
    <w:rsid w:val="4B4C0111"/>
    <w:rsid w:val="4BB23021"/>
    <w:rsid w:val="4F3F074E"/>
    <w:rsid w:val="50DB5F45"/>
    <w:rsid w:val="51006D5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4572</Words>
  <Characters>5187</Characters>
  <Lines>0</Lines>
  <Paragraphs>0</Paragraphs>
  <TotalTime>16</TotalTime>
  <ScaleCrop>false</ScaleCrop>
  <LinksUpToDate>false</LinksUpToDate>
  <CharactersWithSpaces>5195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2025-09-22T02:32:03Z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