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32BFD7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新疆维吾尔自治区喀什地区歌舞剧团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037E02">
      <w:r>
        <w:br w:type="page"/>
      </w:r>
    </w:p>
    <w:p w14:paraId="15E8BF9A">
      <w:pPr>
        <w:spacing w:line="640" w:lineRule="exact"/>
        <w:jc w:val="center"/>
        <w:outlineLvl w:val="1"/>
      </w:pPr>
      <w:r>
        <w:rPr>
          <w:rFonts w:ascii="黑体" w:hAnsi="黑体" w:eastAsia="黑体"/>
          <w:sz w:val="32"/>
        </w:rPr>
        <w:t>第一部分 部门概况</w:t>
      </w:r>
    </w:p>
    <w:p w14:paraId="0F233825">
      <w:pPr>
        <w:spacing w:line="640" w:lineRule="exact"/>
        <w:ind w:firstLine="640"/>
        <w:jc w:val="both"/>
        <w:outlineLvl w:val="2"/>
      </w:pPr>
      <w:r>
        <w:rPr>
          <w:rFonts w:ascii="黑体" w:hAnsi="黑体" w:eastAsia="黑体"/>
          <w:sz w:val="32"/>
        </w:rPr>
        <w:t>一、主要职能</w:t>
      </w:r>
    </w:p>
    <w:p w14:paraId="2FCAA32F">
      <w:pPr>
        <w:spacing w:line="580" w:lineRule="exact"/>
        <w:ind w:firstLine="640"/>
        <w:jc w:val="both"/>
      </w:pPr>
      <w:r>
        <w:rPr>
          <w:rFonts w:ascii="仿宋_GB2312" w:hAnsi="仿宋_GB2312" w:eastAsia="仿宋_GB2312"/>
          <w:sz w:val="32"/>
        </w:rPr>
        <w:t>本部门是自治区重点艺术表演团体之一，从事创作演出优秀歌舞剧目，繁荣地区文化艺术事业，承担地区大型活动，负责完成政府接待和三下乡的演出活动任务，面向基层，为广大群众服务，培训地县专业创作表演人才，承担地委，行署下达的各项演出任务，牢牢把握意识形态领域前沿阵地，争取民心，凝聚人心，打好主动仗，传播正能量。</w:t>
      </w:r>
    </w:p>
    <w:p w14:paraId="3B5A9AC5">
      <w:pPr>
        <w:spacing w:line="640" w:lineRule="exact"/>
        <w:ind w:firstLine="640"/>
        <w:jc w:val="both"/>
        <w:outlineLvl w:val="2"/>
      </w:pPr>
      <w:r>
        <w:rPr>
          <w:rFonts w:ascii="黑体" w:hAnsi="黑体" w:eastAsia="黑体"/>
          <w:sz w:val="32"/>
        </w:rPr>
        <w:t>二、机构设置及人员情况</w:t>
      </w:r>
    </w:p>
    <w:p w14:paraId="00F844A3">
      <w:pPr>
        <w:spacing w:line="580" w:lineRule="exact"/>
        <w:ind w:firstLine="640"/>
        <w:jc w:val="both"/>
      </w:pPr>
      <w:r>
        <w:rPr>
          <w:rFonts w:ascii="仿宋_GB2312" w:hAnsi="仿宋_GB2312" w:eastAsia="仿宋_GB2312"/>
          <w:sz w:val="32"/>
        </w:rPr>
        <w:t>新疆维吾尔自治区喀什地区歌舞剧团2024年度，实有人数201人，其中：在职人员134人，增加4人；离休人员0人，增加0人；退休人员67人,增加5人。</w:t>
      </w:r>
    </w:p>
    <w:p w14:paraId="06CC9C32">
      <w:pPr>
        <w:spacing w:line="580" w:lineRule="exact"/>
        <w:ind w:firstLine="640"/>
        <w:jc w:val="both"/>
      </w:pPr>
      <w:r>
        <w:rPr>
          <w:rFonts w:ascii="仿宋_GB2312" w:hAnsi="仿宋_GB2312" w:eastAsia="仿宋_GB2312"/>
          <w:sz w:val="32"/>
        </w:rPr>
        <w:t>新疆维吾尔自治区喀什地区歌舞剧团无下属预算单位，下设6个科室，分别是：行政办公室、话剧队、舞蹈队、乐队、舞美队、编创室。</w:t>
      </w:r>
    </w:p>
    <w:p w14:paraId="098364C5">
      <w:r>
        <w:br w:type="page"/>
      </w:r>
    </w:p>
    <w:p w14:paraId="52BF0FDE">
      <w:pPr>
        <w:spacing w:line="240" w:lineRule="auto"/>
        <w:jc w:val="center"/>
        <w:outlineLvl w:val="1"/>
      </w:pPr>
      <w:r>
        <w:rPr>
          <w:rFonts w:ascii="黑体" w:hAnsi="黑体" w:eastAsia="黑体"/>
          <w:sz w:val="32"/>
        </w:rPr>
        <w:t>第二部分 部门决算情况说明</w:t>
      </w:r>
    </w:p>
    <w:p w14:paraId="3CEE1D75">
      <w:pPr>
        <w:spacing w:line="640" w:lineRule="exact"/>
        <w:ind w:firstLine="640"/>
        <w:jc w:val="both"/>
        <w:outlineLvl w:val="2"/>
      </w:pPr>
      <w:r>
        <w:rPr>
          <w:rFonts w:ascii="黑体" w:hAnsi="黑体" w:eastAsia="黑体"/>
          <w:sz w:val="32"/>
        </w:rPr>
        <w:t>一、收入支出决算总体情况说明</w:t>
      </w:r>
    </w:p>
    <w:p w14:paraId="09D75AD1">
      <w:pPr>
        <w:spacing w:line="580" w:lineRule="exact"/>
        <w:ind w:firstLine="640"/>
        <w:jc w:val="both"/>
      </w:pPr>
      <w:r>
        <w:rPr>
          <w:rFonts w:ascii="仿宋_GB2312" w:hAnsi="仿宋_GB2312" w:eastAsia="仿宋_GB2312"/>
          <w:b/>
          <w:sz w:val="32"/>
        </w:rPr>
        <w:t>2024年度收入总计3,140.50万元，</w:t>
      </w:r>
      <w:r>
        <w:rPr>
          <w:rFonts w:ascii="仿宋_GB2312" w:hAnsi="仿宋_GB2312" w:eastAsia="仿宋_GB2312"/>
          <w:b w:val="0"/>
          <w:sz w:val="32"/>
        </w:rPr>
        <w:t>其中：本年收入合计3,026.53万元，使用非财政拨款结余（含专用结余）0.00万元，年初结转和结余113.97万元。</w:t>
      </w:r>
    </w:p>
    <w:p w14:paraId="45B15920">
      <w:pPr>
        <w:spacing w:line="580" w:lineRule="exact"/>
        <w:ind w:firstLine="640"/>
        <w:jc w:val="both"/>
      </w:pPr>
      <w:r>
        <w:rPr>
          <w:rFonts w:ascii="仿宋_GB2312" w:hAnsi="仿宋_GB2312" w:eastAsia="仿宋_GB2312"/>
          <w:b/>
          <w:sz w:val="32"/>
        </w:rPr>
        <w:t>2024年度支出总计3,140.50万元，</w:t>
      </w:r>
      <w:r>
        <w:rPr>
          <w:rFonts w:ascii="仿宋_GB2312" w:hAnsi="仿宋_GB2312" w:eastAsia="仿宋_GB2312"/>
          <w:b w:val="0"/>
          <w:sz w:val="32"/>
        </w:rPr>
        <w:t>其中：本年支出合计3,046.53万元，结余分配0.00万元，年末结转和结余93.97万元。</w:t>
      </w:r>
    </w:p>
    <w:p w14:paraId="34A81531">
      <w:pPr>
        <w:spacing w:line="580" w:lineRule="exact"/>
        <w:ind w:firstLine="640"/>
        <w:jc w:val="both"/>
      </w:pPr>
      <w:r>
        <w:rPr>
          <w:rFonts w:ascii="仿宋_GB2312" w:hAnsi="仿宋_GB2312" w:eastAsia="仿宋_GB2312"/>
          <w:b w:val="0"/>
          <w:sz w:val="32"/>
        </w:rPr>
        <w:t>收入支出总体与上年相比，增加149.74万元，增长5.01%，主要原因是：本年在职人员增加，相关人员经费增加，增加专用材料费等经费，导致相关经费增加。</w:t>
      </w:r>
    </w:p>
    <w:p w14:paraId="59908A9E">
      <w:pPr>
        <w:spacing w:line="640" w:lineRule="exact"/>
        <w:ind w:firstLine="640"/>
        <w:jc w:val="both"/>
        <w:outlineLvl w:val="2"/>
      </w:pPr>
      <w:r>
        <w:rPr>
          <w:rFonts w:ascii="黑体" w:hAnsi="黑体" w:eastAsia="黑体"/>
          <w:sz w:val="32"/>
        </w:rPr>
        <w:t>二、收入决算情况说明</w:t>
      </w:r>
    </w:p>
    <w:p w14:paraId="65A7BF35">
      <w:pPr>
        <w:spacing w:line="580" w:lineRule="exact"/>
        <w:ind w:firstLine="640"/>
        <w:jc w:val="both"/>
      </w:pPr>
      <w:r>
        <w:rPr>
          <w:rFonts w:ascii="仿宋_GB2312" w:hAnsi="仿宋_GB2312" w:eastAsia="仿宋_GB2312"/>
          <w:b/>
          <w:sz w:val="32"/>
        </w:rPr>
        <w:t>本年收入3,026.53万元，</w:t>
      </w:r>
      <w:r>
        <w:rPr>
          <w:rFonts w:ascii="仿宋_GB2312" w:hAnsi="仿宋_GB2312" w:eastAsia="仿宋_GB2312"/>
          <w:b w:val="0"/>
          <w:sz w:val="32"/>
        </w:rPr>
        <w:t>其中：财政拨款收入2,906.53万元，占96.04%；上级补助收入0.00万元，占0.00%；事业收入0.00万元，占0.00%；经营收入0.00万元，占0.00%；附属单位上缴收入0.00万元，占0.00%；其他收入120.00万元，占3.96%。</w:t>
      </w:r>
    </w:p>
    <w:p w14:paraId="667AB898">
      <w:pPr>
        <w:spacing w:line="640" w:lineRule="exact"/>
        <w:ind w:firstLine="640"/>
        <w:jc w:val="both"/>
        <w:outlineLvl w:val="2"/>
      </w:pPr>
      <w:r>
        <w:rPr>
          <w:rFonts w:ascii="黑体" w:hAnsi="黑体" w:eastAsia="黑体"/>
          <w:sz w:val="32"/>
        </w:rPr>
        <w:t>三、支出决算情况说明</w:t>
      </w:r>
    </w:p>
    <w:p w14:paraId="291EA864">
      <w:pPr>
        <w:spacing w:line="580" w:lineRule="exact"/>
        <w:ind w:firstLine="640"/>
        <w:jc w:val="both"/>
      </w:pPr>
      <w:r>
        <w:rPr>
          <w:rFonts w:ascii="仿宋_GB2312" w:hAnsi="仿宋_GB2312" w:eastAsia="仿宋_GB2312"/>
          <w:b/>
          <w:sz w:val="32"/>
        </w:rPr>
        <w:t>本年支出3,046.53万元，</w:t>
      </w:r>
      <w:r>
        <w:rPr>
          <w:rFonts w:ascii="仿宋_GB2312" w:hAnsi="仿宋_GB2312" w:eastAsia="仿宋_GB2312"/>
          <w:b w:val="0"/>
          <w:sz w:val="32"/>
        </w:rPr>
        <w:t>其中：基本支出2,728.18万元，占89.55%；项目支出318.34万元，占10.45%；上缴上级支出0.00万元，占0.00%；经营支出0.00万元，占0.00%；对附属单位补助支出0.00万元，占0.00%。</w:t>
      </w:r>
    </w:p>
    <w:p w14:paraId="58F5815C">
      <w:pPr>
        <w:spacing w:line="640" w:lineRule="exact"/>
        <w:ind w:firstLine="640"/>
        <w:jc w:val="both"/>
        <w:outlineLvl w:val="2"/>
      </w:pPr>
      <w:r>
        <w:rPr>
          <w:rFonts w:ascii="黑体" w:hAnsi="黑体" w:eastAsia="黑体"/>
          <w:sz w:val="32"/>
        </w:rPr>
        <w:t>四、财政拨款收入支出决算总体情况说明</w:t>
      </w:r>
    </w:p>
    <w:p w14:paraId="6AB27CA1">
      <w:pPr>
        <w:spacing w:line="580" w:lineRule="exact"/>
        <w:ind w:firstLine="640"/>
        <w:jc w:val="both"/>
      </w:pPr>
      <w:r>
        <w:rPr>
          <w:rFonts w:ascii="仿宋_GB2312" w:hAnsi="仿宋_GB2312" w:eastAsia="仿宋_GB2312"/>
          <w:b/>
          <w:sz w:val="32"/>
        </w:rPr>
        <w:t>2024年度财政拨款收入总计2,906.53万元，</w:t>
      </w:r>
      <w:r>
        <w:rPr>
          <w:rFonts w:ascii="仿宋_GB2312" w:hAnsi="仿宋_GB2312" w:eastAsia="仿宋_GB2312"/>
          <w:b w:val="0"/>
          <w:sz w:val="32"/>
        </w:rPr>
        <w:t>其中：年初财政拨款结转和结余0.00万元，本年财政拨款收入2,906.53万元。</w:t>
      </w:r>
      <w:r>
        <w:rPr>
          <w:rFonts w:ascii="仿宋_GB2312" w:hAnsi="仿宋_GB2312" w:eastAsia="仿宋_GB2312"/>
          <w:b/>
          <w:sz w:val="32"/>
        </w:rPr>
        <w:t>财政拨款支出总计2,906.53万元，</w:t>
      </w:r>
      <w:r>
        <w:rPr>
          <w:rFonts w:ascii="仿宋_GB2312" w:hAnsi="仿宋_GB2312" w:eastAsia="仿宋_GB2312"/>
          <w:b w:val="0"/>
          <w:sz w:val="32"/>
        </w:rPr>
        <w:t>其中：年末财政拨款结转和结余0.00万元，本年财政拨款支出2,906.53万元。</w:t>
      </w:r>
    </w:p>
    <w:p w14:paraId="04C5075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增加128.86万元，增长4.64%，主要原因是：本年在职人员增加，相关人员经费增加，增加专用材料费等经费，导致相关经费增加。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年初预算数2,834.86万元，决算数2,906.53万元，预决算差异率2.53%，主要原因是：本年在职人员增加，年中追加人员经费及人员工资、社保、公积金基数调增部分资金，导致预决算存在差异。</w:t>
      </w:r>
    </w:p>
    <w:p w14:paraId="40523EAA">
      <w:pPr>
        <w:spacing w:line="640" w:lineRule="exact"/>
        <w:ind w:firstLine="640"/>
        <w:jc w:val="both"/>
        <w:outlineLvl w:val="2"/>
      </w:pPr>
      <w:r>
        <w:rPr>
          <w:rFonts w:ascii="黑体" w:hAnsi="黑体" w:eastAsia="黑体"/>
          <w:sz w:val="32"/>
        </w:rPr>
        <w:t>五、一般公共预算财政拨款支出决算情况说明</w:t>
      </w:r>
    </w:p>
    <w:p w14:paraId="36834A05">
      <w:pPr>
        <w:spacing w:line="640" w:lineRule="exact"/>
        <w:ind w:firstLine="640"/>
        <w:jc w:val="both"/>
        <w:outlineLvl w:val="3"/>
      </w:pPr>
      <w:r>
        <w:rPr>
          <w:rFonts w:ascii="楷体_GB2312" w:hAnsi="楷体_GB2312" w:eastAsia="楷体_GB2312"/>
          <w:b/>
          <w:sz w:val="32"/>
        </w:rPr>
        <w:t>（一）一般公共预算财政拨款支出决算总体情况</w:t>
      </w:r>
    </w:p>
    <w:p w14:paraId="39303923">
      <w:pPr>
        <w:spacing w:line="580" w:lineRule="exact"/>
        <w:ind w:firstLine="640"/>
        <w:jc w:val="both"/>
      </w:pPr>
      <w:r>
        <w:rPr>
          <w:rFonts w:ascii="仿宋_GB2312" w:hAnsi="仿宋_GB2312" w:eastAsia="仿宋_GB2312"/>
          <w:b/>
          <w:sz w:val="32"/>
        </w:rPr>
        <w:t>2024年度一般公共预算财政拨款支出2,786.53万元，</w:t>
      </w:r>
      <w:r>
        <w:rPr>
          <w:rFonts w:ascii="仿宋_GB2312" w:hAnsi="仿宋_GB2312" w:eastAsia="仿宋_GB2312"/>
          <w:b w:val="0"/>
          <w:sz w:val="32"/>
        </w:rPr>
        <w:t>占本年支出合计的91.47%。</w:t>
      </w:r>
      <w:r>
        <w:rPr>
          <w:rFonts w:ascii="仿宋_GB2312" w:hAnsi="仿宋_GB2312" w:eastAsia="仿宋_GB2312"/>
          <w:b/>
          <w:sz w:val="32"/>
        </w:rPr>
        <w:t>与上年相比，</w:t>
      </w:r>
      <w:r>
        <w:rPr>
          <w:rFonts w:ascii="仿宋_GB2312" w:hAnsi="仿宋_GB2312" w:eastAsia="仿宋_GB2312"/>
          <w:b w:val="0"/>
          <w:sz w:val="32"/>
        </w:rPr>
        <w:t>增加128.86万元，增长4.85%，主要原因是：本年在职人员增加，相关人员经费增加，增加专用材料费等经费，导致相关经费增加。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年初预算数2,714.86万元，决算数2,786.53万元，预决算差异率2.64%，主要原因是：本年在职人员增加，年中追加人员经费及人员工资、社保、公积金基数调增部分资金，导致预决算存在差异。</w:t>
      </w:r>
    </w:p>
    <w:p w14:paraId="3269C85A">
      <w:pPr>
        <w:spacing w:line="640" w:lineRule="exact"/>
        <w:ind w:firstLine="640"/>
        <w:jc w:val="both"/>
        <w:outlineLvl w:val="3"/>
      </w:pPr>
      <w:r>
        <w:rPr>
          <w:rFonts w:ascii="楷体_GB2312" w:hAnsi="楷体_GB2312" w:eastAsia="楷体_GB2312"/>
          <w:b/>
          <w:sz w:val="32"/>
        </w:rPr>
        <w:t>（二）一般公共预算财政拨款支出决算结构情况</w:t>
      </w:r>
    </w:p>
    <w:p w14:paraId="514BF55E">
      <w:pPr>
        <w:spacing w:line="580" w:lineRule="exact"/>
        <w:ind w:firstLine="640"/>
        <w:jc w:val="both"/>
      </w:pPr>
      <w:r>
        <w:rPr>
          <w:rFonts w:ascii="仿宋_GB2312" w:hAnsi="仿宋_GB2312" w:eastAsia="仿宋_GB2312"/>
          <w:b w:val="0"/>
          <w:sz w:val="32"/>
        </w:rPr>
        <w:t>1.一般公共服务支出(类)11.37万元,占0.41%。</w:t>
      </w:r>
    </w:p>
    <w:p w14:paraId="16387F10">
      <w:pPr>
        <w:spacing w:line="580" w:lineRule="exact"/>
        <w:ind w:firstLine="640"/>
        <w:jc w:val="both"/>
      </w:pPr>
      <w:r>
        <w:rPr>
          <w:rFonts w:ascii="仿宋_GB2312" w:hAnsi="仿宋_GB2312" w:eastAsia="仿宋_GB2312"/>
          <w:b w:val="0"/>
          <w:sz w:val="32"/>
        </w:rPr>
        <w:t>2.文化旅游体育与传媒支出(类)2,024.58万元,占72.66%。</w:t>
      </w:r>
    </w:p>
    <w:p w14:paraId="3FB4E24B">
      <w:pPr>
        <w:spacing w:line="580" w:lineRule="exact"/>
        <w:ind w:firstLine="640"/>
        <w:jc w:val="both"/>
      </w:pPr>
      <w:r>
        <w:rPr>
          <w:rFonts w:ascii="仿宋_GB2312" w:hAnsi="仿宋_GB2312" w:eastAsia="仿宋_GB2312"/>
          <w:b w:val="0"/>
          <w:sz w:val="32"/>
        </w:rPr>
        <w:t>3.社会保障和就业支出(类)464.44万元,占16.67%。</w:t>
      </w:r>
    </w:p>
    <w:p w14:paraId="29D43B2D">
      <w:pPr>
        <w:spacing w:line="580" w:lineRule="exact"/>
        <w:ind w:firstLine="640"/>
        <w:jc w:val="both"/>
      </w:pPr>
      <w:r>
        <w:rPr>
          <w:rFonts w:ascii="仿宋_GB2312" w:hAnsi="仿宋_GB2312" w:eastAsia="仿宋_GB2312"/>
          <w:b w:val="0"/>
          <w:sz w:val="32"/>
        </w:rPr>
        <w:t>4.卫生健康支出(类)99.84万元,占3.58%。</w:t>
      </w:r>
    </w:p>
    <w:p w14:paraId="6845B65E">
      <w:pPr>
        <w:spacing w:line="580" w:lineRule="exact"/>
        <w:ind w:firstLine="640"/>
        <w:jc w:val="both"/>
      </w:pPr>
      <w:r>
        <w:rPr>
          <w:rFonts w:ascii="仿宋_GB2312" w:hAnsi="仿宋_GB2312" w:eastAsia="仿宋_GB2312"/>
          <w:b w:val="0"/>
          <w:sz w:val="32"/>
        </w:rPr>
        <w:t>5.住房保障支出(类)186.29万元,占6.69%。</w:t>
      </w:r>
    </w:p>
    <w:p w14:paraId="2242AD7F">
      <w:pPr>
        <w:spacing w:line="640" w:lineRule="exact"/>
        <w:ind w:firstLine="640"/>
        <w:jc w:val="both"/>
        <w:outlineLvl w:val="3"/>
      </w:pPr>
      <w:r>
        <w:rPr>
          <w:rFonts w:ascii="楷体_GB2312" w:hAnsi="楷体_GB2312" w:eastAsia="楷体_GB2312"/>
          <w:b/>
          <w:sz w:val="32"/>
        </w:rPr>
        <w:t>（三）一般公共预算财政拨款支出决算具体情况</w:t>
      </w:r>
    </w:p>
    <w:p w14:paraId="319CFD34">
      <w:pPr>
        <w:spacing w:line="580" w:lineRule="exact"/>
        <w:ind w:firstLine="640"/>
        <w:jc w:val="both"/>
      </w:pPr>
      <w:r>
        <w:rPr>
          <w:rFonts w:ascii="仿宋_GB2312" w:hAnsi="仿宋_GB2312" w:eastAsia="仿宋_GB2312"/>
          <w:b w:val="0"/>
          <w:sz w:val="32"/>
        </w:rPr>
        <w:t>1.一般公共服务支出(类)统战事务(款)宗教事务(项):支出决算数为11.37万元，比上年决算增加9.65万元，增长561.05%,主要原因是：本年增加基层人员生活补助经费，导致相关经费增加。</w:t>
      </w:r>
    </w:p>
    <w:p w14:paraId="6DE85064">
      <w:pPr>
        <w:spacing w:line="580" w:lineRule="exact"/>
        <w:ind w:firstLine="640"/>
        <w:jc w:val="both"/>
      </w:pPr>
      <w:r>
        <w:rPr>
          <w:rFonts w:ascii="仿宋_GB2312" w:hAnsi="仿宋_GB2312" w:eastAsia="仿宋_GB2312"/>
          <w:b w:val="0"/>
          <w:sz w:val="32"/>
        </w:rPr>
        <w:t>2.文化旅游体育与传媒支出(类)文化和旅游(款)艺术表演团体(项):支出决算数为2,024.58万元，比上年决算增加80.81万元，增长4.16%,主要原因是：本年增加专用材料费等经费，导致相关经费增加。</w:t>
      </w:r>
    </w:p>
    <w:p w14:paraId="060B85AB">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3.社会保障和就业支出(类)行政事业单位养老支出(款)事业单位离退休(项):支出决算数为97.99万元，比上年决算增加27.55万元，增长39.11%,主要原因是：本年退休人员增加，退休费支出增加。</w:t>
      </w:r>
    </w:p>
    <w:p w14:paraId="3247B7F0">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234.28万元，比上年决算增加15.76万元，增长7.21%,主要原因是：本年在职人员增加，养老保险缴费较上年增加。</w:t>
      </w:r>
    </w:p>
    <w:p w14:paraId="4E2AA9A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117.43万元，比上年决算增加8.18万元，增长7.49%,主要原因是：本年新增退休人员较上年增加，职业年金缴费支出增加。</w:t>
      </w:r>
    </w:p>
    <w:p w14:paraId="5F00C6CA">
      <w:pPr>
        <w:spacing w:line="580" w:lineRule="exact"/>
        <w:ind w:firstLine="640"/>
        <w:jc w:val="both"/>
      </w:pPr>
      <w:r>
        <w:rPr>
          <w:rFonts w:ascii="仿宋_GB2312" w:hAnsi="仿宋_GB2312" w:eastAsia="仿宋_GB2312"/>
          <w:b w:val="0"/>
          <w:sz w:val="32"/>
        </w:rPr>
        <w:t>6.社会保障和就业支出(类)抚恤(款)死亡抚恤(项):支出决算数为14.75万元，比上年决算减少22.38万元，下降60.27%,主要原因是：本年死亡人数较上年减少，相应死亡抚恤金</w:t>
      </w:r>
      <w:r>
        <w:rPr>
          <w:rFonts w:hint="eastAsia" w:ascii="仿宋_GB2312" w:hAnsi="仿宋_GB2312" w:eastAsia="仿宋_GB2312"/>
          <w:b w:val="0"/>
          <w:sz w:val="32"/>
          <w:lang w:eastAsia="zh-CN"/>
        </w:rPr>
        <w:t>费</w:t>
      </w:r>
      <w:r>
        <w:rPr>
          <w:rFonts w:ascii="仿宋_GB2312" w:hAnsi="仿宋_GB2312" w:eastAsia="仿宋_GB2312"/>
          <w:b w:val="0"/>
          <w:sz w:val="32"/>
        </w:rPr>
        <w:t>用减少。</w:t>
      </w:r>
    </w:p>
    <w:p w14:paraId="6188B021">
      <w:pPr>
        <w:spacing w:line="580" w:lineRule="exact"/>
        <w:ind w:firstLine="640"/>
        <w:jc w:val="both"/>
      </w:pPr>
      <w:r>
        <w:rPr>
          <w:rFonts w:ascii="仿宋_GB2312" w:hAnsi="仿宋_GB2312" w:eastAsia="仿宋_GB2312"/>
          <w:b w:val="0"/>
          <w:sz w:val="32"/>
        </w:rPr>
        <w:t>7.卫生健康支出(类)行政事业单位医疗(款)事业单位医疗(项):支出决算数为99.61万元，比上年决算增加5.38万元，增长5.71%,主要原因是：本年在职人员增加，事业单位医疗缴费较上年增加。</w:t>
      </w:r>
    </w:p>
    <w:p w14:paraId="5C0DF29A">
      <w:pPr>
        <w:spacing w:line="580" w:lineRule="exact"/>
        <w:ind w:firstLine="640"/>
        <w:jc w:val="both"/>
      </w:pPr>
      <w:r>
        <w:rPr>
          <w:rFonts w:ascii="仿宋_GB2312" w:hAnsi="仿宋_GB2312" w:eastAsia="仿宋_GB2312"/>
          <w:b w:val="0"/>
          <w:sz w:val="32"/>
        </w:rPr>
        <w:t>8.卫生健康支出(类)行政事业单位医疗(款)公务员医疗补助(项):支出决算数为0.23万元，比上年决算增加0.23万元，增长100.00%,主要原因是：本年在职人员增加，公务员医疗补助较上年增加。</w:t>
      </w:r>
    </w:p>
    <w:p w14:paraId="69F973F1">
      <w:pPr>
        <w:spacing w:line="580" w:lineRule="exact"/>
        <w:ind w:firstLine="640"/>
        <w:jc w:val="both"/>
      </w:pPr>
      <w:r>
        <w:rPr>
          <w:rFonts w:ascii="仿宋_GB2312" w:hAnsi="仿宋_GB2312" w:eastAsia="仿宋_GB2312"/>
          <w:b w:val="0"/>
          <w:sz w:val="32"/>
        </w:rPr>
        <w:t>9.住房保障支出(类)住房改革支出(款)住房公积金(项):支出决算数为186.29万元，比上年决算增加3.67万元，增长2.01%,主要原因是：本年在职人员增加，住房公积金缴费较上年增加。</w:t>
      </w:r>
    </w:p>
    <w:p w14:paraId="0A0F1637">
      <w:pPr>
        <w:spacing w:line="640" w:lineRule="exact"/>
        <w:ind w:firstLine="640"/>
        <w:jc w:val="both"/>
        <w:outlineLvl w:val="2"/>
      </w:pPr>
      <w:r>
        <w:rPr>
          <w:rFonts w:ascii="黑体" w:hAnsi="黑体" w:eastAsia="黑体"/>
          <w:sz w:val="32"/>
        </w:rPr>
        <w:t>六、一般公共预算财政拨款基本支出决算情况说明</w:t>
      </w:r>
    </w:p>
    <w:p w14:paraId="04FF2C67">
      <w:pPr>
        <w:spacing w:line="580" w:lineRule="exact"/>
        <w:ind w:firstLine="640"/>
        <w:jc w:val="both"/>
      </w:pPr>
      <w:r>
        <w:rPr>
          <w:rFonts w:ascii="仿宋_GB2312" w:hAnsi="仿宋_GB2312" w:eastAsia="仿宋_GB2312"/>
          <w:b w:val="0"/>
          <w:sz w:val="32"/>
        </w:rPr>
        <w:t>2024年度一般公共预算财政拨款基本支出2,728.18万元，其中：</w:t>
      </w:r>
      <w:r>
        <w:rPr>
          <w:rFonts w:ascii="仿宋_GB2312" w:hAnsi="仿宋_GB2312" w:eastAsia="仿宋_GB2312"/>
          <w:b/>
          <w:sz w:val="32"/>
        </w:rPr>
        <w:t>人员经费2,615.43万元，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654FCAED">
      <w:pPr>
        <w:spacing w:line="580" w:lineRule="exact"/>
        <w:ind w:firstLine="640"/>
        <w:jc w:val="both"/>
      </w:pPr>
      <w:r>
        <w:rPr>
          <w:rFonts w:ascii="仿宋_GB2312" w:hAnsi="仿宋_GB2312" w:eastAsia="仿宋_GB2312"/>
          <w:b/>
          <w:sz w:val="32"/>
        </w:rPr>
        <w:t>公用经费112.75万元，</w:t>
      </w:r>
      <w:r>
        <w:rPr>
          <w:rFonts w:ascii="仿宋_GB2312" w:hAnsi="仿宋_GB2312" w:eastAsia="仿宋_GB2312"/>
          <w:b w:val="0"/>
          <w:sz w:val="32"/>
        </w:rPr>
        <w:t>包括：取暖费、专用材料费、工会经费、其他交通费用、其他商品和服务支出。</w:t>
      </w:r>
    </w:p>
    <w:p w14:paraId="68F26DF6">
      <w:pPr>
        <w:spacing w:line="640" w:lineRule="exact"/>
        <w:ind w:firstLine="640"/>
        <w:jc w:val="both"/>
        <w:outlineLvl w:val="2"/>
      </w:pPr>
      <w:r>
        <w:rPr>
          <w:rFonts w:ascii="黑体" w:hAnsi="黑体" w:eastAsia="黑体"/>
          <w:sz w:val="32"/>
        </w:rPr>
        <w:t>七、政府性基金预算财政拨款收入支出决算情况说明</w:t>
      </w:r>
    </w:p>
    <w:p w14:paraId="7364CFA9">
      <w:pPr>
        <w:spacing w:line="580" w:lineRule="exact"/>
        <w:ind w:firstLine="640"/>
        <w:jc w:val="both"/>
      </w:pPr>
      <w:r>
        <w:rPr>
          <w:rFonts w:ascii="仿宋_GB2312" w:hAnsi="仿宋_GB2312" w:eastAsia="仿宋_GB2312"/>
          <w:b/>
          <w:sz w:val="32"/>
        </w:rPr>
        <w:t>2024年度政府性基金预算财政拨款收入总计120.00万元，</w:t>
      </w:r>
      <w:r>
        <w:rPr>
          <w:rFonts w:ascii="仿宋_GB2312" w:hAnsi="仿宋_GB2312" w:eastAsia="仿宋_GB2312"/>
          <w:b w:val="0"/>
          <w:sz w:val="32"/>
        </w:rPr>
        <w:t>其中：年初结转和结余0.00万元，本年收入120.00万元。</w:t>
      </w:r>
      <w:r>
        <w:rPr>
          <w:rFonts w:ascii="仿宋_GB2312" w:hAnsi="仿宋_GB2312" w:eastAsia="仿宋_GB2312"/>
          <w:b/>
          <w:sz w:val="32"/>
        </w:rPr>
        <w:t>政府性基金预算财政拨款支出总计120.00万元，</w:t>
      </w:r>
      <w:r>
        <w:rPr>
          <w:rFonts w:ascii="仿宋_GB2312" w:hAnsi="仿宋_GB2312" w:eastAsia="仿宋_GB2312"/>
          <w:b w:val="0"/>
          <w:sz w:val="32"/>
        </w:rPr>
        <w:t>其中：年末结转和结余0.00万元，本年支出120.00万元。</w:t>
      </w:r>
    </w:p>
    <w:p w14:paraId="31FF6BF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增加0.00万元，增长0.00%，主要原因是：本部门政府性基金预算财政拨款收入支出与上年一致无变化。</w:t>
      </w:r>
      <w:r>
        <w:rPr>
          <w:rFonts w:ascii="仿宋_GB2312" w:hAnsi="仿宋_GB2312" w:eastAsia="仿宋_GB2312"/>
          <w:b/>
          <w:sz w:val="32"/>
        </w:rPr>
        <w:t>与年初预算相比，</w:t>
      </w:r>
      <w:r>
        <w:rPr>
          <w:rFonts w:ascii="仿宋_GB2312" w:hAnsi="仿宋_GB2312" w:eastAsia="仿宋_GB2312"/>
          <w:b w:val="0"/>
          <w:sz w:val="32"/>
        </w:rPr>
        <w:t>年初预算数120.00万元，决算数120.00万元，预决算差异率0.00%，主要原因是：严格按照预算执行，预决算无差异。</w:t>
      </w:r>
    </w:p>
    <w:p w14:paraId="2E2110FD">
      <w:pPr>
        <w:spacing w:line="580" w:lineRule="exact"/>
        <w:ind w:firstLine="640"/>
        <w:jc w:val="both"/>
      </w:pPr>
      <w:r>
        <w:rPr>
          <w:rFonts w:ascii="仿宋_GB2312" w:hAnsi="仿宋_GB2312" w:eastAsia="仿宋_GB2312"/>
          <w:b w:val="0"/>
          <w:sz w:val="32"/>
        </w:rPr>
        <w:t>政府性基金预算财政拨款支出120.00万元。</w:t>
      </w:r>
    </w:p>
    <w:p w14:paraId="38E6D9F4">
      <w:pPr>
        <w:spacing w:line="580" w:lineRule="exact"/>
        <w:ind w:firstLine="640"/>
        <w:jc w:val="both"/>
      </w:pPr>
      <w:r>
        <w:rPr>
          <w:rFonts w:ascii="仿宋_GB2312" w:hAnsi="仿宋_GB2312" w:eastAsia="仿宋_GB2312"/>
          <w:b w:val="0"/>
          <w:sz w:val="32"/>
        </w:rPr>
        <w:t>1.其他支出(类)彩票公益金安排的支出(款)用于文化事业的彩票公益金支出(项):支出决算数为120.00万元，比上年决算增加0.00万元，增长0.00%,主要原因是：本年地区大型文艺晚会系列活动项目经费与上年相比无变化。</w:t>
      </w:r>
    </w:p>
    <w:p w14:paraId="2F57EF22">
      <w:pPr>
        <w:spacing w:line="640" w:lineRule="exact"/>
        <w:ind w:firstLine="640"/>
        <w:jc w:val="both"/>
        <w:outlineLvl w:val="2"/>
      </w:pPr>
      <w:r>
        <w:rPr>
          <w:rFonts w:ascii="黑体" w:hAnsi="黑体" w:eastAsia="黑体"/>
          <w:sz w:val="32"/>
        </w:rPr>
        <w:t>八、国有资本经营预算财政拨款收入支出决算情况说明</w:t>
      </w:r>
    </w:p>
    <w:p w14:paraId="6EAE9E3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FDC3BCB">
      <w:pPr>
        <w:spacing w:line="640" w:lineRule="exact"/>
        <w:ind w:firstLine="640"/>
        <w:jc w:val="both"/>
        <w:outlineLvl w:val="2"/>
      </w:pPr>
      <w:r>
        <w:rPr>
          <w:rFonts w:ascii="黑体" w:hAnsi="黑体" w:eastAsia="黑体"/>
          <w:sz w:val="32"/>
        </w:rPr>
        <w:t>九、财政拨款“三公”经费支出决算情况说明</w:t>
      </w:r>
    </w:p>
    <w:p w14:paraId="07885F3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333B6F3">
      <w:pPr>
        <w:spacing w:line="580" w:lineRule="exact"/>
        <w:ind w:firstLine="640"/>
        <w:jc w:val="both"/>
      </w:pPr>
      <w:r>
        <w:rPr>
          <w:rFonts w:ascii="仿宋_GB2312" w:hAnsi="仿宋_GB2312" w:eastAsia="仿宋_GB2312"/>
          <w:b/>
          <w:sz w:val="32"/>
        </w:rPr>
        <w:t>具体情况如下：</w:t>
      </w:r>
    </w:p>
    <w:p w14:paraId="033A487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5264E3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2辆，与公务用车保有量差异原因是：单位业务用车，车辆费用未使用财政拨款公务用车运行维护费支付。</w:t>
      </w:r>
    </w:p>
    <w:p w14:paraId="331BDF4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63F2D0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7C1E4248">
      <w:pPr>
        <w:spacing w:line="640" w:lineRule="exact"/>
        <w:ind w:firstLine="640"/>
        <w:jc w:val="both"/>
        <w:outlineLvl w:val="2"/>
      </w:pPr>
      <w:r>
        <w:rPr>
          <w:rFonts w:ascii="黑体" w:hAnsi="黑体" w:eastAsia="黑体"/>
          <w:sz w:val="32"/>
        </w:rPr>
        <w:t>十、其他重要事项的情况说明</w:t>
      </w:r>
    </w:p>
    <w:p w14:paraId="757AB7C5">
      <w:pPr>
        <w:spacing w:line="640" w:lineRule="exact"/>
        <w:ind w:firstLine="640"/>
        <w:jc w:val="both"/>
        <w:outlineLvl w:val="3"/>
      </w:pPr>
      <w:r>
        <w:rPr>
          <w:rFonts w:ascii="楷体_GB2312" w:hAnsi="楷体_GB2312" w:eastAsia="楷体_GB2312"/>
          <w:b/>
          <w:sz w:val="32"/>
        </w:rPr>
        <w:t>（一）机关运行经费及公用经费支出情况</w:t>
      </w:r>
    </w:p>
    <w:p w14:paraId="59A78A58">
      <w:pPr>
        <w:spacing w:line="580" w:lineRule="exact"/>
        <w:ind w:firstLine="640"/>
        <w:jc w:val="both"/>
      </w:pPr>
      <w:r>
        <w:rPr>
          <w:rFonts w:ascii="仿宋_GB2312" w:hAnsi="仿宋_GB2312" w:eastAsia="仿宋_GB2312"/>
          <w:b w:val="0"/>
          <w:sz w:val="32"/>
        </w:rPr>
        <w:t>2024年度新疆维吾尔自治区喀什地区歌舞剧团（事业单位）公用经费支出112.75万元，比上年增加41.34万元，增长57.89%，主要原因是：本年增加工会经费、专用材料费，导致公用经费增加。</w:t>
      </w:r>
    </w:p>
    <w:p w14:paraId="564B936B">
      <w:pPr>
        <w:spacing w:line="640" w:lineRule="exact"/>
        <w:ind w:firstLine="640"/>
        <w:jc w:val="both"/>
        <w:outlineLvl w:val="3"/>
      </w:pPr>
      <w:r>
        <w:rPr>
          <w:rFonts w:ascii="楷体_GB2312" w:hAnsi="楷体_GB2312" w:eastAsia="楷体_GB2312"/>
          <w:b/>
          <w:sz w:val="32"/>
        </w:rPr>
        <w:t>（二）政府采购情况</w:t>
      </w:r>
    </w:p>
    <w:p w14:paraId="3844BE7C">
      <w:pPr>
        <w:spacing w:line="580" w:lineRule="exact"/>
        <w:ind w:firstLine="640"/>
        <w:jc w:val="both"/>
      </w:pPr>
      <w:r>
        <w:rPr>
          <w:rFonts w:ascii="仿宋_GB2312" w:hAnsi="仿宋_GB2312" w:eastAsia="仿宋_GB2312"/>
          <w:b w:val="0"/>
          <w:sz w:val="32"/>
        </w:rPr>
        <w:t>2024年度政府采购支出总额272.19万元，其中：政府采购货物支出16.19万元、政府采购工程支出0.00万元、政府采购服务支出256.00万元。</w:t>
      </w:r>
    </w:p>
    <w:p w14:paraId="3830910A">
      <w:pPr>
        <w:spacing w:line="580" w:lineRule="exact"/>
        <w:ind w:firstLine="640"/>
        <w:jc w:val="both"/>
      </w:pPr>
      <w:r>
        <w:rPr>
          <w:rFonts w:ascii="仿宋_GB2312" w:hAnsi="仿宋_GB2312" w:eastAsia="仿宋_GB2312"/>
          <w:b w:val="0"/>
          <w:sz w:val="32"/>
        </w:rPr>
        <w:t>授予中小企业合同金额272.19万元，占政府采购支出总额的100.00%，其中：授予小微企业合同金额270.89万元，占政府采购支出总额的99.52%。</w:t>
      </w:r>
    </w:p>
    <w:p w14:paraId="62D41B7C">
      <w:pPr>
        <w:spacing w:line="640" w:lineRule="exact"/>
        <w:ind w:firstLine="640"/>
        <w:jc w:val="both"/>
        <w:outlineLvl w:val="3"/>
      </w:pPr>
      <w:r>
        <w:rPr>
          <w:rFonts w:ascii="楷体_GB2312" w:hAnsi="楷体_GB2312" w:eastAsia="楷体_GB2312"/>
          <w:b/>
          <w:sz w:val="32"/>
        </w:rPr>
        <w:t>（三）国有资产占用情况说明</w:t>
      </w:r>
    </w:p>
    <w:p w14:paraId="0C71A454">
      <w:pPr>
        <w:spacing w:line="580" w:lineRule="exact"/>
        <w:ind w:firstLine="640"/>
        <w:jc w:val="both"/>
      </w:pPr>
      <w:r>
        <w:rPr>
          <w:rFonts w:ascii="仿宋_GB2312" w:hAnsi="仿宋_GB2312" w:eastAsia="仿宋_GB2312"/>
          <w:b w:val="0"/>
          <w:sz w:val="32"/>
        </w:rPr>
        <w:t>截至2024年12月31日，房屋2,309.00平方米，价值191.00万元。车辆2辆，价值55.44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49C7DE2B">
      <w:pPr>
        <w:spacing w:line="640" w:lineRule="exact"/>
        <w:ind w:firstLine="640"/>
        <w:jc w:val="both"/>
        <w:outlineLvl w:val="2"/>
      </w:pPr>
      <w:r>
        <w:rPr>
          <w:rFonts w:ascii="黑体" w:hAnsi="黑体" w:eastAsia="黑体"/>
          <w:sz w:val="32"/>
        </w:rPr>
        <w:t>十一、预算绩效的情况说明</w:t>
      </w:r>
    </w:p>
    <w:p w14:paraId="11153DB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3,137.03万元，实际执行总额3,046.52万元；预算绩效评价项目6个，全年预算数369.15万元，全年执行数288.34万元。预算绩效管理取得的成效：一是确保资金的高效使用，切实发挥财政资金使用效果。二是严格按照工作职责和相关文件依据，确保专款专用。三是严格控制资金的流出方向，</w:t>
      </w:r>
      <w:r>
        <w:rPr>
          <w:rFonts w:hint="eastAsia" w:ascii="仿宋_GB2312" w:hAnsi="仿宋_GB2312" w:eastAsia="仿宋_GB2312"/>
          <w:b w:val="0"/>
          <w:sz w:val="32"/>
        </w:rPr>
        <w:t>确保</w:t>
      </w:r>
      <w:bookmarkStart w:id="0" w:name="_GoBack"/>
      <w:bookmarkEnd w:id="0"/>
      <w:r>
        <w:rPr>
          <w:rFonts w:hint="eastAsia" w:ascii="仿宋_GB2312" w:hAnsi="仿宋_GB2312" w:eastAsia="仿宋_GB2312"/>
          <w:b w:val="0"/>
          <w:sz w:val="32"/>
        </w:rPr>
        <w:t>资金的使用合规性</w:t>
      </w:r>
      <w:r>
        <w:rPr>
          <w:rFonts w:ascii="仿宋_GB2312" w:hAnsi="仿宋_GB2312" w:eastAsia="仿宋_GB2312"/>
          <w:b w:val="0"/>
          <w:sz w:val="32"/>
        </w:rPr>
        <w:t>。发现的问题及原因：项目细化管理工作不足。各项资金的使用没有做到细致的预算，造成项目遇到各种不确定因素，财政资金无法发挥最大使用效益。下一步改进措施：一是在以后年度，</w:t>
      </w:r>
      <w:r>
        <w:rPr>
          <w:rFonts w:hint="eastAsia" w:ascii="仿宋_GB2312" w:hAnsi="仿宋_GB2312" w:eastAsia="仿宋_GB2312"/>
          <w:b w:val="0"/>
          <w:sz w:val="32"/>
          <w:lang w:eastAsia="zh-CN"/>
        </w:rPr>
        <w:t>本部门</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部门整体支出绩效自评表，项目支出绩效自评表和部门评价报告。</w:t>
      </w:r>
    </w:p>
    <w:p w14:paraId="2A6238F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6D4B8F7">
        <w:tblPrEx>
          <w:tblCellMar>
            <w:top w:w="0" w:type="dxa"/>
            <w:left w:w="108" w:type="dxa"/>
            <w:bottom w:w="0" w:type="dxa"/>
            <w:right w:w="108" w:type="dxa"/>
          </w:tblCellMar>
        </w:tblPrEx>
        <w:tc>
          <w:tcPr>
            <w:tcW w:w="8847" w:type="dxa"/>
            <w:gridSpan w:val="9"/>
            <w:vAlign w:val="center"/>
          </w:tcPr>
          <w:p w14:paraId="4CBA9A0B">
            <w:pPr>
              <w:jc w:val="center"/>
            </w:pPr>
            <w:r>
              <w:rPr>
                <w:rFonts w:ascii="宋体" w:hAnsi="宋体" w:eastAsia="宋体"/>
                <w:sz w:val="24"/>
              </w:rPr>
              <w:t>部门整体支出绩效自评表</w:t>
            </w:r>
          </w:p>
        </w:tc>
      </w:tr>
      <w:tr w14:paraId="2DA2F42A">
        <w:tblPrEx>
          <w:tblCellMar>
            <w:top w:w="0" w:type="dxa"/>
            <w:left w:w="108" w:type="dxa"/>
            <w:bottom w:w="0" w:type="dxa"/>
            <w:right w:w="108" w:type="dxa"/>
          </w:tblCellMar>
        </w:tblPrEx>
        <w:tc>
          <w:tcPr>
            <w:tcW w:w="8847" w:type="dxa"/>
            <w:gridSpan w:val="9"/>
            <w:vAlign w:val="center"/>
          </w:tcPr>
          <w:p w14:paraId="16A184E6">
            <w:pPr>
              <w:jc w:val="center"/>
            </w:pPr>
            <w:r>
              <w:rPr>
                <w:rFonts w:ascii="宋体" w:hAnsi="宋体" w:eastAsia="宋体"/>
                <w:sz w:val="24"/>
              </w:rPr>
              <w:t>（2024年度）</w:t>
            </w:r>
          </w:p>
        </w:tc>
      </w:tr>
      <w:tr w14:paraId="144954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F7B4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E3F33E">
            <w:pPr>
              <w:jc w:val="center"/>
            </w:pPr>
            <w:r>
              <w:rPr>
                <w:rFonts w:ascii="宋体" w:hAnsi="宋体" w:eastAsia="宋体"/>
                <w:sz w:val="16"/>
              </w:rPr>
              <w:t>新疆维吾尔自治区喀什地区歌舞剧团</w:t>
            </w:r>
          </w:p>
        </w:tc>
      </w:tr>
      <w:tr w14:paraId="3C4EF4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976B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D0C7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3534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8819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87A4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1515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CDD8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2AA6">
            <w:pPr>
              <w:jc w:val="center"/>
            </w:pPr>
            <w:r>
              <w:rPr>
                <w:rFonts w:ascii="宋体" w:hAnsi="宋体" w:eastAsia="宋体"/>
                <w:sz w:val="16"/>
              </w:rPr>
              <w:t>得分</w:t>
            </w:r>
          </w:p>
        </w:tc>
      </w:tr>
      <w:tr w14:paraId="5B426A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E82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6D42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D821B">
            <w:pPr>
              <w:jc w:val="center"/>
            </w:pPr>
            <w:r>
              <w:rPr>
                <w:rFonts w:ascii="宋体" w:hAnsi="宋体" w:eastAsia="宋体"/>
                <w:sz w:val="16"/>
              </w:rPr>
              <w:t>2,934.85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D82A5">
            <w:pPr>
              <w:jc w:val="center"/>
            </w:pPr>
            <w:r>
              <w:rPr>
                <w:rFonts w:ascii="宋体" w:hAnsi="宋体" w:eastAsia="宋体"/>
                <w:sz w:val="16"/>
              </w:rPr>
              <w:t>3,137.03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EC196">
            <w:pPr>
              <w:jc w:val="center"/>
            </w:pPr>
            <w:r>
              <w:rPr>
                <w:rFonts w:ascii="宋体" w:hAnsi="宋体" w:eastAsia="宋体"/>
                <w:sz w:val="16"/>
              </w:rPr>
              <w:t>3,046.52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DC9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45785">
            <w:pPr>
              <w:jc w:val="center"/>
            </w:pPr>
            <w:r>
              <w:rPr>
                <w:rFonts w:ascii="宋体" w:hAnsi="宋体" w:eastAsia="宋体"/>
                <w:sz w:val="16"/>
              </w:rPr>
              <w:t>97.11%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CD630">
            <w:pPr>
              <w:jc w:val="center"/>
            </w:pPr>
            <w:r>
              <w:rPr>
                <w:rFonts w:ascii="宋体" w:hAnsi="宋体" w:eastAsia="宋体"/>
                <w:sz w:val="16"/>
              </w:rPr>
              <w:t>9.71</w:t>
            </w:r>
          </w:p>
        </w:tc>
      </w:tr>
      <w:tr w14:paraId="0564C9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A83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0845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D74C9">
            <w:pPr>
              <w:jc w:val="center"/>
            </w:pPr>
            <w:r>
              <w:rPr>
                <w:rFonts w:ascii="宋体" w:hAnsi="宋体" w:eastAsia="宋体"/>
                <w:sz w:val="16"/>
              </w:rPr>
              <w:t>19.06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A2325">
            <w:pPr>
              <w:jc w:val="center"/>
            </w:pPr>
            <w:r>
              <w:rPr>
                <w:rFonts w:ascii="宋体" w:hAnsi="宋体" w:eastAsia="宋体"/>
                <w:sz w:val="16"/>
              </w:rPr>
              <w:t>129.47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2BB8C">
            <w:pPr>
              <w:jc w:val="center"/>
            </w:pPr>
            <w:r>
              <w:rPr>
                <w:rFonts w:ascii="宋体" w:hAnsi="宋体" w:eastAsia="宋体"/>
                <w:sz w:val="16"/>
              </w:rPr>
              <w:t>119.77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895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AF53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C8EB7">
            <w:pPr>
              <w:jc w:val="center"/>
            </w:pPr>
            <w:r>
              <w:rPr>
                <w:rFonts w:ascii="宋体" w:hAnsi="宋体" w:eastAsia="宋体"/>
                <w:sz w:val="16"/>
              </w:rPr>
              <w:t>—</w:t>
            </w:r>
          </w:p>
        </w:tc>
      </w:tr>
      <w:tr w14:paraId="22C696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676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706D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6EACD">
            <w:pPr>
              <w:jc w:val="center"/>
            </w:pPr>
            <w:r>
              <w:rPr>
                <w:rFonts w:ascii="宋体" w:hAnsi="宋体" w:eastAsia="宋体"/>
                <w:sz w:val="16"/>
              </w:rPr>
              <w:t>2,815.79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AFCEB">
            <w:pPr>
              <w:jc w:val="center"/>
            </w:pPr>
            <w:r>
              <w:rPr>
                <w:rFonts w:ascii="宋体" w:hAnsi="宋体" w:eastAsia="宋体"/>
                <w:sz w:val="16"/>
              </w:rPr>
              <w:t>2,787.56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35FC9">
            <w:pPr>
              <w:jc w:val="center"/>
            </w:pPr>
            <w:r>
              <w:rPr>
                <w:rFonts w:ascii="宋体" w:hAnsi="宋体" w:eastAsia="宋体"/>
                <w:sz w:val="16"/>
              </w:rPr>
              <w:t>2,786.75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757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EBBD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62BC">
            <w:pPr>
              <w:jc w:val="center"/>
            </w:pPr>
            <w:r>
              <w:rPr>
                <w:rFonts w:ascii="宋体" w:hAnsi="宋体" w:eastAsia="宋体"/>
                <w:sz w:val="16"/>
              </w:rPr>
              <w:t>—</w:t>
            </w:r>
          </w:p>
        </w:tc>
      </w:tr>
      <w:tr w14:paraId="7ECCA0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47A6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9205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AAF9B">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2FA98">
            <w:pPr>
              <w:jc w:val="center"/>
            </w:pPr>
            <w:r>
              <w:rPr>
                <w:rFonts w:ascii="宋体" w:hAnsi="宋体" w:eastAsia="宋体"/>
                <w:sz w:val="16"/>
              </w:rPr>
              <w:t>220.00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F57D6">
            <w:pPr>
              <w:jc w:val="center"/>
            </w:pPr>
            <w:r>
              <w:rPr>
                <w:rFonts w:ascii="宋体" w:hAnsi="宋体" w:eastAsia="宋体"/>
                <w:sz w:val="16"/>
              </w:rPr>
              <w:t>140.00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70E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1BB5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554F">
            <w:pPr>
              <w:jc w:val="center"/>
            </w:pPr>
            <w:r>
              <w:rPr>
                <w:rFonts w:ascii="宋体" w:hAnsi="宋体" w:eastAsia="宋体"/>
                <w:sz w:val="16"/>
              </w:rPr>
              <w:t>—</w:t>
            </w:r>
          </w:p>
        </w:tc>
      </w:tr>
      <w:tr w14:paraId="016B0D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C2A3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C4AC4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504448">
            <w:pPr>
              <w:jc w:val="center"/>
            </w:pPr>
            <w:r>
              <w:rPr>
                <w:rFonts w:ascii="宋体" w:hAnsi="宋体" w:eastAsia="宋体"/>
                <w:sz w:val="16"/>
              </w:rPr>
              <w:t>实际完成情况</w:t>
            </w:r>
          </w:p>
        </w:tc>
      </w:tr>
      <w:tr w14:paraId="05AC6F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916C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CAFFA7">
            <w:pPr>
              <w:jc w:val="both"/>
            </w:pPr>
            <w:r>
              <w:rPr>
                <w:rFonts w:ascii="宋体" w:hAnsi="宋体" w:eastAsia="宋体"/>
                <w:sz w:val="16"/>
              </w:rPr>
              <w:t>2024年，喀什地区歌舞剧团预算总额为2934.85万元，喀什地区歌舞剧团始终坚持以习近平新时代中国特色社会主义思想为指导，认真贯彻落实党的二十大精神和习近平总书记在新疆视察调研时的重要讲话重要指示精神，发扬中国文艺追求向上向善的优良传统，认真履行“举旗帜、聚民心、育新人、兴文化、展形象”职责使命</w:t>
            </w:r>
            <w:r>
              <w:rPr>
                <w:rFonts w:hint="eastAsia" w:ascii="宋体" w:hAnsi="宋体"/>
                <w:sz w:val="16"/>
                <w:lang w:eastAsia="zh-CN"/>
              </w:rPr>
              <w:t>，以</w:t>
            </w:r>
            <w:r>
              <w:rPr>
                <w:rFonts w:ascii="宋体" w:hAnsi="宋体" w:eastAsia="宋体"/>
                <w:sz w:val="16"/>
              </w:rPr>
              <w:t>完整、准确</w:t>
            </w:r>
            <w:r>
              <w:rPr>
                <w:rFonts w:hint="eastAsia" w:ascii="宋体" w:hAnsi="宋体"/>
                <w:sz w:val="16"/>
                <w:lang w:eastAsia="zh-CN"/>
              </w:rPr>
              <w:t>，以</w:t>
            </w:r>
            <w:r>
              <w:rPr>
                <w:rFonts w:ascii="宋体" w:hAnsi="宋体" w:eastAsia="宋体"/>
                <w:sz w:val="16"/>
              </w:rPr>
              <w:t>创作演出优秀剧目为核心、艺术教育为基础的三位一体新型文艺团体，成为深入推进“文化润疆”工程的主力军，加强中华民族共同体意识宣传教育，坚决筑牢意识形态安全防线，促进旅游经济复苏，为喀什地区文化艺术建设，经济发展，人民长治久安贡献出自己的力量，不辱门楣，不负重托。2024年计划举办6台文艺演出活动，送文艺下乡演出100场次，购买演出服装道具不少于3批，创作节目不少于12个。以文化广播电视和旅游工作新实践、新成效，更好地服务全地区经济社会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F5E015">
            <w:pPr>
              <w:jc w:val="both"/>
            </w:pPr>
            <w:r>
              <w:rPr>
                <w:rFonts w:ascii="宋体" w:hAnsi="宋体" w:eastAsia="宋体"/>
                <w:sz w:val="16"/>
              </w:rPr>
              <w:t>2024年，喀什地区歌舞剧团支出总额为3046.52万元，喀什地区歌舞剧团以高质量党建引领文艺演出高质量发展。聚焦主责主业，高质量开展文艺演出活动，国内外文化交流演出促进了喀什旅游业的发展，地区大型文艺演出提升了各族人民幸福指数，2024年计划举办5台文艺演出活动，为喀什地区各族人民呈上了一道道文艺盛宴，提高了各族人民的幸福指数，送文艺下乡演出106场次，购买演出服装道具3批，职工群众的文化需求不断得到满足。创作节目17个。加强文化交流，展现喀什欣欣向荣、各民族共同发展的繁荣景象。</w:t>
            </w:r>
          </w:p>
        </w:tc>
      </w:tr>
      <w:tr w14:paraId="267048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CBE8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BF47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259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7A70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4D73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E2A2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2B7F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D056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3A797">
            <w:pPr>
              <w:jc w:val="center"/>
            </w:pPr>
            <w:r>
              <w:rPr>
                <w:rFonts w:ascii="宋体" w:hAnsi="宋体" w:eastAsia="宋体"/>
                <w:sz w:val="16"/>
              </w:rPr>
              <w:t>得分</w:t>
            </w:r>
          </w:p>
        </w:tc>
      </w:tr>
      <w:tr w14:paraId="42FEAB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DFED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7B8E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B18F1">
            <w:pPr>
              <w:jc w:val="center"/>
            </w:pPr>
            <w:r>
              <w:rPr>
                <w:rFonts w:ascii="宋体" w:hAnsi="宋体" w:eastAsia="宋体"/>
                <w:sz w:val="16"/>
              </w:rPr>
              <w:t>举办大型文艺晚会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CCEAB">
            <w:pPr>
              <w:jc w:val="center"/>
            </w:pPr>
            <w:r>
              <w:rPr>
                <w:rFonts w:ascii="宋体" w:hAnsi="宋体" w:eastAsia="宋体"/>
                <w:sz w:val="16"/>
              </w:rPr>
              <w:t>&gt;=6台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DBB29">
            <w:pPr>
              <w:jc w:val="center"/>
            </w:pPr>
            <w:r>
              <w:rPr>
                <w:rFonts w:ascii="宋体" w:hAnsi="宋体" w:eastAsia="宋体"/>
                <w:sz w:val="16"/>
              </w:rPr>
              <w:t>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74F7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DC270">
            <w:pPr>
              <w:jc w:val="center"/>
            </w:pPr>
            <w:r>
              <w:rPr>
                <w:rFonts w:ascii="宋体" w:hAnsi="宋体" w:eastAsia="宋体"/>
                <w:sz w:val="16"/>
              </w:rPr>
              <w:t>5台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38962">
            <w:pPr>
              <w:jc w:val="center"/>
            </w:pPr>
            <w:r>
              <w:rPr>
                <w:rFonts w:ascii="宋体" w:hAnsi="宋体" w:eastAsia="宋体"/>
                <w:sz w:val="16"/>
              </w:rPr>
              <w:t>83.33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B9979">
            <w:pPr>
              <w:jc w:val="center"/>
            </w:pPr>
            <w:r>
              <w:rPr>
                <w:rFonts w:ascii="宋体" w:hAnsi="宋体" w:eastAsia="宋体"/>
                <w:sz w:val="16"/>
              </w:rPr>
              <w:t>16.67</w:t>
            </w:r>
          </w:p>
        </w:tc>
      </w:tr>
      <w:tr w14:paraId="76B8C8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118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443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D6D6C">
            <w:pPr>
              <w:jc w:val="center"/>
            </w:pPr>
            <w:r>
              <w:rPr>
                <w:rFonts w:ascii="宋体" w:hAnsi="宋体" w:eastAsia="宋体"/>
                <w:sz w:val="16"/>
              </w:rPr>
              <w:t>基层文化服务（送文艺下基层）场次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A7BDE">
            <w:pPr>
              <w:jc w:val="center"/>
            </w:pPr>
            <w:r>
              <w:rPr>
                <w:rFonts w:ascii="宋体" w:hAnsi="宋体" w:eastAsia="宋体"/>
                <w:sz w:val="16"/>
              </w:rPr>
              <w:t>&gt;=100场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9112C">
            <w:pPr>
              <w:jc w:val="center"/>
            </w:pPr>
            <w:r>
              <w:rPr>
                <w:rFonts w:ascii="宋体" w:hAnsi="宋体" w:eastAsia="宋体"/>
                <w:sz w:val="16"/>
              </w:rPr>
              <w:t>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261F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25B99">
            <w:pPr>
              <w:jc w:val="center"/>
            </w:pPr>
            <w:r>
              <w:rPr>
                <w:rFonts w:ascii="宋体" w:hAnsi="宋体" w:eastAsia="宋体"/>
                <w:sz w:val="16"/>
              </w:rPr>
              <w:t>106场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1BFD3">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A3F0B">
            <w:pPr>
              <w:jc w:val="center"/>
            </w:pPr>
            <w:r>
              <w:rPr>
                <w:rFonts w:ascii="宋体" w:hAnsi="宋体" w:eastAsia="宋体"/>
                <w:sz w:val="16"/>
              </w:rPr>
              <w:t>20</w:t>
            </w:r>
          </w:p>
        </w:tc>
      </w:tr>
      <w:tr w14:paraId="696DDB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C12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3B4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7E6F7">
            <w:pPr>
              <w:jc w:val="center"/>
            </w:pPr>
            <w:r>
              <w:rPr>
                <w:rFonts w:ascii="宋体" w:hAnsi="宋体" w:eastAsia="宋体"/>
                <w:sz w:val="16"/>
              </w:rPr>
              <w:t>文艺作品创作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A980A">
            <w:pPr>
              <w:jc w:val="center"/>
            </w:pPr>
            <w:r>
              <w:rPr>
                <w:rFonts w:ascii="宋体" w:hAnsi="宋体" w:eastAsia="宋体"/>
                <w:sz w:val="16"/>
              </w:rPr>
              <w:t>&gt;=12个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BA398">
            <w:pPr>
              <w:jc w:val="center"/>
            </w:pPr>
            <w:r>
              <w:rPr>
                <w:rFonts w:ascii="宋体" w:hAnsi="宋体" w:eastAsia="宋体"/>
                <w:sz w:val="16"/>
              </w:rPr>
              <w:t>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6D8A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13688">
            <w:pPr>
              <w:jc w:val="center"/>
            </w:pPr>
            <w:r>
              <w:rPr>
                <w:rFonts w:ascii="宋体" w:hAnsi="宋体" w:eastAsia="宋体"/>
                <w:sz w:val="16"/>
              </w:rPr>
              <w: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26FE6">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6C5CE">
            <w:pPr>
              <w:jc w:val="center"/>
            </w:pPr>
            <w:r>
              <w:rPr>
                <w:rFonts w:ascii="宋体" w:hAnsi="宋体" w:eastAsia="宋体"/>
                <w:sz w:val="16"/>
              </w:rPr>
              <w:t>20</w:t>
            </w:r>
          </w:p>
        </w:tc>
      </w:tr>
      <w:tr w14:paraId="1A70F5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B0D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0F8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0AA4A">
            <w:pPr>
              <w:jc w:val="center"/>
            </w:pPr>
            <w:r>
              <w:rPr>
                <w:rFonts w:ascii="宋体" w:hAnsi="宋体" w:eastAsia="宋体"/>
                <w:sz w:val="16"/>
              </w:rPr>
              <w:t>购买演出服装道具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64F5A">
            <w:pPr>
              <w:jc w:val="center"/>
            </w:pPr>
            <w:r>
              <w:rPr>
                <w:rFonts w:ascii="宋体" w:hAnsi="宋体" w:eastAsia="宋体"/>
                <w:sz w:val="16"/>
              </w:rPr>
              <w:t>&gt;=3批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C7760">
            <w:pPr>
              <w:jc w:val="center"/>
            </w:pPr>
            <w:r>
              <w:rPr>
                <w:rFonts w:ascii="宋体" w:hAnsi="宋体" w:eastAsia="宋体"/>
                <w:sz w:val="16"/>
              </w:rPr>
              <w:t>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80EF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3B2AE">
            <w:pPr>
              <w:jc w:val="center"/>
            </w:pPr>
            <w:r>
              <w:rPr>
                <w:rFonts w:ascii="宋体" w:hAnsi="宋体" w:eastAsia="宋体"/>
                <w:sz w:val="16"/>
              </w:rPr>
              <w: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4ED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8F2A0">
            <w:pPr>
              <w:jc w:val="center"/>
            </w:pPr>
            <w:r>
              <w:rPr>
                <w:rFonts w:ascii="宋体" w:hAnsi="宋体" w:eastAsia="宋体"/>
                <w:sz w:val="16"/>
              </w:rPr>
              <w:t>20</w:t>
            </w:r>
          </w:p>
        </w:tc>
      </w:tr>
      <w:tr w14:paraId="097077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145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6038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0303D">
            <w:pPr>
              <w:jc w:val="center"/>
            </w:pPr>
            <w:r>
              <w:rPr>
                <w:rFonts w:ascii="宋体" w:hAnsi="宋体" w:eastAsia="宋体"/>
                <w:sz w:val="16"/>
              </w:rPr>
              <w:t>业务人员考核及格率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28D3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89D9F">
            <w:pPr>
              <w:jc w:val="center"/>
            </w:pPr>
            <w:r>
              <w:rPr>
                <w:rFonts w:ascii="宋体" w:hAnsi="宋体" w:eastAsia="宋体"/>
                <w:sz w:val="16"/>
              </w:rPr>
              <w:t>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175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D51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45A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236F1">
            <w:pPr>
              <w:jc w:val="center"/>
            </w:pPr>
            <w:r>
              <w:rPr>
                <w:rFonts w:ascii="宋体" w:hAnsi="宋体" w:eastAsia="宋体"/>
                <w:sz w:val="16"/>
              </w:rPr>
              <w:t>10</w:t>
            </w:r>
          </w:p>
        </w:tc>
      </w:tr>
    </w:tbl>
    <w:p w14:paraId="563EC4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ABDB1F">
        <w:tblPrEx>
          <w:tblCellMar>
            <w:top w:w="0" w:type="dxa"/>
            <w:left w:w="108" w:type="dxa"/>
            <w:bottom w:w="0" w:type="dxa"/>
            <w:right w:w="108" w:type="dxa"/>
          </w:tblCellMar>
        </w:tblPrEx>
        <w:tc>
          <w:tcPr>
            <w:tcW w:w="8848" w:type="dxa"/>
            <w:gridSpan w:val="14"/>
            <w:vAlign w:val="center"/>
          </w:tcPr>
          <w:p w14:paraId="6FE6294E">
            <w:pPr>
              <w:jc w:val="center"/>
            </w:pPr>
            <w:r>
              <w:rPr>
                <w:rFonts w:ascii="宋体" w:hAnsi="宋体" w:eastAsia="宋体"/>
                <w:sz w:val="24"/>
              </w:rPr>
              <w:t>项目支出绩效自评表</w:t>
            </w:r>
          </w:p>
        </w:tc>
      </w:tr>
      <w:tr w14:paraId="03422802">
        <w:tblPrEx>
          <w:tblCellMar>
            <w:top w:w="0" w:type="dxa"/>
            <w:left w:w="108" w:type="dxa"/>
            <w:bottom w:w="0" w:type="dxa"/>
            <w:right w:w="108" w:type="dxa"/>
          </w:tblCellMar>
        </w:tblPrEx>
        <w:tc>
          <w:tcPr>
            <w:tcW w:w="8848" w:type="dxa"/>
            <w:gridSpan w:val="14"/>
            <w:vAlign w:val="center"/>
          </w:tcPr>
          <w:p w14:paraId="1B518B96">
            <w:pPr>
              <w:jc w:val="center"/>
            </w:pPr>
            <w:r>
              <w:rPr>
                <w:rFonts w:ascii="宋体" w:hAnsi="宋体" w:eastAsia="宋体"/>
                <w:sz w:val="24"/>
              </w:rPr>
              <w:t>(2024年度)</w:t>
            </w:r>
          </w:p>
        </w:tc>
      </w:tr>
      <w:tr w14:paraId="248AB5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D8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6E9FB8">
            <w:pPr>
              <w:jc w:val="center"/>
            </w:pPr>
            <w:r>
              <w:rPr>
                <w:rFonts w:ascii="宋体" w:hAnsi="宋体" w:eastAsia="宋体"/>
                <w:sz w:val="16"/>
              </w:rPr>
              <w:t>2024年中央文化人才专项项目</w:t>
            </w:r>
          </w:p>
        </w:tc>
      </w:tr>
      <w:tr w14:paraId="30E176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13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9C55F">
            <w:pPr>
              <w:jc w:val="center"/>
            </w:pPr>
            <w:r>
              <w:rPr>
                <w:rFonts w:ascii="宋体" w:hAnsi="宋体" w:eastAsia="宋体"/>
                <w:sz w:val="16"/>
              </w:rPr>
              <w:t>新疆维吾尔自治区喀什地区歌舞剧团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DE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AD5FE5">
            <w:pPr>
              <w:jc w:val="center"/>
            </w:pPr>
            <w:r>
              <w:rPr>
                <w:rFonts w:ascii="宋体" w:hAnsi="宋体" w:eastAsia="宋体"/>
                <w:sz w:val="16"/>
              </w:rPr>
              <w:t>新疆维吾尔自治区喀什地区歌舞剧团</w:t>
            </w:r>
          </w:p>
        </w:tc>
      </w:tr>
      <w:tr w14:paraId="6D009B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ADF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1E1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73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ED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291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CEB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52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E6B6">
            <w:pPr>
              <w:jc w:val="center"/>
            </w:pPr>
            <w:r>
              <w:rPr>
                <w:rFonts w:ascii="宋体" w:hAnsi="宋体" w:eastAsia="宋体"/>
                <w:sz w:val="16"/>
              </w:rPr>
              <w:t>得分</w:t>
            </w:r>
          </w:p>
        </w:tc>
      </w:tr>
      <w:tr w14:paraId="7AE7F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976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B28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985E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EB1B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322F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31E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2F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4FDB">
            <w:pPr>
              <w:jc w:val="center"/>
            </w:pPr>
            <w:r>
              <w:rPr>
                <w:rFonts w:ascii="宋体" w:hAnsi="宋体" w:eastAsia="宋体"/>
                <w:sz w:val="16"/>
              </w:rPr>
              <w:t>10.00分</w:t>
            </w:r>
          </w:p>
        </w:tc>
      </w:tr>
      <w:tr w14:paraId="7A6CA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5EE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7E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82CC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BB7B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E4D5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F44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BE7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26CC">
            <w:pPr>
              <w:jc w:val="center"/>
            </w:pPr>
            <w:r>
              <w:rPr>
                <w:rFonts w:ascii="宋体" w:hAnsi="宋体" w:eastAsia="宋体"/>
                <w:sz w:val="16"/>
              </w:rPr>
              <w:t>—</w:t>
            </w:r>
          </w:p>
        </w:tc>
      </w:tr>
      <w:tr w14:paraId="5B38B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A80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A4C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D9B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931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3A5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6A1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10A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482A">
            <w:pPr>
              <w:jc w:val="center"/>
            </w:pPr>
            <w:r>
              <w:rPr>
                <w:rFonts w:ascii="宋体" w:hAnsi="宋体" w:eastAsia="宋体"/>
                <w:sz w:val="16"/>
              </w:rPr>
              <w:t>—</w:t>
            </w:r>
          </w:p>
        </w:tc>
      </w:tr>
      <w:tr w14:paraId="4BF6BE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660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630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23BFF7">
            <w:pPr>
              <w:jc w:val="center"/>
            </w:pPr>
            <w:r>
              <w:rPr>
                <w:rFonts w:ascii="宋体" w:hAnsi="宋体" w:eastAsia="宋体"/>
                <w:sz w:val="16"/>
              </w:rPr>
              <w:t>实际完成情况</w:t>
            </w:r>
          </w:p>
        </w:tc>
      </w:tr>
      <w:tr w14:paraId="64FD9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E8E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6F40D6">
            <w:pPr>
              <w:jc w:val="both"/>
            </w:pPr>
            <w:r>
              <w:rPr>
                <w:rFonts w:ascii="宋体" w:hAnsi="宋体" w:eastAsia="宋体"/>
                <w:sz w:val="16"/>
              </w:rPr>
              <w:t>2024年选派2名文艺工作者赴基层文化大院指导、帮扶、开展各类文化活动次数不少于6次，引导支持一批群众性文化活动，积极打造文化品牌，为基层群众送上丰富多彩、喜闻乐见的文化产品，全面提升基层文化活动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FF2C6">
            <w:pPr>
              <w:jc w:val="both"/>
            </w:pPr>
            <w:r>
              <w:rPr>
                <w:rFonts w:ascii="宋体" w:hAnsi="宋体" w:eastAsia="宋体"/>
                <w:sz w:val="16"/>
              </w:rPr>
              <w:t>选派2名文艺工作者赴基层文化大院指导、帮扶、开展6月份“文化大巴扎”下乡演出总计开展6场次，线上观众累计25018人次，线下观众累计3475人次。引导支持一批群众性文化活动，积极打造文化品牌，为基层群众送上丰富多彩、喜闻乐见的文化产品，全面提升基层文化活动效能</w:t>
            </w:r>
          </w:p>
        </w:tc>
      </w:tr>
      <w:tr w14:paraId="445CF0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0592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02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A0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69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1A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8D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A3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C7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85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2D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93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FA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8D857">
            <w:pPr>
              <w:jc w:val="center"/>
            </w:pPr>
            <w:r>
              <w:rPr>
                <w:rFonts w:ascii="宋体" w:hAnsi="宋体" w:eastAsia="宋体"/>
                <w:sz w:val="16"/>
              </w:rPr>
              <w:t>偏差原因分析及改进措施</w:t>
            </w:r>
          </w:p>
        </w:tc>
      </w:tr>
      <w:tr w14:paraId="5556EB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235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96EA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72B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AD59">
            <w:pPr>
              <w:jc w:val="center"/>
            </w:pPr>
            <w:r>
              <w:rPr>
                <w:rFonts w:ascii="宋体" w:hAnsi="宋体" w:eastAsia="宋体"/>
                <w:sz w:val="16"/>
              </w:rPr>
              <w:t>选派文化工作者基层服务人数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7D74">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9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32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5B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9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2C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586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54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2ED7">
            <w:pPr>
              <w:jc w:val="center"/>
            </w:pPr>
          </w:p>
        </w:tc>
      </w:tr>
      <w:tr w14:paraId="4366C4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CD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B7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38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E8C1">
            <w:pPr>
              <w:jc w:val="center"/>
            </w:pPr>
            <w:r>
              <w:rPr>
                <w:rFonts w:ascii="宋体" w:hAnsi="宋体" w:eastAsia="宋体"/>
                <w:sz w:val="16"/>
              </w:rPr>
              <w:t>文化活动服务场次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D2B8">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BF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BA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2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D1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6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E766">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F7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887E">
            <w:pPr>
              <w:jc w:val="center"/>
            </w:pPr>
          </w:p>
        </w:tc>
      </w:tr>
      <w:tr w14:paraId="3B288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32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2C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8C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3EF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3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3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08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F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29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62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B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70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5A93">
            <w:pPr>
              <w:jc w:val="center"/>
            </w:pPr>
          </w:p>
        </w:tc>
      </w:tr>
      <w:tr w14:paraId="695F4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23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74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EA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977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9DB3">
            <w:pPr>
              <w:jc w:val="center"/>
            </w:pPr>
            <w:r>
              <w:rPr>
                <w:rFonts w:ascii="宋体" w:hAnsi="宋体" w:eastAsia="宋体"/>
                <w:sz w:val="16"/>
              </w:rPr>
              <w:t>=2023年12月15日前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FF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51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6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5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42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6BCD">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39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6212C">
            <w:pPr>
              <w:jc w:val="center"/>
            </w:pPr>
          </w:p>
        </w:tc>
      </w:tr>
      <w:tr w14:paraId="63AF4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D6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141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35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1A0F">
            <w:pPr>
              <w:jc w:val="center"/>
            </w:pPr>
            <w:r>
              <w:rPr>
                <w:rFonts w:ascii="宋体" w:hAnsi="宋体" w:eastAsia="宋体"/>
                <w:sz w:val="16"/>
              </w:rPr>
              <w:t>选派工作者人均费用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FA75">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377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BD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69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09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92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876B">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7D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CEBBC">
            <w:pPr>
              <w:jc w:val="center"/>
            </w:pPr>
          </w:p>
        </w:tc>
      </w:tr>
      <w:tr w14:paraId="79942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2D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94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36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0C47">
            <w:pPr>
              <w:jc w:val="center"/>
            </w:pPr>
            <w:r>
              <w:rPr>
                <w:rFonts w:ascii="宋体" w:hAnsi="宋体" w:eastAsia="宋体"/>
                <w:sz w:val="16"/>
              </w:rPr>
              <w:t>提升基层文化旅游事业发展的作用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34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AC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F2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68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E6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EA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D9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0B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46853">
            <w:pPr>
              <w:jc w:val="center"/>
            </w:pPr>
          </w:p>
        </w:tc>
      </w:tr>
      <w:tr w14:paraId="6B03A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B6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50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CB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8D31">
            <w:pPr>
              <w:jc w:val="center"/>
            </w:pPr>
            <w:r>
              <w:rPr>
                <w:rFonts w:ascii="宋体" w:hAnsi="宋体" w:eastAsia="宋体"/>
                <w:sz w:val="16"/>
              </w:rPr>
              <w:t>基层群众满意度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5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0C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F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AA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6D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D8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C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F0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FEE28">
            <w:pPr>
              <w:jc w:val="center"/>
            </w:pPr>
          </w:p>
        </w:tc>
      </w:tr>
      <w:tr w14:paraId="762E2F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4645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CC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1B2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2B8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FB1D2C"/>
        </w:tc>
      </w:tr>
    </w:tbl>
    <w:p w14:paraId="0B4BF0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56A3B53">
        <w:tblPrEx>
          <w:tblCellMar>
            <w:top w:w="0" w:type="dxa"/>
            <w:left w:w="108" w:type="dxa"/>
            <w:bottom w:w="0" w:type="dxa"/>
            <w:right w:w="108" w:type="dxa"/>
          </w:tblCellMar>
        </w:tblPrEx>
        <w:tc>
          <w:tcPr>
            <w:tcW w:w="8848" w:type="dxa"/>
            <w:gridSpan w:val="14"/>
            <w:vAlign w:val="center"/>
          </w:tcPr>
          <w:p w14:paraId="38ADACE3">
            <w:pPr>
              <w:jc w:val="center"/>
            </w:pPr>
            <w:r>
              <w:rPr>
                <w:rFonts w:ascii="宋体" w:hAnsi="宋体" w:eastAsia="宋体"/>
                <w:sz w:val="24"/>
              </w:rPr>
              <w:t>项目支出绩效自评表</w:t>
            </w:r>
          </w:p>
        </w:tc>
      </w:tr>
      <w:tr w14:paraId="2ED82FD2">
        <w:tblPrEx>
          <w:tblCellMar>
            <w:top w:w="0" w:type="dxa"/>
            <w:left w:w="108" w:type="dxa"/>
            <w:bottom w:w="0" w:type="dxa"/>
            <w:right w:w="108" w:type="dxa"/>
          </w:tblCellMar>
        </w:tblPrEx>
        <w:tc>
          <w:tcPr>
            <w:tcW w:w="8848" w:type="dxa"/>
            <w:gridSpan w:val="14"/>
            <w:vAlign w:val="center"/>
          </w:tcPr>
          <w:p w14:paraId="4FA5E881">
            <w:pPr>
              <w:jc w:val="center"/>
            </w:pPr>
            <w:r>
              <w:rPr>
                <w:rFonts w:ascii="宋体" w:hAnsi="宋体" w:eastAsia="宋体"/>
                <w:sz w:val="24"/>
              </w:rPr>
              <w:t>(2024年度)</w:t>
            </w:r>
          </w:p>
        </w:tc>
      </w:tr>
      <w:tr w14:paraId="21525B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93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CDA407">
            <w:pPr>
              <w:jc w:val="center"/>
            </w:pPr>
            <w:r>
              <w:rPr>
                <w:rFonts w:ascii="宋体" w:hAnsi="宋体" w:eastAsia="宋体"/>
                <w:sz w:val="16"/>
              </w:rPr>
              <w:t>2024年地区大型文艺晚会系列活动项目</w:t>
            </w:r>
          </w:p>
        </w:tc>
      </w:tr>
      <w:tr w14:paraId="664A37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39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60E06E2">
            <w:pPr>
              <w:jc w:val="center"/>
              <w:rPr>
                <w:rFonts w:ascii="Times New Roman" w:hAnsi="Times New Roman" w:eastAsia="宋体" w:cs="Times New Roman"/>
                <w:kern w:val="2"/>
                <w:sz w:val="32"/>
                <w:szCs w:val="24"/>
                <w:lang w:val="en-US" w:eastAsia="zh-CN" w:bidi="ar-SA"/>
              </w:rPr>
            </w:pPr>
            <w:r>
              <w:rPr>
                <w:rFonts w:ascii="宋体" w:hAnsi="宋体" w:eastAsia="宋体"/>
                <w:sz w:val="16"/>
              </w:rPr>
              <w:t>新疆维吾尔自治区喀什地区歌舞剧团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85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F2E1CB">
            <w:pPr>
              <w:jc w:val="center"/>
            </w:pPr>
            <w:r>
              <w:rPr>
                <w:rFonts w:ascii="宋体" w:hAnsi="宋体" w:eastAsia="宋体"/>
                <w:sz w:val="16"/>
              </w:rPr>
              <w:t>新疆维吾尔自治区喀什地区歌舞剧团</w:t>
            </w:r>
          </w:p>
        </w:tc>
      </w:tr>
      <w:tr w14:paraId="5909F9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07C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346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58A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DAD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51D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1F3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467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0185">
            <w:pPr>
              <w:jc w:val="center"/>
            </w:pPr>
            <w:r>
              <w:rPr>
                <w:rFonts w:ascii="宋体" w:hAnsi="宋体" w:eastAsia="宋体"/>
                <w:sz w:val="16"/>
              </w:rPr>
              <w:t>得分</w:t>
            </w:r>
          </w:p>
        </w:tc>
      </w:tr>
      <w:tr w14:paraId="74810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4C8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296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5DB7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9ADF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49B2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127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B5D1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1AC0">
            <w:pPr>
              <w:jc w:val="center"/>
            </w:pPr>
            <w:r>
              <w:rPr>
                <w:rFonts w:ascii="宋体" w:hAnsi="宋体" w:eastAsia="宋体"/>
                <w:sz w:val="16"/>
              </w:rPr>
              <w:t>10.00分</w:t>
            </w:r>
          </w:p>
        </w:tc>
      </w:tr>
      <w:tr w14:paraId="39FBF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E8A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505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9A28">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C98AD">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CE466">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696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95A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83FD">
            <w:pPr>
              <w:jc w:val="center"/>
            </w:pPr>
            <w:r>
              <w:rPr>
                <w:rFonts w:ascii="宋体" w:hAnsi="宋体" w:eastAsia="宋体"/>
                <w:sz w:val="16"/>
              </w:rPr>
              <w:t>—</w:t>
            </w:r>
          </w:p>
        </w:tc>
      </w:tr>
      <w:tr w14:paraId="099FD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665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BE4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E64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2AF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AC7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D4C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A46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FFE8">
            <w:pPr>
              <w:jc w:val="center"/>
            </w:pPr>
            <w:r>
              <w:rPr>
                <w:rFonts w:ascii="宋体" w:hAnsi="宋体" w:eastAsia="宋体"/>
                <w:sz w:val="16"/>
              </w:rPr>
              <w:t>—</w:t>
            </w:r>
          </w:p>
        </w:tc>
      </w:tr>
      <w:tr w14:paraId="43A941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C89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A1B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6570A2">
            <w:pPr>
              <w:jc w:val="center"/>
            </w:pPr>
            <w:r>
              <w:rPr>
                <w:rFonts w:ascii="宋体" w:hAnsi="宋体" w:eastAsia="宋体"/>
                <w:sz w:val="16"/>
              </w:rPr>
              <w:t>实际完成情况</w:t>
            </w:r>
          </w:p>
        </w:tc>
      </w:tr>
      <w:tr w14:paraId="483D3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184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B85813">
            <w:pPr>
              <w:jc w:val="both"/>
            </w:pPr>
            <w:r>
              <w:rPr>
                <w:rFonts w:ascii="宋体" w:hAnsi="宋体" w:eastAsia="宋体"/>
                <w:sz w:val="16"/>
              </w:rPr>
              <w:t>“地区大型文艺晚会”系列活动项目总金额共120万元。参加演出人数大于等于250人，创作节目数量大于等于19个，专业材料制作大于等于3批，购买演出服装大于等于60套。在新的一年里树立良好新目标，提高单位为人民服务的演艺队伍水平，以喀什地区各界文艺力量为主题，融合多元化的文艺表演形式，来感恩地方人民对党的关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B65A01">
            <w:pPr>
              <w:jc w:val="both"/>
            </w:pPr>
            <w:r>
              <w:rPr>
                <w:rFonts w:ascii="宋体" w:hAnsi="宋体" w:eastAsia="宋体"/>
                <w:sz w:val="16"/>
              </w:rPr>
              <w:t>项目总金额共120万元，参加演出人数等于259人，创作节目数量为19个，购买专业材料制作3批，购买演出服装60套，共举办了古尔邦节晚会和建国75周年系列活动（文艺晚会、音乐会），通过深入挖掘民族节日文化内涵，传承和弘扬中华优秀传统文化，铸牢中华民族共同体意识，坚定各族干部群众文化自信、增强文化认同，唱响共产党好、社会主义好、改革开放好、民族团结进步好的时代主旋律，提升各族干部群众的获得感、幸福感、自豪感。</w:t>
            </w:r>
          </w:p>
        </w:tc>
      </w:tr>
      <w:tr w14:paraId="6D89FE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E86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1F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D8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5F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0C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D0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9B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15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55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8B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B1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34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3EED">
            <w:pPr>
              <w:jc w:val="center"/>
            </w:pPr>
            <w:r>
              <w:rPr>
                <w:rFonts w:ascii="宋体" w:hAnsi="宋体" w:eastAsia="宋体"/>
                <w:sz w:val="16"/>
              </w:rPr>
              <w:t>偏差原因分析及改进措施</w:t>
            </w:r>
          </w:p>
        </w:tc>
      </w:tr>
      <w:tr w14:paraId="5752FF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9D3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168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A7F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3F69">
            <w:pPr>
              <w:jc w:val="center"/>
            </w:pPr>
            <w:r>
              <w:rPr>
                <w:rFonts w:ascii="宋体" w:hAnsi="宋体" w:eastAsia="宋体"/>
                <w:sz w:val="16"/>
              </w:rPr>
              <w:t>参加演出人数（人）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A7AF">
            <w:pPr>
              <w:jc w:val="center"/>
            </w:pPr>
            <w:r>
              <w:rPr>
                <w:rFonts w:ascii="宋体" w:hAnsi="宋体" w:eastAsia="宋体"/>
                <w:sz w:val="16"/>
              </w:rPr>
              <w:t>&gt;=250人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856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E807">
            <w:pPr>
              <w:jc w:val="center"/>
            </w:pPr>
            <w:r>
              <w:rPr>
                <w:rFonts w:ascii="宋体" w:hAnsi="宋体" w:eastAsia="宋体"/>
                <w:sz w:val="16"/>
              </w:rPr>
              <w:t>&gt;=250人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AE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2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59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5165">
            <w:pPr>
              <w:jc w:val="center"/>
            </w:pPr>
            <w:r>
              <w:rPr>
                <w:rFonts w:ascii="宋体" w:hAnsi="宋体" w:eastAsia="宋体"/>
                <w:sz w:val="16"/>
              </w:rPr>
              <w:t>=247人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82ED">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4E68">
            <w:pPr>
              <w:jc w:val="center"/>
            </w:pPr>
            <w:r>
              <w:rPr>
                <w:rFonts w:ascii="宋体" w:hAnsi="宋体" w:eastAsia="宋体"/>
                <w:sz w:val="16"/>
              </w:rPr>
              <w:t>偏差原因：3名演员外出学习培训，未能参加演出。改进措施：及时调整合理目标值。</w:t>
            </w:r>
          </w:p>
        </w:tc>
      </w:tr>
      <w:tr w14:paraId="6FB2A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388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2E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26F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DE3D">
            <w:pPr>
              <w:jc w:val="center"/>
            </w:pPr>
            <w:r>
              <w:rPr>
                <w:rFonts w:ascii="宋体" w:hAnsi="宋体" w:eastAsia="宋体"/>
                <w:sz w:val="16"/>
              </w:rPr>
              <w:t>创作节目数量（个）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C0FB">
            <w:pPr>
              <w:jc w:val="center"/>
            </w:pPr>
            <w:r>
              <w:rPr>
                <w:rFonts w:ascii="宋体" w:hAnsi="宋体" w:eastAsia="宋体"/>
                <w:sz w:val="16"/>
              </w:rPr>
              <w:t>&gt;=19个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CE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8902">
            <w:pPr>
              <w:jc w:val="center"/>
            </w:pPr>
            <w:r>
              <w:rPr>
                <w:rFonts w:ascii="宋体" w:hAnsi="宋体" w:eastAsia="宋体"/>
                <w:sz w:val="16"/>
              </w:rPr>
              <w:t>&gt;=19个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6C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3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0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3D3C">
            <w:pPr>
              <w:jc w:val="center"/>
            </w:pPr>
            <w:r>
              <w:rPr>
                <w:rFonts w:ascii="宋体" w:hAnsi="宋体" w:eastAsia="宋体"/>
                <w:sz w:val="16"/>
              </w:rPr>
              <w: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7060">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77785">
            <w:pPr>
              <w:jc w:val="center"/>
            </w:pPr>
            <w:r>
              <w:rPr>
                <w:rFonts w:ascii="宋体" w:hAnsi="宋体" w:eastAsia="宋体"/>
                <w:sz w:val="16"/>
              </w:rPr>
              <w:t>偏差原因：因古尔邦节扩大演出规模，本年创作节目增加</w:t>
            </w:r>
          </w:p>
        </w:tc>
      </w:tr>
      <w:tr w14:paraId="418D2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06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A5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57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A031">
            <w:pPr>
              <w:jc w:val="center"/>
            </w:pPr>
            <w:r>
              <w:rPr>
                <w:rFonts w:ascii="宋体" w:hAnsi="宋体" w:eastAsia="宋体"/>
                <w:sz w:val="16"/>
              </w:rPr>
              <w:t>专业材料制作（批）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1ADB">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E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164A">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23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C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22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6D19">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FC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7315">
            <w:pPr>
              <w:jc w:val="center"/>
            </w:pPr>
          </w:p>
        </w:tc>
      </w:tr>
      <w:tr w14:paraId="6654C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9C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55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28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D2CE">
            <w:pPr>
              <w:jc w:val="center"/>
            </w:pPr>
            <w:r>
              <w:rPr>
                <w:rFonts w:ascii="宋体" w:hAnsi="宋体" w:eastAsia="宋体"/>
                <w:sz w:val="16"/>
              </w:rPr>
              <w:t>购买演出服装（套）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A836">
            <w:pPr>
              <w:jc w:val="center"/>
            </w:pPr>
            <w:r>
              <w:rPr>
                <w:rFonts w:ascii="宋体" w:hAnsi="宋体" w:eastAsia="宋体"/>
                <w:sz w:val="16"/>
              </w:rPr>
              <w:t>&gt;=60套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B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8B71">
            <w:pPr>
              <w:jc w:val="center"/>
            </w:pPr>
            <w:r>
              <w:rPr>
                <w:rFonts w:ascii="宋体" w:hAnsi="宋体" w:eastAsia="宋体"/>
                <w:sz w:val="16"/>
              </w:rPr>
              <w:t>&gt;=60套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C6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26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D1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641E">
            <w:pPr>
              <w:jc w:val="center"/>
            </w:pPr>
            <w:r>
              <w:rPr>
                <w:rFonts w:ascii="宋体" w:hAnsi="宋体" w:eastAsia="宋体"/>
                <w:sz w:val="16"/>
              </w:rPr>
              <w:t>=60套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EE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62BA">
            <w:pPr>
              <w:jc w:val="center"/>
            </w:pPr>
          </w:p>
        </w:tc>
      </w:tr>
      <w:tr w14:paraId="21919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49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72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BE7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011A">
            <w:pPr>
              <w:jc w:val="center"/>
            </w:pPr>
            <w:r>
              <w:rPr>
                <w:rFonts w:ascii="宋体" w:hAnsi="宋体" w:eastAsia="宋体"/>
                <w:sz w:val="16"/>
              </w:rPr>
              <w:t>举办演出场次（场）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1192">
            <w:pPr>
              <w:jc w:val="center"/>
            </w:pPr>
            <w:r>
              <w:rPr>
                <w:rFonts w:ascii="宋体" w:hAnsi="宋体" w:eastAsia="宋体"/>
                <w:sz w:val="16"/>
              </w:rPr>
              <w:t>&gt;=5场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B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B007">
            <w:pPr>
              <w:jc w:val="center"/>
            </w:pPr>
            <w:r>
              <w:rPr>
                <w:rFonts w:ascii="宋体" w:hAnsi="宋体" w:eastAsia="宋体"/>
                <w:sz w:val="16"/>
              </w:rPr>
              <w:t>&gt;=5场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48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7A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2F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DC79">
            <w:pPr>
              <w:jc w:val="center"/>
            </w:pPr>
            <w:r>
              <w:rPr>
                <w:rFonts w:ascii="宋体" w:hAnsi="宋体" w:eastAsia="宋体"/>
                <w:sz w:val="16"/>
              </w:rPr>
              <w: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788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EABFA">
            <w:pPr>
              <w:jc w:val="center"/>
            </w:pPr>
          </w:p>
        </w:tc>
      </w:tr>
      <w:tr w14:paraId="4335D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4B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E9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7A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B22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ED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3E9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5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C6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6C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FC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DA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4A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62623">
            <w:pPr>
              <w:jc w:val="center"/>
            </w:pPr>
          </w:p>
        </w:tc>
      </w:tr>
      <w:tr w14:paraId="72B72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C69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1F7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81A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9EA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0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C1F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C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67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AF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31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E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B4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4B18">
            <w:pPr>
              <w:jc w:val="center"/>
            </w:pPr>
          </w:p>
        </w:tc>
      </w:tr>
      <w:tr w14:paraId="31919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72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5AA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35B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072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F6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F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82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67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8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E1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A4ED">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DF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C52E8">
            <w:pPr>
              <w:jc w:val="center"/>
            </w:pPr>
          </w:p>
        </w:tc>
      </w:tr>
      <w:tr w14:paraId="14367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D5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F2A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806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C287">
            <w:pPr>
              <w:jc w:val="center"/>
            </w:pPr>
            <w:r>
              <w:rPr>
                <w:rFonts w:ascii="宋体" w:hAnsi="宋体" w:eastAsia="宋体"/>
                <w:sz w:val="16"/>
              </w:rPr>
              <w:t>古尔邦节文艺晚会活动成本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5268">
            <w:pPr>
              <w:jc w:val="center"/>
            </w:pPr>
            <w:r>
              <w:rPr>
                <w:rFonts w:ascii="宋体" w:hAnsi="宋体" w:eastAsia="宋体"/>
                <w:sz w:val="16"/>
              </w:rPr>
              <w:t>&lt;=42万元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04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39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71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F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54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02BF">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FB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90CB6">
            <w:pPr>
              <w:jc w:val="center"/>
            </w:pPr>
          </w:p>
        </w:tc>
      </w:tr>
      <w:tr w14:paraId="56E6A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B3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E8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71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37C4">
            <w:pPr>
              <w:jc w:val="center"/>
            </w:pPr>
            <w:r>
              <w:rPr>
                <w:rFonts w:ascii="宋体" w:hAnsi="宋体" w:eastAsia="宋体"/>
                <w:sz w:val="16"/>
              </w:rPr>
              <w:t>建国75周年系列活动成本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0352">
            <w:pPr>
              <w:jc w:val="center"/>
            </w:pPr>
            <w:r>
              <w:rPr>
                <w:rFonts w:ascii="宋体" w:hAnsi="宋体" w:eastAsia="宋体"/>
                <w:sz w:val="16"/>
              </w:rPr>
              <w:t>&lt;=68万元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26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89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9F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3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CF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1A07">
            <w:pPr>
              <w:jc w:val="center"/>
            </w:pPr>
            <w:r>
              <w:rPr>
                <w:rFonts w:ascii="宋体" w:hAnsi="宋体" w:eastAsia="宋体"/>
                <w:sz w:val="16"/>
              </w:rPr>
              <w: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EB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E726D">
            <w:pPr>
              <w:jc w:val="center"/>
            </w:pPr>
          </w:p>
        </w:tc>
      </w:tr>
      <w:tr w14:paraId="07A80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56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27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4C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4FDE">
            <w:pPr>
              <w:jc w:val="center"/>
            </w:pPr>
            <w:r>
              <w:rPr>
                <w:rFonts w:ascii="宋体" w:hAnsi="宋体" w:eastAsia="宋体"/>
                <w:sz w:val="16"/>
              </w:rPr>
              <w:t>兵地融合文艺交流演出成本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AEC0">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E1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07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E6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FE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D0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91AD">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28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BCE2F">
            <w:pPr>
              <w:jc w:val="center"/>
            </w:pPr>
          </w:p>
        </w:tc>
      </w:tr>
      <w:tr w14:paraId="127DF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608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A4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23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A878">
            <w:pPr>
              <w:jc w:val="center"/>
            </w:pPr>
            <w:r>
              <w:rPr>
                <w:rFonts w:ascii="宋体" w:hAnsi="宋体" w:eastAsia="宋体"/>
                <w:sz w:val="16"/>
              </w:rPr>
              <w:t>提高单位为人民服务的演艺队伍水平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4C8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C0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539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72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B0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A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4C0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40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B9C7C">
            <w:pPr>
              <w:jc w:val="center"/>
            </w:pPr>
          </w:p>
        </w:tc>
      </w:tr>
      <w:tr w14:paraId="6DBD1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44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1F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C7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F6F4">
            <w:pPr>
              <w:jc w:val="center"/>
            </w:pPr>
            <w:r>
              <w:rPr>
                <w:rFonts w:ascii="宋体" w:hAnsi="宋体" w:eastAsia="宋体"/>
                <w:sz w:val="16"/>
              </w:rPr>
              <w:t>现场观众满意度（%）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5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21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C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8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BC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B7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A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27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7917E">
            <w:pPr>
              <w:jc w:val="center"/>
            </w:pPr>
          </w:p>
        </w:tc>
      </w:tr>
      <w:tr w14:paraId="4404B6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961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AD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A7F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F9C7">
            <w:pPr>
              <w:jc w:val="center"/>
            </w:pPr>
            <w:r>
              <w:rPr>
                <w:rFonts w:ascii="宋体" w:hAnsi="宋体" w:eastAsia="宋体"/>
                <w:sz w:val="16"/>
              </w:rPr>
              <w:t>97.48分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259B7A"/>
        </w:tc>
      </w:tr>
    </w:tbl>
    <w:p w14:paraId="41C282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202D3C8">
        <w:tblPrEx>
          <w:tblCellMar>
            <w:top w:w="0" w:type="dxa"/>
            <w:left w:w="108" w:type="dxa"/>
            <w:bottom w:w="0" w:type="dxa"/>
            <w:right w:w="108" w:type="dxa"/>
          </w:tblCellMar>
        </w:tblPrEx>
        <w:tc>
          <w:tcPr>
            <w:tcW w:w="8848" w:type="dxa"/>
            <w:gridSpan w:val="14"/>
            <w:vAlign w:val="center"/>
          </w:tcPr>
          <w:p w14:paraId="4727AF07">
            <w:pPr>
              <w:jc w:val="center"/>
            </w:pPr>
            <w:r>
              <w:rPr>
                <w:rFonts w:ascii="宋体" w:hAnsi="宋体" w:eastAsia="宋体"/>
                <w:sz w:val="24"/>
              </w:rPr>
              <w:t>项目支出绩效自评表</w:t>
            </w:r>
          </w:p>
        </w:tc>
      </w:tr>
      <w:tr w14:paraId="269E1E6D">
        <w:tblPrEx>
          <w:tblCellMar>
            <w:top w:w="0" w:type="dxa"/>
            <w:left w:w="108" w:type="dxa"/>
            <w:bottom w:w="0" w:type="dxa"/>
            <w:right w:w="108" w:type="dxa"/>
          </w:tblCellMar>
        </w:tblPrEx>
        <w:tc>
          <w:tcPr>
            <w:tcW w:w="8848" w:type="dxa"/>
            <w:gridSpan w:val="14"/>
            <w:vAlign w:val="center"/>
          </w:tcPr>
          <w:p w14:paraId="13E8AAD6">
            <w:pPr>
              <w:jc w:val="center"/>
            </w:pPr>
            <w:r>
              <w:rPr>
                <w:rFonts w:ascii="宋体" w:hAnsi="宋体" w:eastAsia="宋体"/>
                <w:sz w:val="24"/>
              </w:rPr>
              <w:t>(2024年度)</w:t>
            </w:r>
          </w:p>
        </w:tc>
      </w:tr>
      <w:tr w14:paraId="5FA253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86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25233D">
            <w:pPr>
              <w:jc w:val="center"/>
            </w:pPr>
            <w:r>
              <w:rPr>
                <w:rFonts w:ascii="宋体" w:hAnsi="宋体" w:eastAsia="宋体"/>
                <w:sz w:val="16"/>
              </w:rPr>
              <w:t>2024年歌舞排练创作运转保障项目</w:t>
            </w:r>
          </w:p>
        </w:tc>
      </w:tr>
      <w:tr w14:paraId="39F647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FC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483D3">
            <w:pPr>
              <w:jc w:val="center"/>
            </w:pPr>
            <w:r>
              <w:rPr>
                <w:rFonts w:ascii="宋体" w:hAnsi="宋体" w:eastAsia="宋体"/>
                <w:sz w:val="16"/>
              </w:rPr>
              <w:t>新疆维吾尔自治区喀什地区歌舞剧团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49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FC66EC">
            <w:pPr>
              <w:jc w:val="center"/>
            </w:pPr>
            <w:r>
              <w:rPr>
                <w:rFonts w:ascii="宋体" w:hAnsi="宋体" w:eastAsia="宋体"/>
                <w:sz w:val="16"/>
              </w:rPr>
              <w:t>新疆维吾尔自治区喀什地区歌舞剧团</w:t>
            </w:r>
          </w:p>
        </w:tc>
      </w:tr>
      <w:tr w14:paraId="49C370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520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00C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41B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6F1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929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E09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6DD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5673">
            <w:pPr>
              <w:jc w:val="center"/>
            </w:pPr>
            <w:r>
              <w:rPr>
                <w:rFonts w:ascii="宋体" w:hAnsi="宋体" w:eastAsia="宋体"/>
                <w:sz w:val="16"/>
              </w:rPr>
              <w:t>得分</w:t>
            </w:r>
          </w:p>
        </w:tc>
      </w:tr>
      <w:tr w14:paraId="7A7BF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6CB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5FA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15453">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0ACB3">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A55B9">
            <w:pPr>
              <w:jc w:val="center"/>
            </w:pPr>
            <w:r>
              <w:rPr>
                <w:rFonts w:ascii="宋体" w:hAnsi="宋体" w:eastAsia="宋体"/>
                <w:sz w:val="16"/>
              </w:rPr>
              <w:t>13.69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727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0010">
            <w:pPr>
              <w:jc w:val="center"/>
            </w:pPr>
            <w:r>
              <w:rPr>
                <w:rFonts w:ascii="宋体" w:hAnsi="宋体" w:eastAsia="宋体"/>
                <w:sz w:val="16"/>
              </w:rPr>
              <w:t>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BCEB">
            <w:pPr>
              <w:jc w:val="center"/>
            </w:pPr>
            <w:r>
              <w:rPr>
                <w:rFonts w:ascii="宋体" w:hAnsi="宋体" w:eastAsia="宋体"/>
                <w:sz w:val="16"/>
              </w:rPr>
              <w:t>8.60分</w:t>
            </w:r>
          </w:p>
        </w:tc>
      </w:tr>
      <w:tr w14:paraId="5A254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69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EFE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B2B3">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C4BE1">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8E80">
            <w:pPr>
              <w:jc w:val="center"/>
            </w:pPr>
            <w:r>
              <w:rPr>
                <w:rFonts w:ascii="宋体" w:hAnsi="宋体" w:eastAsia="宋体"/>
                <w:sz w:val="16"/>
              </w:rPr>
              <w:t>13.69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D2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C8F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6E76">
            <w:pPr>
              <w:jc w:val="center"/>
            </w:pPr>
            <w:r>
              <w:rPr>
                <w:rFonts w:ascii="宋体" w:hAnsi="宋体" w:eastAsia="宋体"/>
                <w:sz w:val="16"/>
              </w:rPr>
              <w:t>—</w:t>
            </w:r>
          </w:p>
        </w:tc>
      </w:tr>
      <w:tr w14:paraId="009EB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58E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B0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0D6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9BE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44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D4A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F9F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2A1A">
            <w:pPr>
              <w:jc w:val="center"/>
            </w:pPr>
            <w:r>
              <w:rPr>
                <w:rFonts w:ascii="宋体" w:hAnsi="宋体" w:eastAsia="宋体"/>
                <w:sz w:val="16"/>
              </w:rPr>
              <w:t>—</w:t>
            </w:r>
          </w:p>
        </w:tc>
      </w:tr>
      <w:tr w14:paraId="5F002C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12B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E98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F2D1AC">
            <w:pPr>
              <w:jc w:val="center"/>
            </w:pPr>
            <w:r>
              <w:rPr>
                <w:rFonts w:ascii="宋体" w:hAnsi="宋体" w:eastAsia="宋体"/>
                <w:sz w:val="16"/>
              </w:rPr>
              <w:t>实际完成情况</w:t>
            </w:r>
          </w:p>
        </w:tc>
      </w:tr>
      <w:tr w14:paraId="01FAD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FA1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79E928">
            <w:pPr>
              <w:jc w:val="both"/>
            </w:pPr>
            <w:r>
              <w:rPr>
                <w:rFonts w:ascii="宋体" w:hAnsi="宋体" w:eastAsia="宋体"/>
                <w:sz w:val="16"/>
              </w:rPr>
              <w:t>该项目总金额共14.5万元，根据我团会议纪要及单位业务需求，为营造办公场所的良好环境，我团预计保障单位安全劳务费4.8万元，购买办公桌椅一套0.7万元，办公经费5万元，通讯费1.8万元，专用材料1.2万元，公务车运转1万元，确保各项工作顺利开展，提高职工的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E6812E">
            <w:pPr>
              <w:jc w:val="both"/>
            </w:pPr>
            <w:r>
              <w:rPr>
                <w:rFonts w:hint="eastAsia" w:ascii="宋体" w:hAnsi="宋体"/>
                <w:sz w:val="16"/>
                <w:lang w:eastAsia="zh-CN"/>
              </w:rPr>
              <w:t>截至</w:t>
            </w:r>
            <w:r>
              <w:rPr>
                <w:rFonts w:ascii="宋体" w:hAnsi="宋体" w:eastAsia="宋体"/>
                <w:sz w:val="16"/>
              </w:rPr>
              <w:t>12月底，该项目使用金额为13.69万元，按月保障单位安全劳务费4.8万元，购买办公桌椅一套0.62万元，办公用品经费4.27万元，通讯费1.8万元，专用材料1.2万元，公务车运转1万元，保障了单位业务工作的正常运行，提高职工的工作质量和社会服务范围。</w:t>
            </w:r>
          </w:p>
        </w:tc>
      </w:tr>
      <w:tr w14:paraId="7B3BCF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17E7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E6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33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DD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76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20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D6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33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CB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0A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6E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F6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03B9B">
            <w:pPr>
              <w:jc w:val="center"/>
            </w:pPr>
            <w:r>
              <w:rPr>
                <w:rFonts w:ascii="宋体" w:hAnsi="宋体" w:eastAsia="宋体"/>
                <w:sz w:val="16"/>
              </w:rPr>
              <w:t>偏差原因分析及改进措施</w:t>
            </w:r>
          </w:p>
        </w:tc>
      </w:tr>
      <w:tr w14:paraId="0DC162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9F5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FBE8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46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BFF9">
            <w:pPr>
              <w:jc w:val="center"/>
            </w:pPr>
            <w:r>
              <w:rPr>
                <w:rFonts w:ascii="宋体" w:hAnsi="宋体" w:eastAsia="宋体"/>
                <w:sz w:val="16"/>
              </w:rPr>
              <w:t>保障单位运行月数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982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945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2C5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D9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1BF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FD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B69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CAE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4B829">
            <w:pPr>
              <w:jc w:val="center"/>
            </w:pPr>
          </w:p>
        </w:tc>
      </w:tr>
      <w:tr w14:paraId="602EC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64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73E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D86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D6C5">
            <w:pPr>
              <w:jc w:val="center"/>
            </w:pPr>
            <w:r>
              <w:rPr>
                <w:rFonts w:ascii="宋体" w:hAnsi="宋体" w:eastAsia="宋体"/>
                <w:sz w:val="16"/>
              </w:rPr>
              <w:t>购买办公家具（套）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EC8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22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1F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BC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7C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30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8A1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36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D2E8">
            <w:pPr>
              <w:jc w:val="center"/>
            </w:pPr>
          </w:p>
        </w:tc>
      </w:tr>
      <w:tr w14:paraId="15FD2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057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4E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F9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DD61">
            <w:pPr>
              <w:jc w:val="center"/>
            </w:pPr>
            <w:r>
              <w:rPr>
                <w:rFonts w:ascii="宋体" w:hAnsi="宋体" w:eastAsia="宋体"/>
                <w:sz w:val="16"/>
              </w:rPr>
              <w:t>购买办公用品（批）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30EA">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1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B0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CF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DD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F8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8B97">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F4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28E2C">
            <w:pPr>
              <w:jc w:val="center"/>
            </w:pPr>
          </w:p>
        </w:tc>
      </w:tr>
      <w:tr w14:paraId="5DC4C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84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63B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E33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7937">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4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6A8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FD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A7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3F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93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8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02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F09D9">
            <w:pPr>
              <w:jc w:val="center"/>
            </w:pPr>
          </w:p>
        </w:tc>
      </w:tr>
      <w:tr w14:paraId="50181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91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E7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9A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A1E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A9C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99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5A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66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07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AA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33D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77B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D224">
            <w:pPr>
              <w:jc w:val="center"/>
            </w:pPr>
          </w:p>
        </w:tc>
      </w:tr>
      <w:tr w14:paraId="06FA3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FEB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60C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93B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FE95">
            <w:pPr>
              <w:jc w:val="center"/>
            </w:pPr>
            <w:r>
              <w:rPr>
                <w:rFonts w:ascii="宋体" w:hAnsi="宋体" w:eastAsia="宋体"/>
                <w:sz w:val="16"/>
              </w:rPr>
              <w:t>项目所需运行成本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20BF">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C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3A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91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08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DB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7BB0">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15B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F62A4">
            <w:pPr>
              <w:jc w:val="center"/>
            </w:pPr>
          </w:p>
        </w:tc>
      </w:tr>
      <w:tr w14:paraId="11C1C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49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4B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08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ECE1">
            <w:pPr>
              <w:jc w:val="center"/>
            </w:pPr>
            <w:r>
              <w:rPr>
                <w:rFonts w:ascii="宋体" w:hAnsi="宋体" w:eastAsia="宋体"/>
                <w:sz w:val="16"/>
              </w:rPr>
              <w:t>项目所需办公成本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7FD0">
            <w:pPr>
              <w:jc w:val="center"/>
            </w:pPr>
            <w:r>
              <w:rPr>
                <w:rFonts w:ascii="宋体" w:hAnsi="宋体" w:eastAsia="宋体"/>
                <w:sz w:val="16"/>
              </w:rPr>
              <w:t>&lt;=5.70万元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1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E4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E6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1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8C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D49C">
            <w:pPr>
              <w:jc w:val="center"/>
            </w:pPr>
            <w:r>
              <w:rPr>
                <w:rFonts w:ascii="宋体" w:hAnsi="宋体" w:eastAsia="宋体"/>
                <w:sz w:val="16"/>
              </w:rPr>
              <w:t>=4.89万元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3746">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2CD93">
            <w:pPr>
              <w:jc w:val="center"/>
            </w:pPr>
            <w:r>
              <w:rPr>
                <w:rFonts w:ascii="宋体" w:hAnsi="宋体" w:eastAsia="宋体"/>
                <w:sz w:val="16"/>
              </w:rPr>
              <w:t>偏差原因：本年业务工作较多，减少了一定的办公需求。改进措施：</w:t>
            </w:r>
            <w:r>
              <w:rPr>
                <w:rFonts w:hint="eastAsia" w:ascii="宋体" w:hAnsi="宋体"/>
                <w:sz w:val="16"/>
                <w:lang w:eastAsia="zh-CN"/>
              </w:rPr>
              <w:t>更加</w:t>
            </w:r>
            <w:r>
              <w:rPr>
                <w:rFonts w:ascii="宋体" w:hAnsi="宋体" w:eastAsia="宋体"/>
                <w:sz w:val="16"/>
              </w:rPr>
              <w:t>精准做好预算，科学设立目标指标。</w:t>
            </w:r>
          </w:p>
        </w:tc>
      </w:tr>
      <w:tr w14:paraId="13BBF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9E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15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B9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5594">
            <w:pPr>
              <w:jc w:val="center"/>
            </w:pPr>
            <w:r>
              <w:rPr>
                <w:rFonts w:ascii="宋体" w:hAnsi="宋体" w:eastAsia="宋体"/>
                <w:sz w:val="16"/>
              </w:rPr>
              <w:t>项目所需公务用车成本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A36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9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36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6E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D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10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389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C09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BE89">
            <w:pPr>
              <w:jc w:val="center"/>
            </w:pPr>
          </w:p>
        </w:tc>
      </w:tr>
      <w:tr w14:paraId="04AB8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2B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CC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DC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A090">
            <w:pPr>
              <w:jc w:val="center"/>
            </w:pPr>
            <w:r>
              <w:rPr>
                <w:rFonts w:ascii="宋体" w:hAnsi="宋体" w:eastAsia="宋体"/>
                <w:sz w:val="16"/>
              </w:rPr>
              <w:t>项目所需通讯费成本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BC97">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2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40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C1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B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12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A9FC">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899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2114F">
            <w:pPr>
              <w:jc w:val="center"/>
            </w:pPr>
          </w:p>
        </w:tc>
      </w:tr>
      <w:tr w14:paraId="3D7DD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C6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1A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98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FC2E">
            <w:pPr>
              <w:jc w:val="center"/>
            </w:pPr>
            <w:r>
              <w:rPr>
                <w:rFonts w:ascii="宋体" w:hAnsi="宋体" w:eastAsia="宋体"/>
                <w:sz w:val="16"/>
              </w:rPr>
              <w:t>项目所需专用材料成本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4C01">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DA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B3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26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0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80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A7CF">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93D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50C6F">
            <w:pPr>
              <w:jc w:val="center"/>
            </w:pPr>
          </w:p>
        </w:tc>
      </w:tr>
      <w:tr w14:paraId="08079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2F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FD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E5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9617">
            <w:pPr>
              <w:jc w:val="center"/>
            </w:pPr>
            <w:r>
              <w:rPr>
                <w:rFonts w:ascii="宋体" w:hAnsi="宋体" w:eastAsia="宋体"/>
                <w:sz w:val="16"/>
              </w:rPr>
              <w:t>提高职工的工作质量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C12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CA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1AA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D5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9A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0A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59F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6E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A9FBA">
            <w:pPr>
              <w:jc w:val="center"/>
            </w:pPr>
          </w:p>
        </w:tc>
      </w:tr>
      <w:tr w14:paraId="429A5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E0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37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10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36F5">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3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F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8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8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41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A7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C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38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5898C">
            <w:pPr>
              <w:jc w:val="center"/>
            </w:pPr>
          </w:p>
        </w:tc>
      </w:tr>
      <w:tr w14:paraId="4D7DE1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721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12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95E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D6FF">
            <w:pPr>
              <w:jc w:val="center"/>
            </w:pPr>
            <w:r>
              <w:rPr>
                <w:rFonts w:ascii="宋体" w:hAnsi="宋体" w:eastAsia="宋体"/>
                <w:sz w:val="16"/>
              </w:rPr>
              <w:t>97.18分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CA0199"/>
        </w:tc>
      </w:tr>
    </w:tbl>
    <w:p w14:paraId="7044C70A">
      <w:r>
        <w:br w:type="page"/>
      </w:r>
    </w:p>
    <w:tbl>
      <w:tblPr>
        <w:tblStyle w:val="9"/>
        <w:tblW w:w="0" w:type="auto"/>
        <w:tblInd w:w="0" w:type="dxa"/>
        <w:tblLayout w:type="autofit"/>
        <w:tblCellMar>
          <w:top w:w="0" w:type="dxa"/>
          <w:left w:w="108" w:type="dxa"/>
          <w:bottom w:w="0" w:type="dxa"/>
          <w:right w:w="108" w:type="dxa"/>
        </w:tblCellMar>
      </w:tblPr>
      <w:tblGrid>
        <w:gridCol w:w="630"/>
        <w:gridCol w:w="631"/>
        <w:gridCol w:w="631"/>
        <w:gridCol w:w="856"/>
        <w:gridCol w:w="632"/>
        <w:gridCol w:w="631"/>
        <w:gridCol w:w="631"/>
        <w:gridCol w:w="631"/>
        <w:gridCol w:w="631"/>
        <w:gridCol w:w="631"/>
        <w:gridCol w:w="632"/>
        <w:gridCol w:w="632"/>
        <w:gridCol w:w="629"/>
        <w:gridCol w:w="632"/>
      </w:tblGrid>
      <w:tr w14:paraId="1A2E35C6">
        <w:tblPrEx>
          <w:tblCellMar>
            <w:top w:w="0" w:type="dxa"/>
            <w:left w:w="108" w:type="dxa"/>
            <w:bottom w:w="0" w:type="dxa"/>
            <w:right w:w="108" w:type="dxa"/>
          </w:tblCellMar>
        </w:tblPrEx>
        <w:tc>
          <w:tcPr>
            <w:tcW w:w="8848" w:type="dxa"/>
            <w:gridSpan w:val="14"/>
            <w:vAlign w:val="center"/>
          </w:tcPr>
          <w:p w14:paraId="6063B4AB">
            <w:pPr>
              <w:jc w:val="center"/>
            </w:pPr>
            <w:r>
              <w:rPr>
                <w:rFonts w:ascii="宋体" w:hAnsi="宋体" w:eastAsia="宋体"/>
                <w:sz w:val="24"/>
              </w:rPr>
              <w:t>项目支出绩效自评表</w:t>
            </w:r>
          </w:p>
        </w:tc>
      </w:tr>
      <w:tr w14:paraId="7E1CA45E">
        <w:tblPrEx>
          <w:tblCellMar>
            <w:top w:w="0" w:type="dxa"/>
            <w:left w:w="108" w:type="dxa"/>
            <w:bottom w:w="0" w:type="dxa"/>
            <w:right w:w="108" w:type="dxa"/>
          </w:tblCellMar>
        </w:tblPrEx>
        <w:tc>
          <w:tcPr>
            <w:tcW w:w="8848" w:type="dxa"/>
            <w:gridSpan w:val="14"/>
            <w:vAlign w:val="center"/>
          </w:tcPr>
          <w:p w14:paraId="0F59EAA8">
            <w:pPr>
              <w:jc w:val="center"/>
            </w:pPr>
            <w:r>
              <w:rPr>
                <w:rFonts w:ascii="宋体" w:hAnsi="宋体" w:eastAsia="宋体"/>
                <w:sz w:val="24"/>
              </w:rPr>
              <w:t>(2024年度)</w:t>
            </w:r>
          </w:p>
        </w:tc>
      </w:tr>
      <w:tr w14:paraId="3202EF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87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223E08">
            <w:pPr>
              <w:jc w:val="center"/>
            </w:pPr>
            <w:r>
              <w:rPr>
                <w:rFonts w:ascii="宋体" w:hAnsi="宋体" w:eastAsia="宋体"/>
                <w:sz w:val="16"/>
              </w:rPr>
              <w:t>2024年粤新两地文艺演出交流活动项目</w:t>
            </w:r>
          </w:p>
        </w:tc>
      </w:tr>
      <w:tr w14:paraId="633287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2F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BCFB8">
            <w:pPr>
              <w:jc w:val="center"/>
            </w:pPr>
            <w:r>
              <w:rPr>
                <w:rFonts w:ascii="宋体" w:hAnsi="宋体" w:eastAsia="宋体"/>
                <w:sz w:val="16"/>
              </w:rPr>
              <w:t>新疆维吾尔自治区喀什地区歌舞剧团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83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440940">
            <w:pPr>
              <w:jc w:val="center"/>
            </w:pPr>
            <w:r>
              <w:rPr>
                <w:rFonts w:ascii="宋体" w:hAnsi="宋体" w:eastAsia="宋体"/>
                <w:sz w:val="16"/>
              </w:rPr>
              <w:t>新疆维吾尔自治区喀什地区歌舞剧团</w:t>
            </w:r>
          </w:p>
        </w:tc>
      </w:tr>
      <w:tr w14:paraId="3D900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A7C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D84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B33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67B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43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CFE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13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FA1F">
            <w:pPr>
              <w:jc w:val="center"/>
            </w:pPr>
            <w:r>
              <w:rPr>
                <w:rFonts w:ascii="宋体" w:hAnsi="宋体" w:eastAsia="宋体"/>
                <w:sz w:val="16"/>
              </w:rPr>
              <w:t>得分</w:t>
            </w:r>
          </w:p>
        </w:tc>
      </w:tr>
      <w:tr w14:paraId="5AB50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695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8B3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0E7C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7E1F4">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CD6CA">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06F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FCC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B2AD">
            <w:pPr>
              <w:jc w:val="center"/>
            </w:pPr>
            <w:r>
              <w:rPr>
                <w:rFonts w:ascii="宋体" w:hAnsi="宋体" w:eastAsia="宋体"/>
                <w:sz w:val="16"/>
              </w:rPr>
              <w:t>10.00分</w:t>
            </w:r>
          </w:p>
        </w:tc>
      </w:tr>
      <w:tr w14:paraId="7A64E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9A7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9A4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5A3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7F7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90F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672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7FD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21E2">
            <w:pPr>
              <w:jc w:val="center"/>
            </w:pPr>
            <w:r>
              <w:rPr>
                <w:rFonts w:ascii="宋体" w:hAnsi="宋体" w:eastAsia="宋体"/>
                <w:sz w:val="16"/>
              </w:rPr>
              <w:t>—</w:t>
            </w:r>
          </w:p>
        </w:tc>
      </w:tr>
      <w:tr w14:paraId="1205E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F1B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BD9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43507">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257C9">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754E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6DB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92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408E">
            <w:pPr>
              <w:jc w:val="center"/>
            </w:pPr>
            <w:r>
              <w:rPr>
                <w:rFonts w:ascii="宋体" w:hAnsi="宋体" w:eastAsia="宋体"/>
                <w:sz w:val="16"/>
              </w:rPr>
              <w:t>—</w:t>
            </w:r>
          </w:p>
        </w:tc>
      </w:tr>
      <w:tr w14:paraId="5E6A3D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68E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0F9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A0EAE4">
            <w:pPr>
              <w:jc w:val="center"/>
            </w:pPr>
            <w:r>
              <w:rPr>
                <w:rFonts w:ascii="宋体" w:hAnsi="宋体" w:eastAsia="宋体"/>
                <w:sz w:val="16"/>
              </w:rPr>
              <w:t>实际完成情况</w:t>
            </w:r>
          </w:p>
        </w:tc>
      </w:tr>
      <w:tr w14:paraId="10AD8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D4C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083F9">
            <w:pPr>
              <w:jc w:val="both"/>
            </w:pPr>
            <w:r>
              <w:rPr>
                <w:rFonts w:ascii="宋体" w:hAnsi="宋体" w:eastAsia="宋体"/>
                <w:sz w:val="16"/>
              </w:rPr>
              <w:t>项目预算安排其他资金120万元。“山河万里·粤喀同心”喀什地区感恩援疆文艺交流演出，每个市拟演出2场次，“文化润疆·燕语潮韵”——林燕云潮剧精品剧目全国巡演（新疆站）及“山河万里·中华战舞”潮汕英歌展演活动，创作节目10个，演出人数为60人，借助此次交流演出平台，进一步铸牢中华民族共同体意识，不断激发粤喀两地文化交流交融情，有效推动喀什地区文艺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DD56A4">
            <w:pPr>
              <w:jc w:val="both"/>
            </w:pPr>
            <w:r>
              <w:rPr>
                <w:rFonts w:ascii="宋体" w:hAnsi="宋体" w:eastAsia="宋体"/>
                <w:sz w:val="16"/>
              </w:rPr>
              <w:t>项目执行120万元。“山河万里·中华战舞”潮汕英歌展演活动演出3场，“山河万里·粤喀同心”喀什地区感恩援疆</w:t>
            </w:r>
            <w:r>
              <w:rPr>
                <w:rFonts w:hint="eastAsia" w:ascii="宋体" w:hAnsi="宋体"/>
                <w:sz w:val="16"/>
                <w:lang w:eastAsia="zh-CN"/>
              </w:rPr>
              <w:t>赴</w:t>
            </w:r>
            <w:r>
              <w:rPr>
                <w:rFonts w:ascii="宋体" w:hAnsi="宋体" w:eastAsia="宋体"/>
                <w:sz w:val="16"/>
              </w:rPr>
              <w:t>广东文艺交流演出12场次，演出人数为147人，借助此次交流演出平台，不断推进文化润疆工作落地见效，进一步铸牢中华民族共同体意识，有效推动喀什地区文艺事业高质量发展。</w:t>
            </w:r>
          </w:p>
        </w:tc>
      </w:tr>
      <w:tr w14:paraId="336983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EDB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FF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D1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D8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3B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46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EA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09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5C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D9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56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F6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A19A">
            <w:pPr>
              <w:jc w:val="center"/>
            </w:pPr>
            <w:r>
              <w:rPr>
                <w:rFonts w:ascii="宋体" w:hAnsi="宋体" w:eastAsia="宋体"/>
                <w:sz w:val="16"/>
              </w:rPr>
              <w:t>偏差原因分析及改进措施</w:t>
            </w:r>
          </w:p>
        </w:tc>
      </w:tr>
      <w:tr w14:paraId="0A2E2E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10C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0DC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C88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1DB9">
            <w:pPr>
              <w:jc w:val="center"/>
            </w:pPr>
            <w:r>
              <w:rPr>
                <w:rFonts w:ascii="宋体" w:hAnsi="宋体" w:eastAsia="宋体"/>
                <w:sz w:val="16"/>
              </w:rPr>
              <w:t>开展演出场次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B83E">
            <w:pPr>
              <w:jc w:val="center"/>
            </w:pPr>
            <w:r>
              <w:rPr>
                <w:rFonts w:ascii="宋体" w:hAnsi="宋体" w:eastAsia="宋体"/>
                <w:sz w:val="16"/>
              </w:rPr>
              <w:t>&gt;=15场次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7D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9EA3">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8E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6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6D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C6CE">
            <w:pPr>
              <w:jc w:val="center"/>
            </w:pPr>
            <w:r>
              <w:rPr>
                <w:rFonts w:ascii="宋体" w:hAnsi="宋体" w:eastAsia="宋体"/>
                <w:sz w:val="16"/>
              </w:rPr>
              <w:t>=15场次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9A5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CE309">
            <w:pPr>
              <w:jc w:val="center"/>
            </w:pPr>
          </w:p>
        </w:tc>
      </w:tr>
      <w:tr w14:paraId="48015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0B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4B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54B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3F7A">
            <w:pPr>
              <w:jc w:val="center"/>
            </w:pPr>
            <w:r>
              <w:rPr>
                <w:rFonts w:ascii="宋体" w:hAnsi="宋体" w:eastAsia="宋体"/>
                <w:sz w:val="16"/>
              </w:rPr>
              <w:t>演职人员人数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607E">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7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C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24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67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46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738C">
            <w:pPr>
              <w:jc w:val="center"/>
            </w:pPr>
            <w:r>
              <w:rPr>
                <w:rFonts w:ascii="宋体" w:hAnsi="宋体" w:eastAsia="宋体"/>
                <w:sz w:val="16"/>
              </w:rPr>
              <w:t>=147人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625D">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3910">
            <w:pPr>
              <w:jc w:val="center"/>
            </w:pPr>
            <w:r>
              <w:rPr>
                <w:rFonts w:ascii="宋体" w:hAnsi="宋体" w:eastAsia="宋体"/>
                <w:sz w:val="16"/>
              </w:rPr>
              <w:t>偏差原因：因3名演员有培训学习任务，未能参加活动。改进措施：更加科学合理设定目标指标</w:t>
            </w:r>
          </w:p>
        </w:tc>
      </w:tr>
      <w:tr w14:paraId="2B1B1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98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6B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0F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5DE2">
            <w:pPr>
              <w:jc w:val="center"/>
            </w:pPr>
            <w:r>
              <w:rPr>
                <w:rFonts w:ascii="宋体" w:hAnsi="宋体" w:eastAsia="宋体"/>
                <w:sz w:val="16"/>
              </w:rPr>
              <w:t>活动内容覆盖率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A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D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40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29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55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F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6B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51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0706E">
            <w:pPr>
              <w:jc w:val="center"/>
            </w:pPr>
          </w:p>
        </w:tc>
      </w:tr>
      <w:tr w14:paraId="1183D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FE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28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2E3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EC21">
            <w:pPr>
              <w:jc w:val="center"/>
            </w:pPr>
            <w:r>
              <w:rPr>
                <w:rFonts w:ascii="宋体" w:hAnsi="宋体" w:eastAsia="宋体"/>
                <w:sz w:val="16"/>
              </w:rPr>
              <w:t>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3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14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FC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FC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88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02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0E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42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73D4A">
            <w:pPr>
              <w:jc w:val="center"/>
            </w:pPr>
          </w:p>
        </w:tc>
      </w:tr>
      <w:tr w14:paraId="0C9FA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3A9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5D2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DB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7A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671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5D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5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AD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B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61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9443">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95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FD5F">
            <w:pPr>
              <w:jc w:val="center"/>
            </w:pPr>
          </w:p>
        </w:tc>
      </w:tr>
      <w:tr w14:paraId="2CD09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F9B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8F8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51F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B4D1">
            <w:pPr>
              <w:jc w:val="center"/>
            </w:pPr>
            <w:r>
              <w:rPr>
                <w:rFonts w:ascii="宋体" w:hAnsi="宋体" w:eastAsia="宋体"/>
                <w:sz w:val="16"/>
              </w:rPr>
              <w:t>“山河万里·粤喀同心”喀什地区感恩援疆文艺交流演出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BCBE">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48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BB0D">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6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4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57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A1F5">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4A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A9028">
            <w:pPr>
              <w:jc w:val="center"/>
            </w:pPr>
          </w:p>
        </w:tc>
      </w:tr>
      <w:tr w14:paraId="000D3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7D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3F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27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4493">
            <w:pPr>
              <w:jc w:val="center"/>
            </w:pPr>
            <w:r>
              <w:rPr>
                <w:rFonts w:ascii="宋体" w:hAnsi="宋体" w:eastAsia="宋体"/>
                <w:sz w:val="16"/>
              </w:rPr>
              <w:t>“文化润疆·燕语潮韵”——林燕云潮剧精品剧目全国巡演（新疆站）及“山河万里·中华战舞”潮汕英歌展演活动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F14E">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73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DB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A6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A9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40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7BCD">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6B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02AEE">
            <w:pPr>
              <w:jc w:val="center"/>
            </w:pPr>
          </w:p>
        </w:tc>
      </w:tr>
      <w:tr w14:paraId="590B5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8C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B4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E8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2119">
            <w:pPr>
              <w:jc w:val="center"/>
            </w:pPr>
            <w:r>
              <w:rPr>
                <w:rFonts w:ascii="宋体" w:hAnsi="宋体" w:eastAsia="宋体"/>
                <w:sz w:val="16"/>
              </w:rPr>
              <w:t>推动喀什地区文艺事业高质量发展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76F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39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F7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F8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0E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AE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6DD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4A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F1C8">
            <w:pPr>
              <w:jc w:val="center"/>
            </w:pPr>
          </w:p>
        </w:tc>
      </w:tr>
      <w:tr w14:paraId="2E616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F9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27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F0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099C">
            <w:pPr>
              <w:jc w:val="center"/>
            </w:pPr>
            <w:r>
              <w:rPr>
                <w:rFonts w:ascii="宋体" w:hAnsi="宋体" w:eastAsia="宋体"/>
                <w:sz w:val="16"/>
              </w:rPr>
              <w:t>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3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92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C2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B0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B3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D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38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7E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26247">
            <w:pPr>
              <w:jc w:val="center"/>
            </w:pPr>
          </w:p>
        </w:tc>
      </w:tr>
      <w:tr w14:paraId="4BA0BBB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634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5A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D06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D3C7">
            <w:pPr>
              <w:jc w:val="center"/>
            </w:pPr>
            <w:r>
              <w:rPr>
                <w:rFonts w:ascii="宋体" w:hAnsi="宋体" w:eastAsia="宋体"/>
                <w:sz w:val="16"/>
              </w:rPr>
              <w:t>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DCD7ED"/>
        </w:tc>
      </w:tr>
    </w:tbl>
    <w:p w14:paraId="5FA07B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00ED37B">
        <w:tblPrEx>
          <w:tblCellMar>
            <w:top w:w="0" w:type="dxa"/>
            <w:left w:w="108" w:type="dxa"/>
            <w:bottom w:w="0" w:type="dxa"/>
            <w:right w:w="108" w:type="dxa"/>
          </w:tblCellMar>
        </w:tblPrEx>
        <w:tc>
          <w:tcPr>
            <w:tcW w:w="8848" w:type="dxa"/>
            <w:gridSpan w:val="14"/>
            <w:vAlign w:val="center"/>
          </w:tcPr>
          <w:p w14:paraId="7002E292">
            <w:pPr>
              <w:jc w:val="center"/>
            </w:pPr>
            <w:r>
              <w:rPr>
                <w:rFonts w:ascii="宋体" w:hAnsi="宋体" w:eastAsia="宋体"/>
                <w:sz w:val="24"/>
              </w:rPr>
              <w:t>项目支出绩效自评表</w:t>
            </w:r>
          </w:p>
        </w:tc>
      </w:tr>
      <w:tr w14:paraId="55103E36">
        <w:tblPrEx>
          <w:tblCellMar>
            <w:top w:w="0" w:type="dxa"/>
            <w:left w:w="108" w:type="dxa"/>
            <w:bottom w:w="0" w:type="dxa"/>
            <w:right w:w="108" w:type="dxa"/>
          </w:tblCellMar>
        </w:tblPrEx>
        <w:tc>
          <w:tcPr>
            <w:tcW w:w="8848" w:type="dxa"/>
            <w:gridSpan w:val="14"/>
            <w:vAlign w:val="center"/>
          </w:tcPr>
          <w:p w14:paraId="483BBC65">
            <w:pPr>
              <w:jc w:val="center"/>
            </w:pPr>
            <w:r>
              <w:rPr>
                <w:rFonts w:ascii="宋体" w:hAnsi="宋体" w:eastAsia="宋体"/>
                <w:sz w:val="24"/>
              </w:rPr>
              <w:t>(2024年度)</w:t>
            </w:r>
          </w:p>
        </w:tc>
      </w:tr>
      <w:tr w14:paraId="34892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CB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278D8E">
            <w:pPr>
              <w:jc w:val="center"/>
            </w:pPr>
            <w:r>
              <w:rPr>
                <w:rFonts w:ascii="宋体" w:hAnsi="宋体" w:eastAsia="宋体"/>
                <w:sz w:val="16"/>
              </w:rPr>
              <w:t>2024年鲁喀文化嘉年华活动项目</w:t>
            </w:r>
          </w:p>
        </w:tc>
      </w:tr>
      <w:tr w14:paraId="66180B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B2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E57C6">
            <w:pPr>
              <w:jc w:val="center"/>
            </w:pPr>
            <w:r>
              <w:rPr>
                <w:rFonts w:ascii="宋体" w:hAnsi="宋体" w:eastAsia="宋体"/>
                <w:sz w:val="16"/>
              </w:rPr>
              <w:t>新疆维吾尔自治区喀什地区歌舞剧团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A2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5AFBCF">
            <w:pPr>
              <w:jc w:val="center"/>
            </w:pPr>
            <w:r>
              <w:rPr>
                <w:rFonts w:ascii="宋体" w:hAnsi="宋体" w:eastAsia="宋体"/>
                <w:sz w:val="16"/>
              </w:rPr>
              <w:t>新疆维吾尔自治区喀什地区歌舞剧团</w:t>
            </w:r>
          </w:p>
        </w:tc>
      </w:tr>
      <w:tr w14:paraId="4F5EC1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49F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4C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B1C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E14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0FD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A6A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60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3298">
            <w:pPr>
              <w:jc w:val="center"/>
            </w:pPr>
            <w:r>
              <w:rPr>
                <w:rFonts w:ascii="宋体" w:hAnsi="宋体" w:eastAsia="宋体"/>
                <w:sz w:val="16"/>
              </w:rPr>
              <w:t>得分</w:t>
            </w:r>
          </w:p>
        </w:tc>
      </w:tr>
      <w:tr w14:paraId="1884E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AC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105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5E10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6453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8CE3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1E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C590D">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2FCA">
            <w:pPr>
              <w:jc w:val="center"/>
            </w:pPr>
            <w:r>
              <w:rPr>
                <w:rFonts w:ascii="宋体" w:hAnsi="宋体" w:eastAsia="宋体"/>
                <w:sz w:val="16"/>
              </w:rPr>
              <w:t>0.00分</w:t>
            </w:r>
          </w:p>
        </w:tc>
      </w:tr>
      <w:tr w14:paraId="1A345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8A6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E98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01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287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5E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ED2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7AA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A4CD">
            <w:pPr>
              <w:jc w:val="center"/>
            </w:pPr>
            <w:r>
              <w:rPr>
                <w:rFonts w:ascii="宋体" w:hAnsi="宋体" w:eastAsia="宋体"/>
                <w:sz w:val="16"/>
              </w:rPr>
              <w:t>—</w:t>
            </w:r>
          </w:p>
        </w:tc>
      </w:tr>
      <w:tr w14:paraId="17A35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5BF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85B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4C45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2733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A3F1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2F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FAF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483C">
            <w:pPr>
              <w:jc w:val="center"/>
            </w:pPr>
            <w:r>
              <w:rPr>
                <w:rFonts w:ascii="宋体" w:hAnsi="宋体" w:eastAsia="宋体"/>
                <w:sz w:val="16"/>
              </w:rPr>
              <w:t>—</w:t>
            </w:r>
          </w:p>
        </w:tc>
      </w:tr>
      <w:tr w14:paraId="580CB6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6DD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B6A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7E6B6">
            <w:pPr>
              <w:jc w:val="center"/>
            </w:pPr>
            <w:r>
              <w:rPr>
                <w:rFonts w:ascii="宋体" w:hAnsi="宋体" w:eastAsia="宋体"/>
                <w:sz w:val="16"/>
              </w:rPr>
              <w:t>实际完成情况</w:t>
            </w:r>
          </w:p>
        </w:tc>
      </w:tr>
      <w:tr w14:paraId="16A2E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E53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28080">
            <w:pPr>
              <w:jc w:val="both"/>
            </w:pPr>
            <w:r>
              <w:rPr>
                <w:rFonts w:ascii="宋体" w:hAnsi="宋体" w:eastAsia="宋体"/>
                <w:sz w:val="16"/>
              </w:rPr>
              <w:t>2024年鲁喀文化交流嘉年华项目资金100万元，参加演出人员45人，演出场次为100场次，购买一辆48座演出大巴车。从而增强文化认同感，建设共有的精神家园。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2C5F81">
            <w:pPr>
              <w:jc w:val="both"/>
            </w:pPr>
            <w:r>
              <w:rPr>
                <w:rFonts w:ascii="宋体" w:hAnsi="宋体" w:eastAsia="宋体"/>
                <w:sz w:val="16"/>
              </w:rPr>
              <w:t>该项目实际执行20万元，购买乐队乐器、舞蹈演员鞋子3.8万元，魔术道具1.2万元，演出住宿费3万元，车辆租赁3万元，剧目提升4万元，保障乡镇6场演出5万元，弘扬中华优秀传统文化，不断提升各族群众对中华文</w:t>
            </w:r>
            <w:r>
              <w:rPr>
                <w:rFonts w:hint="eastAsia" w:ascii="宋体" w:hAnsi="宋体"/>
                <w:sz w:val="16"/>
                <w:lang w:eastAsia="zh-CN"/>
              </w:rPr>
              <w:t>化的</w:t>
            </w:r>
            <w:r>
              <w:rPr>
                <w:rFonts w:ascii="宋体" w:hAnsi="宋体" w:eastAsia="宋体"/>
                <w:sz w:val="16"/>
              </w:rPr>
              <w:t>获得感、幸福感。</w:t>
            </w:r>
          </w:p>
        </w:tc>
      </w:tr>
      <w:tr w14:paraId="1C180B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CE8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41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56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DB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39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82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91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C5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75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E6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DE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4A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5BBF5">
            <w:pPr>
              <w:jc w:val="center"/>
            </w:pPr>
            <w:r>
              <w:rPr>
                <w:rFonts w:ascii="宋体" w:hAnsi="宋体" w:eastAsia="宋体"/>
                <w:sz w:val="16"/>
              </w:rPr>
              <w:t>偏差原因分析及改进措施</w:t>
            </w:r>
          </w:p>
        </w:tc>
      </w:tr>
      <w:tr w14:paraId="15A46C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378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2FA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907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DA37">
            <w:pPr>
              <w:jc w:val="center"/>
            </w:pPr>
            <w:r>
              <w:rPr>
                <w:rFonts w:ascii="宋体" w:hAnsi="宋体" w:eastAsia="宋体"/>
                <w:sz w:val="16"/>
              </w:rPr>
              <w:t>参加演出人数（人）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B4D3">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D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4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6B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3B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2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211D">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C6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6A2D">
            <w:pPr>
              <w:jc w:val="center"/>
            </w:pPr>
            <w:r>
              <w:rPr>
                <w:rFonts w:ascii="宋体" w:hAnsi="宋体" w:eastAsia="宋体"/>
                <w:sz w:val="16"/>
              </w:rPr>
              <w:t>偏差原因：我团今年开展下乡演出活动较少。改进措施：将在下年统筹协调，尽快达到绩效目标。</w:t>
            </w:r>
          </w:p>
        </w:tc>
      </w:tr>
      <w:tr w14:paraId="1D125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08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29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0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6266">
            <w:pPr>
              <w:jc w:val="center"/>
            </w:pPr>
            <w:r>
              <w:rPr>
                <w:rFonts w:ascii="宋体" w:hAnsi="宋体" w:eastAsia="宋体"/>
                <w:sz w:val="16"/>
              </w:rPr>
              <w:t>演出场次（场）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3924">
            <w:pPr>
              <w:jc w:val="center"/>
            </w:pPr>
            <w:r>
              <w:rPr>
                <w:rFonts w:ascii="宋体" w:hAnsi="宋体" w:eastAsia="宋体"/>
                <w:sz w:val="16"/>
              </w:rPr>
              <w:t>&gt;=100场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BB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41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83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43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08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EC42">
            <w:pPr>
              <w:jc w:val="center"/>
            </w:pPr>
            <w:r>
              <w:rPr>
                <w:rFonts w:ascii="宋体" w:hAnsi="宋体" w:eastAsia="宋体"/>
                <w:sz w:val="16"/>
              </w:rPr>
              <w:t>=40场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13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A91BF">
            <w:pPr>
              <w:jc w:val="center"/>
            </w:pPr>
            <w:r>
              <w:rPr>
                <w:rFonts w:ascii="宋体" w:hAnsi="宋体" w:eastAsia="宋体"/>
                <w:sz w:val="16"/>
              </w:rPr>
              <w:t>偏差原因：我团配合上级部门开展各类演出活动较多，开展下乡演出任务较少。改进措施：将在下年统筹协调，尽快达到绩效目标。</w:t>
            </w:r>
          </w:p>
        </w:tc>
      </w:tr>
      <w:tr w14:paraId="4AFF15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02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E9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76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3093">
            <w:pPr>
              <w:jc w:val="center"/>
            </w:pPr>
            <w:r>
              <w:rPr>
                <w:rFonts w:ascii="宋体" w:hAnsi="宋体" w:eastAsia="宋体"/>
                <w:sz w:val="16"/>
              </w:rPr>
              <w:t>创作节目数量（个）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D1C2">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2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1A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BA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B2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E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26C4">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E6E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FA70E">
            <w:pPr>
              <w:jc w:val="center"/>
            </w:pPr>
          </w:p>
        </w:tc>
      </w:tr>
      <w:tr w14:paraId="6828D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56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43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F1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B5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9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99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4F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26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E8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79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3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3E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1B92C">
            <w:pPr>
              <w:jc w:val="center"/>
            </w:pPr>
            <w:r>
              <w:rPr>
                <w:rFonts w:ascii="宋体" w:hAnsi="宋体" w:eastAsia="宋体"/>
                <w:sz w:val="16"/>
              </w:rPr>
              <w:t>偏差原因：购买大巴车事宜尚不明确，资金暂未有效使用，暂未开展下乡演出任务。改进措施：将在下年用于下乡文艺演出服务。</w:t>
            </w:r>
          </w:p>
        </w:tc>
      </w:tr>
      <w:tr w14:paraId="54C5B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50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27B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BA4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29C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37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EA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15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B5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3E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6B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61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367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A2CC6">
            <w:pPr>
              <w:jc w:val="center"/>
            </w:pPr>
            <w:r>
              <w:rPr>
                <w:rFonts w:ascii="宋体" w:hAnsi="宋体" w:eastAsia="宋体"/>
                <w:sz w:val="16"/>
              </w:rPr>
              <w:t>偏差原因：购买大巴车事宜尚不明确，资金暂未有效使用，暂未开展下乡演出任务。改进措施：将在下年用于下乡文艺演出服务。</w:t>
            </w:r>
          </w:p>
        </w:tc>
      </w:tr>
      <w:tr w14:paraId="62CB2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2AB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AA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B92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5D2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DC5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F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A7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D4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07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F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E568">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D3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765A">
            <w:pPr>
              <w:jc w:val="center"/>
            </w:pPr>
            <w:r>
              <w:rPr>
                <w:rFonts w:ascii="宋体" w:hAnsi="宋体" w:eastAsia="宋体"/>
                <w:sz w:val="16"/>
              </w:rPr>
              <w:t>偏差原因：我团配合上级部门开展各类演出活动较多，暂未开展下乡演出任务。改进措施：将在下年统筹协调，尽快达到绩效目标。</w:t>
            </w:r>
          </w:p>
        </w:tc>
      </w:tr>
      <w:tr w14:paraId="3B31C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5BE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EDD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53A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7B43">
            <w:pPr>
              <w:jc w:val="center"/>
            </w:pPr>
            <w:r>
              <w:rPr>
                <w:rFonts w:ascii="宋体" w:hAnsi="宋体" w:eastAsia="宋体"/>
                <w:sz w:val="16"/>
              </w:rPr>
              <w:t>演出保障费用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230E">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64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A7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D6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CF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B0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CE9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5A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7949">
            <w:pPr>
              <w:jc w:val="center"/>
            </w:pPr>
            <w:r>
              <w:rPr>
                <w:rFonts w:ascii="宋体" w:hAnsi="宋体" w:eastAsia="宋体"/>
                <w:sz w:val="16"/>
              </w:rPr>
              <w:t>偏差原因：购买大巴车事宜尚不明确，资金暂未有效使用，暂未开展下乡演出任务。改进措施：将在下年用于下乡文艺演出服务。</w:t>
            </w:r>
          </w:p>
        </w:tc>
      </w:tr>
      <w:tr w14:paraId="234A4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1B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82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61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1540">
            <w:pPr>
              <w:jc w:val="center"/>
            </w:pPr>
            <w:r>
              <w:rPr>
                <w:rFonts w:ascii="宋体" w:hAnsi="宋体" w:eastAsia="宋体"/>
                <w:sz w:val="16"/>
              </w:rPr>
              <w:t>鲁喀交流文化下乡活动费用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4367">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B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19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06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22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7D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E567">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A2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72BFF">
            <w:pPr>
              <w:jc w:val="center"/>
            </w:pPr>
          </w:p>
        </w:tc>
      </w:tr>
      <w:tr w14:paraId="7C54F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0D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F2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6E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7E61">
            <w:pPr>
              <w:jc w:val="center"/>
            </w:pPr>
            <w:r>
              <w:rPr>
                <w:rFonts w:ascii="宋体" w:hAnsi="宋体" w:eastAsia="宋体"/>
                <w:sz w:val="16"/>
              </w:rPr>
              <w:t>提高单位为人民服务的演艺队伍水平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33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D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E3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80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89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5F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874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02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5C5C2">
            <w:pPr>
              <w:jc w:val="center"/>
            </w:pPr>
            <w:r>
              <w:rPr>
                <w:rFonts w:ascii="宋体" w:hAnsi="宋体" w:eastAsia="宋体"/>
                <w:sz w:val="16"/>
              </w:rPr>
              <w:t>偏差原因：我团配合上级部门开展各类演出活动较多，暂未开展下乡演出任务。改进措施：将在下年统筹协调，尽快达到绩效目标。</w:t>
            </w:r>
          </w:p>
        </w:tc>
      </w:tr>
      <w:tr w14:paraId="7B4DC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F8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66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3F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C70E">
            <w:pPr>
              <w:jc w:val="center"/>
            </w:pPr>
            <w:r>
              <w:rPr>
                <w:rFonts w:ascii="宋体" w:hAnsi="宋体" w:eastAsia="宋体"/>
                <w:sz w:val="16"/>
              </w:rPr>
              <w:t>当地村民满意度（%）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7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4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1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91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36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F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D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6E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E4B0C">
            <w:pPr>
              <w:jc w:val="center"/>
            </w:pPr>
          </w:p>
        </w:tc>
      </w:tr>
      <w:tr w14:paraId="5F6972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95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DD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5A5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A30A">
            <w:pPr>
              <w:jc w:val="center"/>
            </w:pPr>
            <w:r>
              <w:rPr>
                <w:rFonts w:ascii="宋体" w:hAnsi="宋体" w:eastAsia="宋体"/>
                <w:sz w:val="16"/>
              </w:rPr>
              <w:t>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A19485"/>
        </w:tc>
      </w:tr>
    </w:tbl>
    <w:p w14:paraId="20BE7D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AE22090">
        <w:tblPrEx>
          <w:tblCellMar>
            <w:top w:w="0" w:type="dxa"/>
            <w:left w:w="108" w:type="dxa"/>
            <w:bottom w:w="0" w:type="dxa"/>
            <w:right w:w="108" w:type="dxa"/>
          </w:tblCellMar>
        </w:tblPrEx>
        <w:tc>
          <w:tcPr>
            <w:tcW w:w="8848" w:type="dxa"/>
            <w:gridSpan w:val="14"/>
            <w:vAlign w:val="center"/>
          </w:tcPr>
          <w:p w14:paraId="702126FD">
            <w:pPr>
              <w:jc w:val="center"/>
            </w:pPr>
            <w:r>
              <w:rPr>
                <w:rFonts w:ascii="宋体" w:hAnsi="宋体" w:eastAsia="宋体"/>
                <w:sz w:val="24"/>
              </w:rPr>
              <w:t>项目支出绩效自评表</w:t>
            </w:r>
          </w:p>
        </w:tc>
      </w:tr>
      <w:tr w14:paraId="7C836A03">
        <w:tblPrEx>
          <w:tblCellMar>
            <w:top w:w="0" w:type="dxa"/>
            <w:left w:w="108" w:type="dxa"/>
            <w:bottom w:w="0" w:type="dxa"/>
            <w:right w:w="108" w:type="dxa"/>
          </w:tblCellMar>
        </w:tblPrEx>
        <w:tc>
          <w:tcPr>
            <w:tcW w:w="8848" w:type="dxa"/>
            <w:gridSpan w:val="14"/>
            <w:vAlign w:val="center"/>
          </w:tcPr>
          <w:p w14:paraId="6DDF07A2">
            <w:pPr>
              <w:jc w:val="center"/>
            </w:pPr>
            <w:r>
              <w:rPr>
                <w:rFonts w:ascii="宋体" w:hAnsi="宋体" w:eastAsia="宋体"/>
                <w:sz w:val="24"/>
              </w:rPr>
              <w:t>(2024年度)</w:t>
            </w:r>
          </w:p>
        </w:tc>
      </w:tr>
      <w:tr w14:paraId="2C1D52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7A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2BD4B1">
            <w:pPr>
              <w:jc w:val="center"/>
            </w:pPr>
            <w:r>
              <w:rPr>
                <w:rFonts w:ascii="宋体" w:hAnsi="宋体" w:eastAsia="宋体"/>
                <w:sz w:val="16"/>
              </w:rPr>
              <w:t>中央公共文化服务体系建设补助资金项目（下乡文艺演出）</w:t>
            </w:r>
          </w:p>
        </w:tc>
      </w:tr>
      <w:tr w14:paraId="4E96BA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77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1D68F">
            <w:pPr>
              <w:jc w:val="center"/>
            </w:pPr>
            <w:r>
              <w:rPr>
                <w:rFonts w:ascii="宋体" w:hAnsi="宋体" w:eastAsia="宋体"/>
                <w:sz w:val="16"/>
              </w:rPr>
              <w:t>新疆维吾尔自治区喀什地区歌舞剧团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40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BA31CB">
            <w:pPr>
              <w:jc w:val="center"/>
            </w:pPr>
            <w:r>
              <w:rPr>
                <w:rFonts w:ascii="宋体" w:hAnsi="宋体" w:eastAsia="宋体"/>
                <w:sz w:val="16"/>
              </w:rPr>
              <w:t>新疆维吾尔自治区喀什地区歌舞剧团</w:t>
            </w:r>
          </w:p>
        </w:tc>
      </w:tr>
      <w:tr w14:paraId="6FA55B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67E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45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3B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EF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8BC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CD3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099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B2D5">
            <w:pPr>
              <w:jc w:val="center"/>
            </w:pPr>
            <w:r>
              <w:rPr>
                <w:rFonts w:ascii="宋体" w:hAnsi="宋体" w:eastAsia="宋体"/>
                <w:sz w:val="16"/>
              </w:rPr>
              <w:t>得分</w:t>
            </w:r>
          </w:p>
        </w:tc>
      </w:tr>
      <w:tr w14:paraId="6F698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7D2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EF4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08F1">
            <w:pPr>
              <w:jc w:val="center"/>
            </w:pPr>
            <w:r>
              <w:rPr>
                <w:rFonts w:ascii="宋体" w:hAnsi="宋体" w:eastAsia="宋体"/>
                <w:sz w:val="16"/>
              </w:rPr>
              <w:t>10.65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D06A9">
            <w:pPr>
              <w:jc w:val="center"/>
            </w:pPr>
            <w:r>
              <w:rPr>
                <w:rFonts w:ascii="宋体" w:hAnsi="宋体" w:eastAsia="宋体"/>
                <w:sz w:val="16"/>
              </w:rPr>
              <w:t>10.65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E740">
            <w:pPr>
              <w:jc w:val="center"/>
            </w:pPr>
            <w:r>
              <w:rPr>
                <w:rFonts w:ascii="宋体" w:hAnsi="宋体" w:eastAsia="宋体"/>
                <w:sz w:val="16"/>
              </w:rPr>
              <w:t>10.65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94E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B431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4D5E">
            <w:pPr>
              <w:jc w:val="center"/>
            </w:pPr>
            <w:r>
              <w:rPr>
                <w:rFonts w:ascii="宋体" w:hAnsi="宋体" w:eastAsia="宋体"/>
                <w:sz w:val="16"/>
              </w:rPr>
              <w:t>10.00分</w:t>
            </w:r>
          </w:p>
        </w:tc>
      </w:tr>
      <w:tr w14:paraId="4EE4B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9CF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6A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EB58B">
            <w:pPr>
              <w:jc w:val="center"/>
            </w:pPr>
            <w:r>
              <w:rPr>
                <w:rFonts w:ascii="宋体" w:hAnsi="宋体" w:eastAsia="宋体"/>
                <w:sz w:val="16"/>
              </w:rPr>
              <w:t>10.65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ED8F9">
            <w:pPr>
              <w:jc w:val="center"/>
            </w:pPr>
            <w:r>
              <w:rPr>
                <w:rFonts w:ascii="宋体" w:hAnsi="宋体" w:eastAsia="宋体"/>
                <w:sz w:val="16"/>
              </w:rPr>
              <w:t>10.65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C1C95">
            <w:pPr>
              <w:jc w:val="center"/>
            </w:pPr>
            <w:r>
              <w:rPr>
                <w:rFonts w:ascii="宋体" w:hAnsi="宋体" w:eastAsia="宋体"/>
                <w:sz w:val="16"/>
              </w:rPr>
              <w:t>10.65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001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F5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12FE">
            <w:pPr>
              <w:jc w:val="center"/>
            </w:pPr>
            <w:r>
              <w:rPr>
                <w:rFonts w:ascii="宋体" w:hAnsi="宋体" w:eastAsia="宋体"/>
                <w:sz w:val="16"/>
              </w:rPr>
              <w:t>—</w:t>
            </w:r>
          </w:p>
        </w:tc>
      </w:tr>
      <w:tr w14:paraId="7370E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1E8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62C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FF2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2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217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416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A48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68F1">
            <w:pPr>
              <w:jc w:val="center"/>
            </w:pPr>
            <w:r>
              <w:rPr>
                <w:rFonts w:ascii="宋体" w:hAnsi="宋体" w:eastAsia="宋体"/>
                <w:sz w:val="16"/>
              </w:rPr>
              <w:t>—</w:t>
            </w:r>
          </w:p>
        </w:tc>
      </w:tr>
      <w:tr w14:paraId="28BE14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AED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573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8BDBCB">
            <w:pPr>
              <w:jc w:val="center"/>
            </w:pPr>
            <w:r>
              <w:rPr>
                <w:rFonts w:ascii="宋体" w:hAnsi="宋体" w:eastAsia="宋体"/>
                <w:sz w:val="16"/>
              </w:rPr>
              <w:t>实际完成情况</w:t>
            </w:r>
          </w:p>
        </w:tc>
      </w:tr>
      <w:tr w14:paraId="7774F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214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06B3F">
            <w:pPr>
              <w:jc w:val="both"/>
            </w:pPr>
            <w:r>
              <w:rPr>
                <w:rFonts w:ascii="宋体" w:hAnsi="宋体" w:eastAsia="宋体"/>
                <w:sz w:val="16"/>
              </w:rPr>
              <w:t>该项目总金额共10.65万元。演出场次不少于20天，节目包含原创歌舞类、戏曲类节目创作，音乐制作、语言类节目创编等费用共：2万元。舞美道具设备维修维护费共2.25万元包含演出所用小品道具、舞美设计制作等费用。3.交通费（大巴车租赁费）共2.65万元。4.演出补贴费（餐费等）共3.75万元，满足各民族群众精神文化需求，不断提升人民群众的文化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93013">
            <w:pPr>
              <w:jc w:val="both"/>
            </w:pPr>
            <w:r>
              <w:rPr>
                <w:rFonts w:ascii="宋体" w:hAnsi="宋体" w:eastAsia="宋体"/>
                <w:sz w:val="16"/>
              </w:rPr>
              <w:t>该项目总金额10.65万元，我团安排了20天文艺下乡惠民演出，节目包含原创歌舞类、戏曲类节目创作，音乐制作、语言类节目创编等费用共：2万元。购买排练期间练功衣练功鞋共2.25 万元。3.交通费（大巴车租赁费）共2.65万元。4.演出补贴费（餐费等）共3.75 万元，用演艺的方式宣传党的好政策，不断提高人民幸福生活的向往和追求。</w:t>
            </w:r>
          </w:p>
        </w:tc>
      </w:tr>
      <w:tr w14:paraId="2B4E8C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01E6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F5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F1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CA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BD0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6A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86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C9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9E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6D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62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83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E8E9">
            <w:pPr>
              <w:jc w:val="center"/>
            </w:pPr>
            <w:r>
              <w:rPr>
                <w:rFonts w:ascii="宋体" w:hAnsi="宋体" w:eastAsia="宋体"/>
                <w:sz w:val="16"/>
              </w:rPr>
              <w:t>偏差原因分析及改进措施</w:t>
            </w:r>
          </w:p>
        </w:tc>
      </w:tr>
      <w:tr w14:paraId="5872A1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5E6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6BE4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58A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F3F3">
            <w:pPr>
              <w:jc w:val="center"/>
            </w:pPr>
            <w:r>
              <w:rPr>
                <w:rFonts w:ascii="宋体" w:hAnsi="宋体" w:eastAsia="宋体"/>
                <w:sz w:val="16"/>
              </w:rPr>
              <w:t>演出天数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5971">
            <w:pPr>
              <w:jc w:val="center"/>
            </w:pPr>
            <w:r>
              <w:rPr>
                <w:rFonts w:ascii="宋体" w:hAnsi="宋体" w:eastAsia="宋体"/>
                <w:sz w:val="16"/>
              </w:rPr>
              <w:t>&gt;=20天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CE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C5BC">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4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D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B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84D4">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69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EE8A">
            <w:pPr>
              <w:jc w:val="center"/>
            </w:pPr>
          </w:p>
        </w:tc>
      </w:tr>
      <w:tr w14:paraId="1E283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65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54B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3B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C2BD">
            <w:pPr>
              <w:jc w:val="center"/>
            </w:pPr>
            <w:r>
              <w:rPr>
                <w:rFonts w:ascii="宋体" w:hAnsi="宋体" w:eastAsia="宋体"/>
                <w:sz w:val="16"/>
              </w:rPr>
              <w:t>节目创作个数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AB60">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686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924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37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A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91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0BE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8D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80C4">
            <w:pPr>
              <w:jc w:val="center"/>
            </w:pPr>
          </w:p>
        </w:tc>
      </w:tr>
      <w:tr w14:paraId="30579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D2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C62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21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F33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E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F60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E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7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95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1E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A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07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6CF14">
            <w:pPr>
              <w:jc w:val="center"/>
            </w:pPr>
          </w:p>
        </w:tc>
      </w:tr>
      <w:tr w14:paraId="5ED43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90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1C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2F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823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664E">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E2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72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9A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9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52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2703">
            <w:pPr>
              <w:jc w:val="center"/>
            </w:pPr>
            <w:r>
              <w:rPr>
                <w:rFonts w:ascii="宋体" w:hAnsi="宋体" w:eastAsia="宋体"/>
                <w:sz w:val="16"/>
              </w:rPr>
              <w:t>=2024年8月28日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CE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8592F">
            <w:pPr>
              <w:jc w:val="center"/>
            </w:pPr>
          </w:p>
        </w:tc>
      </w:tr>
      <w:tr w14:paraId="49686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CC0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F7A1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9B6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20BD">
            <w:pPr>
              <w:jc w:val="center"/>
            </w:pPr>
            <w:r>
              <w:rPr>
                <w:rFonts w:ascii="宋体" w:hAnsi="宋体" w:eastAsia="宋体"/>
                <w:sz w:val="16"/>
              </w:rPr>
              <w:t>节目创作成本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030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5D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B48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D6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C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59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07E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AC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2CB2">
            <w:pPr>
              <w:jc w:val="center"/>
            </w:pPr>
          </w:p>
        </w:tc>
      </w:tr>
      <w:tr w14:paraId="17DBC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48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81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9B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1201">
            <w:pPr>
              <w:jc w:val="center"/>
            </w:pPr>
            <w:r>
              <w:rPr>
                <w:rFonts w:ascii="宋体" w:hAnsi="宋体" w:eastAsia="宋体"/>
                <w:sz w:val="16"/>
              </w:rPr>
              <w:t>舞美道具设备维护成本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FE13">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9A4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C835">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97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3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BC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24CB">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8A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9E880">
            <w:pPr>
              <w:jc w:val="center"/>
            </w:pPr>
          </w:p>
        </w:tc>
      </w:tr>
      <w:tr w14:paraId="3D5FD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58E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26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2B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4CC6">
            <w:pPr>
              <w:jc w:val="center"/>
            </w:pPr>
            <w:r>
              <w:rPr>
                <w:rFonts w:ascii="宋体" w:hAnsi="宋体" w:eastAsia="宋体"/>
                <w:sz w:val="16"/>
              </w:rPr>
              <w:t>项目交通成本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7ADD">
            <w:pPr>
              <w:jc w:val="center"/>
            </w:pPr>
            <w:r>
              <w:rPr>
                <w:rFonts w:ascii="宋体" w:hAnsi="宋体" w:eastAsia="宋体"/>
                <w:sz w:val="16"/>
              </w:rPr>
              <w:t>&lt;=2.65万元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734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C57D">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19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7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8A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8974">
            <w:pPr>
              <w:jc w:val="center"/>
            </w:pPr>
            <w:r>
              <w:rPr>
                <w:rFonts w:ascii="宋体" w:hAnsi="宋体" w:eastAsia="宋体"/>
                <w:sz w:val="16"/>
              </w:rPr>
              <w:t>=2.65万元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0D0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843E8">
            <w:pPr>
              <w:jc w:val="center"/>
            </w:pPr>
          </w:p>
        </w:tc>
      </w:tr>
      <w:tr w14:paraId="54DCD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E3F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75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6F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AA4A">
            <w:pPr>
              <w:jc w:val="center"/>
            </w:pPr>
            <w:r>
              <w:rPr>
                <w:rFonts w:ascii="宋体" w:hAnsi="宋体" w:eastAsia="宋体"/>
                <w:sz w:val="16"/>
              </w:rPr>
              <w:t>演出补贴成本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DC53">
            <w:pPr>
              <w:jc w:val="center"/>
            </w:pPr>
            <w:r>
              <w:rPr>
                <w:rFonts w:ascii="宋体" w:hAnsi="宋体" w:eastAsia="宋体"/>
                <w:sz w:val="16"/>
              </w:rPr>
              <w:t>&lt;=3.75万元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378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361F">
            <w:pPr>
              <w:jc w:val="center"/>
            </w:pPr>
            <w:r>
              <w:rPr>
                <w:rFonts w:ascii="宋体" w:hAnsi="宋体" w:eastAsia="宋体"/>
                <w:sz w:val="16"/>
              </w:rPr>
              <w:t>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0A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14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DF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8248">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3FA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F9EBE">
            <w:pPr>
              <w:jc w:val="center"/>
            </w:pPr>
          </w:p>
        </w:tc>
      </w:tr>
      <w:tr w14:paraId="607F7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C1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66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C0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E484">
            <w:pPr>
              <w:jc w:val="center"/>
            </w:pPr>
            <w:r>
              <w:rPr>
                <w:rFonts w:ascii="宋体" w:hAnsi="宋体" w:eastAsia="宋体"/>
                <w:sz w:val="16"/>
              </w:rPr>
              <w:t>提升人民群众的文化获得感，幸福感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DC6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4AB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4C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41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54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3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D82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2A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D7233">
            <w:pPr>
              <w:jc w:val="center"/>
            </w:pPr>
          </w:p>
        </w:tc>
      </w:tr>
      <w:tr w14:paraId="5CAF1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E9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41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CF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CAA5">
            <w:pPr>
              <w:jc w:val="center"/>
            </w:pPr>
            <w:r>
              <w:rPr>
                <w:rFonts w:ascii="宋体" w:hAnsi="宋体" w:eastAsia="宋体"/>
                <w:sz w:val="16"/>
              </w:rPr>
              <w:t>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D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05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A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75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C0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05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7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1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A7878">
            <w:pPr>
              <w:jc w:val="center"/>
            </w:pPr>
          </w:p>
        </w:tc>
      </w:tr>
      <w:tr w14:paraId="7E0D6C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F4A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29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C57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616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234260"/>
        </w:tc>
      </w:tr>
    </w:tbl>
    <w:p w14:paraId="3FC3090F">
      <w:r>
        <w:br w:type="page"/>
      </w:r>
    </w:p>
    <w:p w14:paraId="58D6BBB6">
      <w:pPr>
        <w:spacing w:line="640" w:lineRule="exact"/>
        <w:ind w:firstLine="640"/>
        <w:jc w:val="both"/>
        <w:outlineLvl w:val="2"/>
      </w:pPr>
      <w:r>
        <w:rPr>
          <w:rFonts w:ascii="黑体" w:hAnsi="黑体" w:eastAsia="黑体"/>
          <w:sz w:val="32"/>
        </w:rPr>
        <w:t>十二、其他需说明的事项</w:t>
      </w:r>
    </w:p>
    <w:p w14:paraId="7903710E">
      <w:pPr>
        <w:spacing w:line="580" w:lineRule="exact"/>
        <w:ind w:firstLine="640"/>
        <w:jc w:val="both"/>
      </w:pPr>
      <w:r>
        <w:rPr>
          <w:rFonts w:ascii="仿宋_GB2312" w:hAnsi="仿宋_GB2312" w:eastAsia="仿宋_GB2312"/>
          <w:b w:val="0"/>
          <w:sz w:val="32"/>
        </w:rPr>
        <w:t>本部门无其他需说明的事项。</w:t>
      </w:r>
    </w:p>
    <w:p w14:paraId="1A1C9937">
      <w:r>
        <w:br w:type="page"/>
      </w:r>
    </w:p>
    <w:p w14:paraId="48994716">
      <w:pPr>
        <w:spacing w:line="240" w:lineRule="auto"/>
        <w:jc w:val="center"/>
        <w:outlineLvl w:val="1"/>
      </w:pPr>
      <w:r>
        <w:rPr>
          <w:rFonts w:ascii="黑体" w:hAnsi="黑体" w:eastAsia="黑体"/>
          <w:sz w:val="32"/>
        </w:rPr>
        <w:t>第三部分 专业名词解释</w:t>
      </w:r>
    </w:p>
    <w:p w14:paraId="1F13377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16774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CC4BE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F2036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9F29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FB1C6B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FECFA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A2FB6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EE99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DBBE4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0FBF0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F9AE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B978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895D0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1FF63F">
      <w:r>
        <w:br w:type="page"/>
      </w:r>
    </w:p>
    <w:p w14:paraId="6886F82E">
      <w:pPr>
        <w:spacing w:line="240" w:lineRule="auto"/>
        <w:jc w:val="center"/>
        <w:outlineLvl w:val="1"/>
      </w:pPr>
      <w:r>
        <w:rPr>
          <w:rFonts w:ascii="黑体" w:hAnsi="黑体" w:eastAsia="黑体"/>
          <w:sz w:val="32"/>
        </w:rPr>
        <w:t>第四部分 部门决算报表（见附表）</w:t>
      </w:r>
    </w:p>
    <w:p w14:paraId="69DCB614">
      <w:pPr>
        <w:spacing w:line="240" w:lineRule="auto"/>
        <w:ind w:firstLine="640"/>
        <w:jc w:val="both"/>
      </w:pPr>
      <w:r>
        <w:rPr>
          <w:rFonts w:ascii="仿宋_GB2312" w:hAnsi="仿宋_GB2312" w:eastAsia="仿宋_GB2312"/>
          <w:b w:val="0"/>
          <w:sz w:val="32"/>
        </w:rPr>
        <w:t>一、《收入支出决算总表》</w:t>
      </w:r>
    </w:p>
    <w:p w14:paraId="581A4E89">
      <w:pPr>
        <w:spacing w:line="240" w:lineRule="auto"/>
        <w:ind w:firstLine="640"/>
        <w:jc w:val="both"/>
      </w:pPr>
      <w:r>
        <w:rPr>
          <w:rFonts w:ascii="仿宋_GB2312" w:hAnsi="仿宋_GB2312" w:eastAsia="仿宋_GB2312"/>
          <w:b w:val="0"/>
          <w:sz w:val="32"/>
        </w:rPr>
        <w:t>二、《收入决算表》</w:t>
      </w:r>
    </w:p>
    <w:p w14:paraId="06E9187E">
      <w:pPr>
        <w:spacing w:line="240" w:lineRule="auto"/>
        <w:ind w:firstLine="640"/>
        <w:jc w:val="both"/>
      </w:pPr>
      <w:r>
        <w:rPr>
          <w:rFonts w:ascii="仿宋_GB2312" w:hAnsi="仿宋_GB2312" w:eastAsia="仿宋_GB2312"/>
          <w:b w:val="0"/>
          <w:sz w:val="32"/>
        </w:rPr>
        <w:t>三、《支出决算表》</w:t>
      </w:r>
    </w:p>
    <w:p w14:paraId="2E5C9C2D">
      <w:pPr>
        <w:spacing w:line="240" w:lineRule="auto"/>
        <w:ind w:firstLine="640"/>
        <w:jc w:val="both"/>
      </w:pPr>
      <w:r>
        <w:rPr>
          <w:rFonts w:ascii="仿宋_GB2312" w:hAnsi="仿宋_GB2312" w:eastAsia="仿宋_GB2312"/>
          <w:b w:val="0"/>
          <w:sz w:val="32"/>
        </w:rPr>
        <w:t>四、《财政拨款收入支出决算总表》</w:t>
      </w:r>
    </w:p>
    <w:p w14:paraId="207B59BA">
      <w:pPr>
        <w:spacing w:line="240" w:lineRule="auto"/>
        <w:ind w:firstLine="640"/>
        <w:jc w:val="both"/>
      </w:pPr>
      <w:r>
        <w:rPr>
          <w:rFonts w:ascii="仿宋_GB2312" w:hAnsi="仿宋_GB2312" w:eastAsia="仿宋_GB2312"/>
          <w:b w:val="0"/>
          <w:sz w:val="32"/>
        </w:rPr>
        <w:t>五、《一般公共预算财政拨款支出决算表》</w:t>
      </w:r>
    </w:p>
    <w:p w14:paraId="59B467C3">
      <w:pPr>
        <w:spacing w:line="240" w:lineRule="auto"/>
        <w:ind w:firstLine="640"/>
        <w:jc w:val="both"/>
      </w:pPr>
      <w:r>
        <w:rPr>
          <w:rFonts w:ascii="仿宋_GB2312" w:hAnsi="仿宋_GB2312" w:eastAsia="仿宋_GB2312"/>
          <w:b w:val="0"/>
          <w:sz w:val="32"/>
        </w:rPr>
        <w:t>六、《一般公共预算财政拨款基本支出决算表》</w:t>
      </w:r>
    </w:p>
    <w:p w14:paraId="4191ADD5">
      <w:pPr>
        <w:spacing w:line="240" w:lineRule="auto"/>
        <w:ind w:firstLine="640"/>
        <w:jc w:val="both"/>
      </w:pPr>
      <w:r>
        <w:rPr>
          <w:rFonts w:ascii="仿宋_GB2312" w:hAnsi="仿宋_GB2312" w:eastAsia="仿宋_GB2312"/>
          <w:b w:val="0"/>
          <w:sz w:val="32"/>
        </w:rPr>
        <w:t>七、《政府性基金预算财政拨款收入支出决算表》</w:t>
      </w:r>
    </w:p>
    <w:p w14:paraId="6E29ADAC">
      <w:pPr>
        <w:spacing w:line="240" w:lineRule="auto"/>
        <w:ind w:firstLine="640"/>
        <w:jc w:val="both"/>
      </w:pPr>
      <w:r>
        <w:rPr>
          <w:rFonts w:ascii="仿宋_GB2312" w:hAnsi="仿宋_GB2312" w:eastAsia="仿宋_GB2312"/>
          <w:b w:val="0"/>
          <w:sz w:val="32"/>
        </w:rPr>
        <w:t>八、《国有资本经营预算财政拨款收入支出决算表》</w:t>
      </w:r>
    </w:p>
    <w:p w14:paraId="15A83972">
      <w:pPr>
        <w:spacing w:line="240" w:lineRule="auto"/>
        <w:ind w:firstLine="640"/>
        <w:jc w:val="both"/>
      </w:pPr>
      <w:r>
        <w:rPr>
          <w:rFonts w:ascii="仿宋_GB2312" w:hAnsi="仿宋_GB2312" w:eastAsia="仿宋_GB2312"/>
          <w:b w:val="0"/>
          <w:sz w:val="32"/>
        </w:rPr>
        <w:t>九、《财政拨款“三公”经费支出决算表》</w:t>
      </w:r>
    </w:p>
    <w:p w14:paraId="13CD034C">
      <w:pPr>
        <w:spacing w:line="240" w:lineRule="auto"/>
        <w:ind w:firstLine="640"/>
        <w:jc w:val="both"/>
      </w:pPr>
    </w:p>
    <w:p w14:paraId="51EDAE56">
      <w:pPr>
        <w:spacing w:line="240" w:lineRule="auto"/>
        <w:ind w:firstLine="640"/>
        <w:jc w:val="both"/>
      </w:pPr>
    </w:p>
    <w:p w14:paraId="52DD7A89">
      <w:pPr>
        <w:spacing w:line="240" w:lineRule="auto"/>
        <w:ind w:firstLine="640"/>
        <w:jc w:val="both"/>
      </w:pPr>
    </w:p>
    <w:p w14:paraId="788C317C">
      <w:pPr>
        <w:spacing w:line="240" w:lineRule="auto"/>
        <w:ind w:firstLine="640"/>
        <w:jc w:val="both"/>
      </w:pPr>
    </w:p>
    <w:p w14:paraId="5FE7372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7B640F-8682-4F19-B731-CD186CED76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3A221C5-E4A2-4FFB-9FF3-63B3AE3E27D8}"/>
  </w:font>
  <w:font w:name="方正小标宋_GBK">
    <w:panose1 w:val="02000000000000000000"/>
    <w:charset w:val="86"/>
    <w:family w:val="script"/>
    <w:pitch w:val="default"/>
    <w:sig w:usb0="A00002BF" w:usb1="38CF7CFA" w:usb2="00082016" w:usb3="00000000" w:csb0="00040001" w:csb1="00000000"/>
    <w:embedRegular r:id="rId3" w:fontKey="{667393FC-C166-4940-980F-11E78EF4AABE}"/>
  </w:font>
  <w:font w:name="楷体_GB2312">
    <w:panose1 w:val="02010609030101010101"/>
    <w:charset w:val="86"/>
    <w:family w:val="auto"/>
    <w:pitch w:val="default"/>
    <w:sig w:usb0="00000001" w:usb1="080E0000" w:usb2="00000000" w:usb3="00000000" w:csb0="00040000" w:csb1="00000000"/>
    <w:embedRegular r:id="rId4" w:fontKey="{50FF0B76-8CD2-4AFF-B704-A7857E91EF8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46A1E61"/>
    <w:rsid w:val="06792773"/>
    <w:rsid w:val="089738B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4F0583F"/>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4782</Words>
  <Characters>5608</Characters>
  <Lines>0</Lines>
  <Paragraphs>0</Paragraphs>
  <TotalTime>5</TotalTime>
  <ScaleCrop>false</ScaleCrop>
  <LinksUpToDate>false</LinksUpToDate>
  <CharactersWithSpaces>5616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2025-09-22T02:21:52Z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