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96914">
      <w:pPr>
        <w:spacing w:line="570" w:lineRule="exact"/>
        <w:jc w:val="center"/>
        <w:rPr>
          <w:rFonts w:ascii="华文中宋" w:hAnsi="华文中宋" w:eastAsia="华文中宋" w:cs="宋体"/>
          <w:b/>
          <w:kern w:val="0"/>
          <w:sz w:val="52"/>
          <w:szCs w:val="52"/>
        </w:rPr>
      </w:pPr>
    </w:p>
    <w:p w14:paraId="0D39B5BA">
      <w:pPr>
        <w:spacing w:line="570" w:lineRule="exact"/>
        <w:jc w:val="center"/>
        <w:rPr>
          <w:rFonts w:ascii="华文中宋" w:hAnsi="华文中宋" w:eastAsia="华文中宋" w:cs="宋体"/>
          <w:b/>
          <w:kern w:val="0"/>
          <w:sz w:val="52"/>
          <w:szCs w:val="52"/>
        </w:rPr>
      </w:pPr>
    </w:p>
    <w:p w14:paraId="2BC8120A">
      <w:pPr>
        <w:spacing w:line="570" w:lineRule="exact"/>
        <w:jc w:val="center"/>
        <w:rPr>
          <w:rFonts w:ascii="华文中宋" w:hAnsi="华文中宋" w:eastAsia="华文中宋" w:cs="宋体"/>
          <w:b/>
          <w:kern w:val="0"/>
          <w:sz w:val="52"/>
          <w:szCs w:val="52"/>
        </w:rPr>
      </w:pPr>
    </w:p>
    <w:p w14:paraId="1CFB4420">
      <w:pPr>
        <w:spacing w:line="570" w:lineRule="exact"/>
        <w:jc w:val="center"/>
        <w:rPr>
          <w:rFonts w:ascii="华文中宋" w:hAnsi="华文中宋" w:eastAsia="华文中宋" w:cs="宋体"/>
          <w:b/>
          <w:kern w:val="0"/>
          <w:sz w:val="52"/>
          <w:szCs w:val="52"/>
        </w:rPr>
      </w:pPr>
    </w:p>
    <w:p w14:paraId="1F37A77C">
      <w:pPr>
        <w:spacing w:line="570" w:lineRule="exact"/>
        <w:jc w:val="both"/>
        <w:rPr>
          <w:rFonts w:ascii="华文中宋" w:hAnsi="华文中宋" w:eastAsia="华文中宋" w:cs="宋体"/>
          <w:b/>
          <w:kern w:val="0"/>
          <w:sz w:val="52"/>
          <w:szCs w:val="52"/>
        </w:rPr>
      </w:pPr>
    </w:p>
    <w:p w14:paraId="4BEFD478">
      <w:pPr>
        <w:spacing w:line="570" w:lineRule="exact"/>
        <w:jc w:val="center"/>
        <w:rPr>
          <w:rFonts w:ascii="华文中宋" w:hAnsi="华文中宋" w:eastAsia="华文中宋" w:cs="宋体"/>
          <w:b/>
          <w:kern w:val="0"/>
          <w:sz w:val="52"/>
          <w:szCs w:val="52"/>
        </w:rPr>
      </w:pPr>
    </w:p>
    <w:p w14:paraId="3DE5616A">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FF47471">
      <w:pPr>
        <w:spacing w:line="570" w:lineRule="exact"/>
        <w:jc w:val="center"/>
        <w:rPr>
          <w:rFonts w:ascii="华文中宋" w:hAnsi="华文中宋" w:eastAsia="华文中宋" w:cs="宋体"/>
          <w:b/>
          <w:kern w:val="0"/>
          <w:sz w:val="52"/>
          <w:szCs w:val="52"/>
        </w:rPr>
      </w:pPr>
    </w:p>
    <w:p w14:paraId="04A60B2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9565345">
      <w:pPr>
        <w:spacing w:line="570" w:lineRule="exact"/>
        <w:jc w:val="center"/>
        <w:rPr>
          <w:rFonts w:hAnsi="宋体" w:eastAsia="仿宋_GB2312" w:cs="宋体"/>
          <w:kern w:val="0"/>
          <w:sz w:val="30"/>
          <w:szCs w:val="30"/>
        </w:rPr>
      </w:pPr>
    </w:p>
    <w:p w14:paraId="26D41E27">
      <w:pPr>
        <w:spacing w:line="570" w:lineRule="exact"/>
        <w:jc w:val="center"/>
        <w:rPr>
          <w:rFonts w:hAnsi="宋体" w:eastAsia="仿宋_GB2312" w:cs="宋体"/>
          <w:kern w:val="0"/>
          <w:sz w:val="30"/>
          <w:szCs w:val="30"/>
        </w:rPr>
      </w:pPr>
    </w:p>
    <w:p w14:paraId="670FAABB">
      <w:pPr>
        <w:spacing w:line="570" w:lineRule="exact"/>
        <w:jc w:val="center"/>
        <w:rPr>
          <w:rFonts w:hAnsi="宋体" w:eastAsia="仿宋_GB2312" w:cs="宋体"/>
          <w:kern w:val="0"/>
          <w:sz w:val="30"/>
          <w:szCs w:val="30"/>
        </w:rPr>
      </w:pPr>
    </w:p>
    <w:p w14:paraId="14189E8C">
      <w:pPr>
        <w:spacing w:line="570" w:lineRule="exact"/>
        <w:jc w:val="center"/>
        <w:rPr>
          <w:rFonts w:hAnsi="宋体" w:eastAsia="仿宋_GB2312" w:cs="宋体"/>
          <w:kern w:val="0"/>
          <w:sz w:val="30"/>
          <w:szCs w:val="30"/>
        </w:rPr>
      </w:pPr>
    </w:p>
    <w:p w14:paraId="4BF9A5A5">
      <w:pPr>
        <w:spacing w:line="570" w:lineRule="exact"/>
        <w:jc w:val="center"/>
        <w:rPr>
          <w:rFonts w:hAnsi="宋体" w:eastAsia="仿宋_GB2312" w:cs="宋体"/>
          <w:kern w:val="0"/>
          <w:sz w:val="30"/>
          <w:szCs w:val="30"/>
        </w:rPr>
      </w:pPr>
    </w:p>
    <w:p w14:paraId="0F9C7421">
      <w:pPr>
        <w:spacing w:line="570" w:lineRule="exact"/>
        <w:jc w:val="center"/>
        <w:rPr>
          <w:rFonts w:hAnsi="宋体" w:eastAsia="仿宋_GB2312" w:cs="宋体"/>
          <w:kern w:val="0"/>
          <w:sz w:val="30"/>
          <w:szCs w:val="30"/>
        </w:rPr>
      </w:pPr>
    </w:p>
    <w:p w14:paraId="2C14CC27">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2023年中央医疗服务与保障能力提升（卫生健康人才培养培训）项目</w:t>
      </w:r>
    </w:p>
    <w:p w14:paraId="03EEECA9">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14:paraId="25B3C4F1">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14:paraId="25A7509A">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陈惠</w:t>
      </w:r>
    </w:p>
    <w:p w14:paraId="12BDAE06">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2024年05月24日</w:t>
      </w:r>
    </w:p>
    <w:p w14:paraId="2B40B409">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1C7AD8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E219D5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4E513D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根据《关于提前下达2023年中央财政医疗服务与保障能力提升（公立医院综合改革）补助资金预算的通知》文件精神。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卫生人才培养培训。严格按照《2023年中央医疗服务与保障能力提升（卫生健康人才培养培训）项目实施方案》执行，单位领导足够重视本项目开展，从项目到资金，均能很好的执行，在领导的支持下和各部门的协调配合下，保障了学员的日常生活补助以及基地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项目的实施对促进医疗卫生人才培养发展，提高医疗服务质量作用突出，成为医院持续发展的</w:t>
      </w:r>
      <w:bookmarkStart w:id="0" w:name="_GoBack"/>
      <w:bookmarkEnd w:id="0"/>
      <w:r>
        <w:rPr>
          <w:rStyle w:val="18"/>
          <w:rFonts w:hint="eastAsia" w:ascii="仿宋" w:hAnsi="仿宋" w:eastAsia="仿宋" w:cs="仿宋"/>
          <w:b w:val="0"/>
          <w:bCs w:val="0"/>
          <w:spacing w:val="-4"/>
          <w:sz w:val="32"/>
          <w:szCs w:val="32"/>
        </w:rPr>
        <w:t>重要抓手和契机。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喀地财社〔2022〕72号共安排下达资金104.7万元，为项目使用资金，最终确定项目资金总数为104.7万元。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截至2024年5月20日，实际支出104.7万元，预算执行率100%。</w:t>
      </w:r>
    </w:p>
    <w:p w14:paraId="048BECB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E1B27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动落实原国家卫计委《关于印发助理全科医生培训实施意见（试行）的通知》（国卫科教发﹝2016﹞144号、自治区卫健委《关于印发进一步加强自治区助理全科医生培训实施方案的通知》（新卫科教发﹝2019﹞21号）等文件精神，经全科卫生健康人才进一步充实，基层医疗卫生机构医疗水平不断提升，加快构建适合喀什地区卫生健康水平的医疗卫生服务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下达助理全科医师规范化培训中央财政补助资金85.5万元，为2023级、2022级助理全科学员补助资金。19.2万元用于支付下县帮扶人员生活补助，我院教学科根据学员考勤、综合考核等情况核算学员补助、师资带教费等相关费用，上报至医院财务部，由财务部向地区财政局申请发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财务出纳迪丽努尔按照项目负责人提供的依据等按项目进度向财政申请支付资金；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财务负责人蔡文辉负责审核出纳提请的自付计划；通过业务与财务工作共同配合衔接，形成了明确责任分工的项目管理制度。</w:t>
      </w:r>
    </w:p>
    <w:p w14:paraId="76860E6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CDA568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21D6A90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5D6333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2CD50F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0DC5AAC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7602D6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陈惠任评价组组长，绩效评价工作职责为负责全盘工作。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朱小磊任评价组副组长，绩效评价工作职责为为对项目实施情况进行实地调查。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凯赛尔评价组成员，绩效评价工作职责为负责资料审核等工作。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通过实施2023年中央医疗服务与保障能力提升（卫生健康人才培养培训）项目产生社会效益。项目实施主要通过项目决策、项目过程、项目产出以及项目效益等方面进行评价，其中：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财政厅《前下达2024年中央医疗服务与保障能力提升（卫生健康人才培养）补助资金预算的通知》（新财社〔2023〕215）文件立项，项目实施方案符合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项目过程：2023年中央医疗服务与保障能力提升（卫生健康人才培养培训）项目预算安排 104.7万元，实际支出104.7万元，预算执行率100%。项目资金使用合规，项目财务管理制度健全，财务监控到位，所有资金支付均按照国库集中支付制度严格执行，现有项目管理制度执行情况良好。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项目产出：助理全科医生培训招收完成率、支援县级医院个数、派出支援县级人民医院人数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项目效益：通过实施此项目产提高受支援医院业务技术水平的效益。</w:t>
      </w:r>
    </w:p>
    <w:p w14:paraId="2EFECB4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18692F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97.78分，绩效等级为“优”。</w:t>
      </w:r>
    </w:p>
    <w:p w14:paraId="0643B10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0D90EE0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52D39D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关于提前下达2023年中央财政医疗服务与保障能力提升（公立医院综合改革）补助资金预算的通知》（喀地财社[2022]72号）文件精神，三级公立医院绩效考核职责，并组织实施。围绕喀什地区第二人民医院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（2）立项程序规范性：根据决策依据编制工作计划和经费预算，经过与组织人事科分管院领导进行沟通、筛选确定经费预算计划，上党委会研究确定最终预算方案，根据评分标准，该指标不扣分，得2分。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中央医疗服务与保障能力提升（卫生健康人才培养培训）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将项目绩效目标细化分解为：助理全科医生培训招收完成率、支援县级医院个数、派出支援县级人民医院人数，根据评分标准，该指标不扣分，得2分。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43CB525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00CD4F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（1）资金到位率：资金到位率=（实际到位资金/预算资金）×100%=104.7/104.7=100%，财政资金足额拨付到位，牵头单位能够及时足额按照合同约定将专项资金拨付给联合体单位，根据评分标准，该指标不扣分，得3分。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（2）预算执行率：预算执行率=（实际支出资金/实际到位资金）×100%=104.7/104.7=100%，预算编制较为详细，项目资金支出总体能够按照预算执行，根据评分标准，该指标不扣分，得3分。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（3）资金使用合规性：制定了《医院财务制度总则》、《喀什地区第二人民医院报销管理办法》对经费使用进行规范管理，财务制度健全、执行严格，根据评分标准，该指标不扣分，得4分。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（4）管理制度健全性：制定了《医院财务制度总则》，对财政专项资金进行严格管理，基本做到了专款专用，根据评分标准，该指标不扣分，得5分。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14:paraId="7B9A588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CE5BA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项目产出类指标包括产出数量、产出质量、产出时效、产出成本四方面的内容，由4个三级指标构成，权重分为45分，实际得分42.78分，得分率为95.07%。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助理全科医生培训招收完成率指标，印证资料为：招收人员名单汇总表，预期指标值为&gt;=90%，实际完成值=100%，指标完成率为111%，偏差原因：年初目标设置过低。根据评分标准，该指标扣0.33分，得2.67分。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支援县级医院个数指标，印证资料为：情况说明与派出单位与人员名单汇总表，预期指标值=2个，实际完成值=2个，指标完成率为100%，与预期目标一致，根据评分标准，该指标不扣分，得3分。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派出支援县级人民医院人数指标，印证资料为：派出人员名单汇总表，预期指标值=8人，实际完成值=8人，指标完成率为100%，与预期目标一致，根据评分标准，该指标不扣分，得4分。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合计得9.67分。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助理全科医生首次参加结业考核通过率指标，印证资料为：参加考核合格人员汇总表，预期指标值≥85%，实际完成值=78.57%，指标完成率为92.44%，偏差原因：学员基础水平较差，考试成绩较低；改进措施：以后年度提高招收标准，加强培训提高通过率。根据评分标准，该指标扣1.89分，得8.11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合计得8.11分。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助理全科参培学员补助发放及时率指标，印证资料为：国库集中支付凭证，预期指标值=100%，实际完成值=100%，指标完成率为100%，与预期目标一致，根据评分标准，该指标不扣分，得5分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对口支援县级医院完成时间指标，印证资料为：国库集中支付凭证，预期指标值为12个月，实际完成值为12个月，指标完成率为100%，与预期目标一致，根据评分标准，该指标不扣分，得5分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万名医师支援县医院人员补助标准指标，印证资料为：国库集中支付凭证，预期指标值=2.4万元/人/年，实际完成值=2.4万元/人/年，指标完成率为100%，与预期目标一致，根据评分标准，该指标，得7.5分。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央财政对助理全科医生培训项目的投入标准指标，印证资料为：《关于印发喀什地区第二人民医院助理全科医生规范化培训专项资金管理规定》的通知、资金支出明细账，预期指标值=2万元/人/年，实际完成值=2万元/人/年，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项目经费都能控制绩效目标范围内，根据评分标准，该指标不扣分，得15分。</w:t>
      </w:r>
    </w:p>
    <w:p w14:paraId="5AE5401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87A17F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参培助理全科医师业务水平指标，印证资料为：工作总结报告，该指标预期指标值为提高，实际完成值为提高，指标完成率为100%，与预期指标一致，根据评分标准，该指标不扣分，得10分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提高受支援医院业务技术水平指标，印证资料为：工作总结报告，该指标预期指标值为提高，实际完成值为提高，指标完成率为100%，与预期指标一致，根据评分标准，该指标不扣分，得10分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培学员满意度，印证资料为：满意度调查问卷、满意度汇总表，该指标预期指标值为80%，实际完成值为98.4%，指标完成率为123%，偏差原因：学员对培训效果及过程反馈较好满意高于预期指标。根据评分标准，该指标不扣分,得10分。</w:t>
      </w:r>
    </w:p>
    <w:p w14:paraId="1BF69B7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182A38A">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医疗服务与保障能力提升（卫生健康人才培养培训）项目，项目预算104.7万元，到位104.7万元，实际支出104.7万元，预算执行率为100%，项目绩效指标总体完成率为102.4%。偏差原因：学员对培训效果及过程反馈较好满意高于预期指标。改进措施：以后年度充分调研并结合以前年度结果合理设置目标值。</w:t>
      </w:r>
    </w:p>
    <w:p w14:paraId="1C8DCD51">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7B75AE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应明确项目的目标和需求，确保项目团队对项目的目标有清晰的认识，以便在后续的项目执行过程中能够有针对性地开展工作。</w:t>
      </w:r>
    </w:p>
    <w:p w14:paraId="61E0204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185C58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加强资金管理信息化建设，建立集中、规范的资金管理系统，提高资金管理的自动化程度，减少人工干预和管理成本。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制定详细的项目计划，项目计划应包括工作内容、工作时间、资源分配等。通过指定详细的项目计划，可以帮助项目团队清理工作思路，合理安排工作时间，有效利用资源。</w:t>
      </w:r>
    </w:p>
    <w:p w14:paraId="1308F0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F4DABEC">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0910DD3">
        <w:pPr>
          <w:pStyle w:val="12"/>
          <w:jc w:val="center"/>
        </w:pPr>
        <w:r>
          <w:fldChar w:fldCharType="begin"/>
        </w:r>
        <w:r>
          <w:instrText xml:space="preserve">PAGE   \* MERGEFORMAT</w:instrText>
        </w:r>
        <w:r>
          <w:fldChar w:fldCharType="separate"/>
        </w:r>
        <w:r>
          <w:rPr>
            <w:lang w:val="zh-CN"/>
          </w:rPr>
          <w:t>1</w:t>
        </w:r>
        <w:r>
          <w:fldChar w:fldCharType="end"/>
        </w:r>
      </w:p>
    </w:sdtContent>
  </w:sdt>
  <w:p w14:paraId="013E05E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3236B49"/>
    <w:rsid w:val="2AE11386"/>
    <w:rsid w:val="2D4C6AD2"/>
    <w:rsid w:val="2D5A6638"/>
    <w:rsid w:val="340D5924"/>
    <w:rsid w:val="36B628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110</Words>
  <Characters>633</Characters>
  <Lines>5</Lines>
  <Paragraphs>1</Paragraphs>
  <TotalTime>2</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2026-07-03T09:15:36Z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86E057143CEA41F1900F5D135C603017_12</vt:lpwstr>
  </property>
</Properties>
</file>