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8507C">
      <w:pPr>
        <w:spacing w:line="570" w:lineRule="exact"/>
        <w:jc w:val="center"/>
        <w:rPr>
          <w:rFonts w:ascii="华文中宋" w:hAnsi="华文中宋" w:eastAsia="华文中宋" w:cs="宋体"/>
          <w:b/>
          <w:kern w:val="0"/>
          <w:sz w:val="52"/>
          <w:szCs w:val="52"/>
        </w:rPr>
      </w:pPr>
    </w:p>
    <w:p w14:paraId="55A77AEB">
      <w:pPr>
        <w:spacing w:line="570" w:lineRule="exact"/>
        <w:jc w:val="center"/>
        <w:rPr>
          <w:rFonts w:ascii="华文中宋" w:hAnsi="华文中宋" w:eastAsia="华文中宋" w:cs="宋体"/>
          <w:b/>
          <w:kern w:val="0"/>
          <w:sz w:val="52"/>
          <w:szCs w:val="52"/>
        </w:rPr>
      </w:pPr>
    </w:p>
    <w:p w14:paraId="58053E26">
      <w:pPr>
        <w:spacing w:line="570" w:lineRule="exact"/>
        <w:jc w:val="center"/>
        <w:rPr>
          <w:rFonts w:ascii="华文中宋" w:hAnsi="华文中宋" w:eastAsia="华文中宋" w:cs="宋体"/>
          <w:b/>
          <w:kern w:val="0"/>
          <w:sz w:val="52"/>
          <w:szCs w:val="52"/>
        </w:rPr>
      </w:pPr>
    </w:p>
    <w:p w14:paraId="7B6BAE77">
      <w:pPr>
        <w:spacing w:line="570" w:lineRule="exact"/>
        <w:jc w:val="center"/>
        <w:rPr>
          <w:rFonts w:ascii="华文中宋" w:hAnsi="华文中宋" w:eastAsia="华文中宋" w:cs="宋体"/>
          <w:b/>
          <w:kern w:val="0"/>
          <w:sz w:val="52"/>
          <w:szCs w:val="52"/>
        </w:rPr>
      </w:pPr>
    </w:p>
    <w:p w14:paraId="3C73C8F3">
      <w:pPr>
        <w:spacing w:line="570" w:lineRule="exact"/>
        <w:jc w:val="both"/>
        <w:rPr>
          <w:rFonts w:ascii="华文中宋" w:hAnsi="华文中宋" w:eastAsia="华文中宋" w:cs="宋体"/>
          <w:b/>
          <w:kern w:val="0"/>
          <w:sz w:val="52"/>
          <w:szCs w:val="52"/>
        </w:rPr>
      </w:pPr>
    </w:p>
    <w:p w14:paraId="58853A25">
      <w:pPr>
        <w:spacing w:line="570" w:lineRule="exact"/>
        <w:jc w:val="center"/>
        <w:rPr>
          <w:rFonts w:ascii="华文中宋" w:hAnsi="华文中宋" w:eastAsia="华文中宋" w:cs="宋体"/>
          <w:b/>
          <w:kern w:val="0"/>
          <w:sz w:val="52"/>
          <w:szCs w:val="52"/>
        </w:rPr>
      </w:pPr>
    </w:p>
    <w:p w14:paraId="42CFA047">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2461F645">
      <w:pPr>
        <w:spacing w:line="570" w:lineRule="exact"/>
        <w:jc w:val="center"/>
        <w:rPr>
          <w:rFonts w:ascii="华文中宋" w:hAnsi="华文中宋" w:eastAsia="华文中宋" w:cs="宋体"/>
          <w:b/>
          <w:kern w:val="0"/>
          <w:sz w:val="52"/>
          <w:szCs w:val="52"/>
        </w:rPr>
      </w:pPr>
    </w:p>
    <w:p w14:paraId="696D6699">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8B92CAF">
      <w:pPr>
        <w:spacing w:line="570" w:lineRule="exact"/>
        <w:jc w:val="center"/>
        <w:rPr>
          <w:rFonts w:hAnsi="宋体" w:eastAsia="仿宋_GB2312" w:cs="宋体"/>
          <w:kern w:val="0"/>
          <w:sz w:val="30"/>
          <w:szCs w:val="30"/>
        </w:rPr>
      </w:pPr>
    </w:p>
    <w:p w14:paraId="61BD6477">
      <w:pPr>
        <w:spacing w:line="570" w:lineRule="exact"/>
        <w:jc w:val="center"/>
        <w:rPr>
          <w:rFonts w:hAnsi="宋体" w:eastAsia="仿宋_GB2312" w:cs="宋体"/>
          <w:kern w:val="0"/>
          <w:sz w:val="30"/>
          <w:szCs w:val="30"/>
        </w:rPr>
      </w:pPr>
    </w:p>
    <w:p w14:paraId="02FBFCD6">
      <w:pPr>
        <w:spacing w:line="570" w:lineRule="exact"/>
        <w:jc w:val="center"/>
        <w:rPr>
          <w:rFonts w:hAnsi="宋体" w:eastAsia="仿宋_GB2312" w:cs="宋体"/>
          <w:kern w:val="0"/>
          <w:sz w:val="30"/>
          <w:szCs w:val="30"/>
        </w:rPr>
      </w:pPr>
    </w:p>
    <w:p w14:paraId="0AF979A8">
      <w:pPr>
        <w:spacing w:line="570" w:lineRule="exact"/>
        <w:jc w:val="center"/>
        <w:rPr>
          <w:rFonts w:hAnsi="宋体" w:eastAsia="仿宋_GB2312" w:cs="宋体"/>
          <w:kern w:val="0"/>
          <w:sz w:val="30"/>
          <w:szCs w:val="30"/>
        </w:rPr>
      </w:pPr>
    </w:p>
    <w:p w14:paraId="0B458516">
      <w:pPr>
        <w:spacing w:line="570" w:lineRule="exact"/>
        <w:jc w:val="center"/>
        <w:rPr>
          <w:rFonts w:hAnsi="宋体" w:eastAsia="仿宋_GB2312" w:cs="宋体"/>
          <w:kern w:val="0"/>
          <w:sz w:val="30"/>
          <w:szCs w:val="30"/>
        </w:rPr>
      </w:pPr>
    </w:p>
    <w:p w14:paraId="13B056BA">
      <w:pPr>
        <w:spacing w:line="570" w:lineRule="exact"/>
        <w:jc w:val="center"/>
        <w:rPr>
          <w:rFonts w:hAnsi="宋体" w:eastAsia="仿宋_GB2312" w:cs="宋体"/>
          <w:kern w:val="0"/>
          <w:sz w:val="30"/>
          <w:szCs w:val="30"/>
        </w:rPr>
      </w:pPr>
    </w:p>
    <w:p w14:paraId="4B886E14">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2023年自治区人才发展基金第一批重大人才计划项目（天山英才计划）</w:t>
      </w:r>
    </w:p>
    <w:p w14:paraId="7C73101C">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新疆维吾尔自治区喀什地区第二人民医院</w:t>
      </w:r>
    </w:p>
    <w:p w14:paraId="4FB11950">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喀什地区卫生健康委员会</w:t>
      </w:r>
    </w:p>
    <w:p w14:paraId="3A460786">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葛培忠</w:t>
      </w:r>
    </w:p>
    <w:p w14:paraId="505F35CD">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2024年05月24日</w:t>
      </w:r>
    </w:p>
    <w:p w14:paraId="7FB28DB6">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5490E34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53A1550D">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2281AED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公布自治区天山英才计划第三期培养人选名单的通知》（新人社函[2021]37号）文件精神，我院原喀什地区第二人民医院党委委员、副院长李治纲（现任喀什中医医院党总支书记、副院长）、原护理部副主任（主持工作）陈惠（现任教学科主任）、心血管内科CCU组副主任陆荣荣（主持工作）3人成功申报 2023年自治区人才发展基金第一批重大人才计划项目（天山英才计划）。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在原有工作基础上进一步发挥学科带头人的作用，持续提升团队的药学科研能力、学术和技术水平，逐步提升团队在喀什地区乃至南疆地区的学术影响力。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喀什地区治疗药物监测科研创新团队，填补喀什地区不能进行血药浓度监测空白，对多种治疗窗窄、个体差异大的药物进行血药浓度监测，根据患者情况进行给药个体化，达到提高疗效及降低毒副作用，至此我院乃至喀什地区精准药物治疗服务工作迈进了新阶段。加大对医联体单位药学人才的培训和指导，带动基层药师的药学服务能力，以期达到药学服务的同质化。不断开拓新技术新项目，开设医药联合门诊，不断拓宽药学服务深度和广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请疆内外专家来院/线上培训指导或到疆内外参加培训、学习、交流等形式，提升自身专业能力及管理水平；在院内举办护理管理者培训，带动本医疗机构护理管理者护理管理能力提升；通过线上线下培训，对地区护理联盟单位护理管理及护理专业理论、技能进行培训，提升管理能力及专科护理技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请疆内外专家来院/线上培训指导或到疆内外参加培训、学习、交流等形式，提升自身专业能力及管理水平；通过科研的形式，做好基础研究及临床学术研究；通过线上或线下学术会的论文交流，学术平台进行发言，提升科研能力及相关综合能力；积极提升科技成果转化，与临床紧密结合，研发与介入手术相关的发明专利一项。具体推广到临床一线工作中，具有实际应用价值；通过科研结题完成论文书写及相关研究的后续推广；积极完成临床领域的医学知识推广，包括定期开展继续医学教育，发表专著书籍等，起到技术辐射至各县市，临床及基础医学知识进行普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第二人民医院成立于1958年，是一所医疗、教学、科研、预防保健及管理为一体的三级甲等综合性医院，上海交通大学医学院教学医院、新疆医科大学教学医院、上海健康医学院附属医院、医院承担着喀什地区十二个县市、克州、兵团农三师、塔西南石油基地及喀什铁路系统等近500万人口的医疗服务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下设两个分院（一分院为喀什地区儿童医疗服务体系中心，二分院为临床医学教育综合培训中心），核定床位1200张，下设31个临床科室、9个医技科室、18个行政职能科室。现有职工1420人，临床医师440人，研究生以上学历85人，占临床医师的19%，其中高级职称158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喀地财行〔2023〕5号共安排下达资金30万元，为项目使用资金，最终确定项目资金总数为30万元。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截至2024年5月20日，实际支出30万元，预算执行率100%。</w:t>
      </w:r>
    </w:p>
    <w:p w14:paraId="3507F91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D9F83C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深入学习2023年习近平总书记关于做好新时代人才工作重要指示精神，贯彻落实《关于加强和改进新时代人才工作的实施意见》精神，按照自治区党委人才工作领导小组部署，根据《天山英才医药卫生高层次人才培养计划申报指南》要求，认真贯彻实施文件精神与内容，发挥学科带头人的作用，持续提升团队的药学科研能力、学术和技术水平，逐步提升团队在喀什地区乃至南疆地区的学术影响力。建立喀什地区治疗药物监测科研创新团队，填补喀什地区不能进行血药浓度监测空白，对多种治疗窗窄、个体差异大的药物进行血药浓度监测，根据患者情况进行给药个体化，达到提高疗效及降低毒副作用，至此我院乃至喀什地区精准药物治疗服务工作迈进了新阶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发表论文4篇、培训场次3场、下县培训10次、赴疆内外参加各类培训学习交流6次。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财务出纳迪丽努尔按照项目负责人提供的依据和发票等按项目进度向财政申请支付资金；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财务负责人蔡文辉负责审核出纳提请的自付计划；通过业务与财务工作共同配合衔接，形成了明确责任分工的项目管理制度。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验收阶段的具体工作：按照《天山英才医药卫生高层次人才培养计划申报指南》要求、预算绩效管理办法等相关制度办法严格落实各环节工作。</w:t>
      </w:r>
    </w:p>
    <w:p w14:paraId="037EE32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7C91825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3769D2A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3DA3124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3FCE684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1BE9BB4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1D5D287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李治纲任评价组组长，绩效评价工作职责为负责全盘工作。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陈惠、陆荣荣任评价组副组长，绩效评价工作职责为为对项目实施情况进行实地调查。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杨倩任评价组成员，绩效评价工作职责为负责资料审核等工作。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5148334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2E60589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通过实施2023年度自治区人才发展基金第一批               重点人才计划项目（天山英才计划）项目产生管理人员的管理水平、受训人员技能水平提高。项目实施主要通过项目决策、项目过程、项目产出以及项目效益等方面进行评价，其中：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项目决策：该项目主要通过《关于公布自治区天山英才计划第三期培养人选名单的通知》文件立项，项目实施符合申报要求，项目立项依据充分，立项程序规范。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项目过程：2023年度自治区人才发展基金第一批               重点人才计划项目（天山英才计划）项目预算安排 30万元，实际支出30万元，预算执行率100%。项目资金使用合规，项目财务管理制度健全，财务监控到位，所有资金支付均按照国库集中支付制度严格执行，现有项目管理制度执行情况良好。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项目产出：发表论文4篇、培训场次3场、下县培训10次、赴疆内外参加各类培训学习交流6次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产生管理人员的管理水平、受训人员技能水平提高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喀什地区本级医务人员临时性工作补助资金（第三批）项目进行客观评价，最终评分结果：评价总分98分，绩效等级为“优”。</w:t>
      </w:r>
    </w:p>
    <w:p w14:paraId="251788F3">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1E19969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1B3761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关于公布自治区天山英才计划第三期培养人选名单的通知》（新人社函[2021]37号）文件精神，三级公立医院绩效考核职责，并组织实施。围绕喀什地区第二人民医院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（2）立项程序规范性：根据决策依据编制工作计划和经费预算，经过与组织人事科分管院领导进行沟通、筛选确定经费预算计划，根据评分标准，该指标不扣分，得2分。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2023年自治区人才发展基金第一批重大人才计划项目（天山英才计划）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将项目绩效目标细化分解为：发表论文数（篇）、培训场次、赴疆内外参加各类培训、学习、交流等绩效指标，根据评分标准，该指标不扣分，得2分。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14:paraId="75C2A7B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8DAB95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（1）资金到位率：资金到位率=（实际到位资金/预算资金）×100%=30/30=100%，财政资金足额拨付到位，牵头单位能够及时足额按照合同约定将专项资金拨付给联合体单位，根据评分标准，该指标不扣分，得3分。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（2）预算执行率：预算执行率=（实际支出资金/实际到位资金）×100%=30/30=100%，预算编制较为详细，项目资金支出总体能够按照预算执行，根据评分标准，该指标不扣分，得3分。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（3）资金使用合规性：制定了《医院财务制度总则》、《喀什地区第二人民医院报销管理办法》对经费使用进行规范管理，财务制度健全、执行严格，根据评分标准，该指标不扣分，得4分。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（4）管理制度健全性：制定了《医院财务制度总则》，对财政专项资金进行严格管理，基本做到了专款专用，根据评分标准，该指标不扣分，得5分。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（5）制度执行有效性：由各个项目负责人提出项目经费预算申报书，经过自治区</w:t>
      </w:r>
      <w:r>
        <w:rPr>
          <w:rStyle w:val="18"/>
          <w:rFonts w:hint="eastAsia" w:ascii="仿宋" w:hAnsi="仿宋" w:eastAsia="仿宋" w:cs="仿宋"/>
          <w:b w:val="0"/>
          <w:bCs w:val="0"/>
          <w:spacing w:val="-4"/>
          <w:sz w:val="32"/>
          <w:szCs w:val="32"/>
          <w:lang w:val="en-US" w:eastAsia="zh-CN"/>
        </w:rPr>
        <w:t>卫</w:t>
      </w:r>
      <w:r>
        <w:rPr>
          <w:rStyle w:val="18"/>
          <w:rFonts w:hint="eastAsia" w:ascii="仿宋" w:hAnsi="仿宋" w:eastAsia="仿宋" w:cs="仿宋"/>
          <w:b w:val="0"/>
          <w:bCs w:val="0"/>
          <w:spacing w:val="-4"/>
          <w:sz w:val="32"/>
          <w:szCs w:val="32"/>
        </w:rPr>
        <w:t>健委审核通过，组织人事科归口管理，财务对资金的使用合法合规性进行监督，年底对资金使用效果进行自评，根据评分标准，该指标不扣分，得5分。</w:t>
      </w:r>
    </w:p>
    <w:p w14:paraId="100961B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7CCBE10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项目产出类指标包括产出数量、产出质量、产出时效、产出成本四方面的内容，由4个三级指标构成，权重分为45分，实际得分43分，得分率为95.56%。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发表论文数（篇）指标，印证资料为：发表论文出版的截图，预期指标值=4篇，实际完成值=4篇，指标完成率为100%，与预期目标一致，根据评分标准，该指标不扣分，得2.5分。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培训场次指标，印证资料为：培训场景照片，预期指标值=3次，实际完成值=3次，指标完成率为100%，与预期目标一致，根据评分标准，该指标不扣分，得2.5分。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下县培训指标，印证资料为：下县开展培训场景照，预期指标值=10次，实际完成值=10次，指标完成率为100%，与预期目标一致，根据评分标准，该指标不扣分，得2.5分。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赴疆内外参加各类培训、学习、交流指标，印证资料为：外出参加培训通知、OA请假单，预期指标值=6次，实际完成值=6次，指标完成率为100%，与预期目标一致，根据评分标准，该指标不扣分，得2.5分。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技能培训合格率指标，印证资料为：培训证书，预期指标值为&gt;=80%，实际完成值=100%，指标完成率为125%，偏差原因：培训效果较好，受训人员素质较高，取得的结果高于预期值。根据评分标准，该指标扣2分，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合计得6.25分。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项目完成及时率（%）指标，印证资料为：工作总结汇报PPT，预期指标值=100%，实际完成值为=100%，指标完成率为100%，与预期目标一致，根据评分标准，该指标不扣分，得10分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购买设备及耗材费用指标，印证资料为：国库集中支付导出指标汇总表，预期指标值≤12.342万元，实际完成值=12.342万元，指标完成率为100%，与预期目标一致，根据评分标准，该指标，得5分。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差旅会议培训等费用指标，印证资料为：国库集中支付导出指标汇总表，预期指标值≤13.26万元，实际完成值=13.26万元，指标完成率为100%，与预期目标一致，根据评分标准，该指标，得5分。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出版费用指标，印证资料为：国库集中支付导出指标汇总表，预期指标值≤4.4万元，实际完成值=4.4万元，指标完成率为100%，与预期目标一致，根据评分标准，该指标，得5分。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项目经费都能控制绩效目标范围内，根据评分标准，该指标不扣分，得15分。</w:t>
      </w:r>
    </w:p>
    <w:p w14:paraId="6EF61FB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00DED40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管理人员管理水平指标，印证资料为：项目工作汇报PPT，该指标预期指标值为提高，实际完成值为提高，指标完成率为100%，与预期指标一致，根据评分标准，该指标不扣分，得10分；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受训人员技能水平指标，印证资料为：项目工作汇报PPT，该指标预期指标值为提高，实际完成值为提高，指标完成率为100%，与预期指标一致，根据评分标准，该指标不扣分，得10分；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p>
    <w:p w14:paraId="6F13049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5613DEBE">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自治区人才发展基金第一批重大人才计划项目（天山英才计划）项目预算30万元，到位30万元，实际支出30万元，预算执行率为100%，项目绩效指标总体完成率为102.3%。偏差原因：培训效果较好，受训人员素质较高，取得的结果高于预期值。改进措施：以后年度合理设置目标值。</w:t>
      </w:r>
    </w:p>
    <w:p w14:paraId="1A86CC13">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7EF378A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2023年度自治区人才发展基金第一批重点人才计划项目（天山英才计划）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应明确项目的目标和需求，确保项目团队对项目的目标有清晰的认识，以便在后续的项目执行过程中能够有针对性地开展工作。</w:t>
      </w:r>
    </w:p>
    <w:p w14:paraId="6781201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64797A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制订详细的预算计划和执行方案，以确保预算的合理性和可行性。预算计划应该考虑到各种情况的可能性。在预算执行过程中，要及时检测和分析预算执行情况，以便调整预算方案，对于出现偏差较大的项目，要及时调整，防止造成更大的损失。</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加强资金管理信息化建设，建立集中、规范的资金管理系统，提高资金管理的自动化程度，减少人工干预和管理成本。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制定详细的项目计划，项目计划应包括工作内容、工作时间、资源分配等。通过指定详细的项目计划，可以帮助项目团队清理工作思路，合理安排工作时间，有效利用资源。</w:t>
      </w:r>
    </w:p>
    <w:p w14:paraId="11631A2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5A8CED12">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方正楷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9D6A951">
        <w:pPr>
          <w:pStyle w:val="12"/>
          <w:jc w:val="center"/>
        </w:pPr>
        <w:r>
          <w:fldChar w:fldCharType="begin"/>
        </w:r>
        <w:r>
          <w:instrText xml:space="preserve">PAGE   \* MERGEFORMAT</w:instrText>
        </w:r>
        <w:r>
          <w:fldChar w:fldCharType="separate"/>
        </w:r>
        <w:r>
          <w:rPr>
            <w:lang w:val="zh-CN"/>
          </w:rPr>
          <w:t>1</w:t>
        </w:r>
        <w:r>
          <w:fldChar w:fldCharType="end"/>
        </w:r>
      </w:p>
    </w:sdtContent>
  </w:sdt>
  <w:p w14:paraId="1985A3D5">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B332CCD"/>
    <w:rsid w:val="236F472D"/>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110</Words>
  <Characters>633</Characters>
  <Lines>5</Lines>
  <Paragraphs>1</Paragraphs>
  <TotalTime>2</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lenovo</cp:lastModifiedBy>
  <cp:lastPrinted>2018-12-31T10:56:00Z</cp:lastPrinted>
  <dcterms:modified xsi:type="dcterms:W3CDTF">2026-07-03T09:17:50Z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4BB80B9CDB944C5EBD299DE7F6DF75A8_12</vt:lpwstr>
  </property>
</Properties>
</file>