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6F1412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喀什地区培训就业服务中心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262A701">
      <w:r>
        <w:br w:type="page"/>
      </w:r>
    </w:p>
    <w:p w14:paraId="76D39A84">
      <w:pPr>
        <w:spacing w:line="640" w:lineRule="exact"/>
        <w:jc w:val="center"/>
        <w:outlineLvl w:val="1"/>
      </w:pPr>
      <w:r>
        <w:rPr>
          <w:rFonts w:ascii="黑体" w:hAnsi="黑体" w:eastAsia="黑体"/>
          <w:sz w:val="32"/>
        </w:rPr>
        <w:t>第一部分 部门概况</w:t>
      </w:r>
    </w:p>
    <w:p w14:paraId="3231108F">
      <w:pPr>
        <w:spacing w:line="640" w:lineRule="exact"/>
        <w:ind w:firstLine="640"/>
        <w:jc w:val="both"/>
        <w:outlineLvl w:val="2"/>
      </w:pPr>
      <w:r>
        <w:rPr>
          <w:rFonts w:ascii="黑体" w:hAnsi="黑体" w:eastAsia="黑体"/>
          <w:sz w:val="32"/>
        </w:rPr>
        <w:t>一、主要职能</w:t>
      </w:r>
    </w:p>
    <w:p w14:paraId="42B2624D">
      <w:pPr>
        <w:spacing w:line="580" w:lineRule="exact"/>
        <w:ind w:firstLine="640"/>
        <w:jc w:val="both"/>
      </w:pPr>
      <w:r>
        <w:rPr>
          <w:rFonts w:ascii="仿宋_GB2312" w:hAnsi="仿宋_GB2312" w:eastAsia="仿宋_GB2312"/>
          <w:sz w:val="32"/>
        </w:rPr>
        <w:t>负责本级人力资源市场，提供就业政策咨询与宣传、职业介绍、职业指导、发布职业供求信息和市场工资指导价位信息等服务；负责灵活就业和地直企业失业人员档案保管、转移，并协助灵活就业人员办理退休；做好高校毕业生就业创业，档案管理和接转工作；指导全地区做好就业、失业登记，统筹做好全地区公益性岗位开发与服务工作；负责开展疆内疆外劳务合作交流，指导协调全地区组织和开展劳动力转移就业工作；负责全区职业介绍机构的业务指导；组织开展机构师资队伍培训；推行职业资格证书、就业准入和劳动预备制度；负责受理本级培训补贴审核工作；负责地区人力资源信息统计，汇总上报地区培训就业数据负责信息化系统和设备的引进和维护；对中心内的机房进行管理，及时解决突发问题；对中心的网络设备进行维护管理。</w:t>
      </w:r>
    </w:p>
    <w:p w14:paraId="762E1FB9">
      <w:pPr>
        <w:spacing w:line="640" w:lineRule="exact"/>
        <w:ind w:firstLine="640"/>
        <w:jc w:val="both"/>
        <w:outlineLvl w:val="2"/>
      </w:pPr>
      <w:r>
        <w:rPr>
          <w:rFonts w:ascii="黑体" w:hAnsi="黑体" w:eastAsia="黑体"/>
          <w:sz w:val="32"/>
        </w:rPr>
        <w:t>二、机构设置及人员情况</w:t>
      </w:r>
    </w:p>
    <w:p w14:paraId="63DD771F">
      <w:pPr>
        <w:spacing w:line="580" w:lineRule="exact"/>
        <w:ind w:firstLine="640"/>
        <w:jc w:val="both"/>
      </w:pPr>
      <w:r>
        <w:rPr>
          <w:rFonts w:ascii="仿宋_GB2312" w:hAnsi="仿宋_GB2312" w:eastAsia="仿宋_GB2312"/>
          <w:sz w:val="32"/>
        </w:rPr>
        <w:t>喀什地区培训就业服务中心2024年度，实有人数32人，其中：在职人员23人，增加1人；离休人员0人，增加0人；退休人员9人,增加0人。</w:t>
      </w:r>
    </w:p>
    <w:p w14:paraId="6A86C8FF">
      <w:pPr>
        <w:spacing w:line="580" w:lineRule="exact"/>
        <w:ind w:firstLine="640"/>
        <w:jc w:val="both"/>
      </w:pPr>
      <w:r>
        <w:rPr>
          <w:rFonts w:ascii="仿宋_GB2312" w:hAnsi="仿宋_GB2312" w:eastAsia="仿宋_GB2312"/>
          <w:sz w:val="32"/>
        </w:rPr>
        <w:t>喀什地区培训就业服务中心无下属预算单位，下设5个科室，分别是：办公室、培训就业服务科、人力资源市场科、统计信息科、国家通用语言培训办公室。</w:t>
      </w:r>
    </w:p>
    <w:p w14:paraId="04781559">
      <w:r>
        <w:br w:type="page"/>
      </w:r>
    </w:p>
    <w:p w14:paraId="0C5F57D8">
      <w:pPr>
        <w:spacing w:line="240" w:lineRule="auto"/>
        <w:jc w:val="center"/>
        <w:outlineLvl w:val="1"/>
      </w:pPr>
      <w:r>
        <w:rPr>
          <w:rFonts w:ascii="黑体" w:hAnsi="黑体" w:eastAsia="黑体"/>
          <w:sz w:val="32"/>
        </w:rPr>
        <w:t>第二部分 部门决算情况说明</w:t>
      </w:r>
    </w:p>
    <w:p w14:paraId="258C6054">
      <w:pPr>
        <w:spacing w:line="640" w:lineRule="exact"/>
        <w:ind w:firstLine="640"/>
        <w:jc w:val="both"/>
        <w:outlineLvl w:val="2"/>
      </w:pPr>
      <w:r>
        <w:rPr>
          <w:rFonts w:ascii="黑体" w:hAnsi="黑体" w:eastAsia="黑体"/>
          <w:sz w:val="32"/>
        </w:rPr>
        <w:t>一、收入支出决算总体情况说明</w:t>
      </w:r>
    </w:p>
    <w:p w14:paraId="060E70DF">
      <w:pPr>
        <w:spacing w:line="580" w:lineRule="exact"/>
        <w:ind w:firstLine="640"/>
        <w:jc w:val="both"/>
      </w:pPr>
      <w:r>
        <w:rPr>
          <w:rFonts w:ascii="仿宋_GB2312" w:hAnsi="仿宋_GB2312" w:eastAsia="仿宋_GB2312"/>
          <w:b/>
          <w:sz w:val="32"/>
        </w:rPr>
        <w:t>2024年度收入总计1,053.87万元，</w:t>
      </w:r>
      <w:r>
        <w:rPr>
          <w:rFonts w:ascii="仿宋_GB2312" w:hAnsi="仿宋_GB2312" w:eastAsia="仿宋_GB2312"/>
          <w:b w:val="0"/>
          <w:sz w:val="32"/>
        </w:rPr>
        <w:t>其中：本年收入合计1,012.24万元，使用非财政拨款结余（含专用结余）0.00万元，年初结转和结余41.63万元。</w:t>
      </w:r>
    </w:p>
    <w:p w14:paraId="02D4C7F2">
      <w:pPr>
        <w:spacing w:line="580" w:lineRule="exact"/>
        <w:ind w:firstLine="640"/>
        <w:jc w:val="both"/>
      </w:pPr>
      <w:r>
        <w:rPr>
          <w:rFonts w:ascii="仿宋_GB2312" w:hAnsi="仿宋_GB2312" w:eastAsia="仿宋_GB2312"/>
          <w:b/>
          <w:sz w:val="32"/>
        </w:rPr>
        <w:t>2024年度支出总计1,053.87万元，</w:t>
      </w:r>
      <w:r>
        <w:rPr>
          <w:rFonts w:ascii="仿宋_GB2312" w:hAnsi="仿宋_GB2312" w:eastAsia="仿宋_GB2312"/>
          <w:b w:val="0"/>
          <w:sz w:val="32"/>
        </w:rPr>
        <w:t>其中：本年支出合计791.93万元，结余分配0.00万元，年末结转和结余261.94万元。</w:t>
      </w:r>
    </w:p>
    <w:p w14:paraId="354B4139">
      <w:pPr>
        <w:spacing w:line="580" w:lineRule="exact"/>
        <w:ind w:firstLine="640"/>
        <w:jc w:val="both"/>
      </w:pPr>
      <w:r>
        <w:rPr>
          <w:rFonts w:ascii="仿宋_GB2312" w:hAnsi="仿宋_GB2312" w:eastAsia="仿宋_GB2312"/>
          <w:b w:val="0"/>
          <w:sz w:val="32"/>
        </w:rPr>
        <w:t>收入支出总体与上年相比，增加224.41万元，增长27.05%，主要原因是：一是本年在职人员增加，在职人员工资调增、社保、公积金基数调增，人员经费增加；二是本年增加山东援疆“鲁疆人力资源协作促高质量充分就业”系列活动项目和山东援疆鲁菜师傅及开发岗位项目资金。</w:t>
      </w:r>
    </w:p>
    <w:p w14:paraId="04F9BA2D">
      <w:pPr>
        <w:spacing w:line="640" w:lineRule="exact"/>
        <w:ind w:firstLine="640"/>
        <w:jc w:val="both"/>
        <w:outlineLvl w:val="2"/>
      </w:pPr>
      <w:r>
        <w:rPr>
          <w:rFonts w:ascii="黑体" w:hAnsi="黑体" w:eastAsia="黑体"/>
          <w:sz w:val="32"/>
        </w:rPr>
        <w:t>二、收入决算情况说明</w:t>
      </w:r>
    </w:p>
    <w:p w14:paraId="626E7730">
      <w:pPr>
        <w:spacing w:line="580" w:lineRule="exact"/>
        <w:ind w:firstLine="640"/>
        <w:jc w:val="both"/>
      </w:pPr>
      <w:r>
        <w:rPr>
          <w:rFonts w:ascii="仿宋_GB2312" w:hAnsi="仿宋_GB2312" w:eastAsia="仿宋_GB2312"/>
          <w:b/>
          <w:sz w:val="32"/>
        </w:rPr>
        <w:t>本年收入1,012.24万元，</w:t>
      </w:r>
      <w:r>
        <w:rPr>
          <w:rFonts w:ascii="仿宋_GB2312" w:hAnsi="仿宋_GB2312" w:eastAsia="仿宋_GB2312"/>
          <w:b w:val="0"/>
          <w:sz w:val="32"/>
        </w:rPr>
        <w:t>其中：财政拨款收入720.24万元，占71.15%；上级补助收入0.00万元，占0.00%；事业收入0.00万元，占0.00%；经营收入0.00万元，占0.00%；附属单位上缴收入0.00万元，占0.00%；其他收入292.00万元，占28.85%。</w:t>
      </w:r>
    </w:p>
    <w:p w14:paraId="7CB8B751">
      <w:pPr>
        <w:spacing w:line="640" w:lineRule="exact"/>
        <w:ind w:firstLine="640"/>
        <w:jc w:val="both"/>
        <w:outlineLvl w:val="2"/>
      </w:pPr>
      <w:r>
        <w:rPr>
          <w:rFonts w:ascii="黑体" w:hAnsi="黑体" w:eastAsia="黑体"/>
          <w:sz w:val="32"/>
        </w:rPr>
        <w:t>三、支出决算情况说明</w:t>
      </w:r>
    </w:p>
    <w:p w14:paraId="22450AD4">
      <w:pPr>
        <w:spacing w:line="580" w:lineRule="exact"/>
        <w:ind w:firstLine="640"/>
        <w:jc w:val="both"/>
      </w:pPr>
      <w:r>
        <w:rPr>
          <w:rFonts w:ascii="仿宋_GB2312" w:hAnsi="仿宋_GB2312" w:eastAsia="仿宋_GB2312"/>
          <w:b/>
          <w:sz w:val="32"/>
        </w:rPr>
        <w:t>本年支出791.93万元，</w:t>
      </w:r>
      <w:r>
        <w:rPr>
          <w:rFonts w:ascii="仿宋_GB2312" w:hAnsi="仿宋_GB2312" w:eastAsia="仿宋_GB2312"/>
          <w:b w:val="0"/>
          <w:sz w:val="32"/>
        </w:rPr>
        <w:t>其中：基本支出468.35万元，占59.14%；项目支出323.58万元，占40.86%；上缴上级支出0.00万元，占0.00%；经营支出0.00万元，占0.00%；对附属单位补助支出0.00万元，占0.00%。</w:t>
      </w:r>
    </w:p>
    <w:p w14:paraId="6DD304EA">
      <w:pPr>
        <w:spacing w:line="640" w:lineRule="exact"/>
        <w:ind w:firstLine="640"/>
        <w:jc w:val="both"/>
        <w:outlineLvl w:val="2"/>
      </w:pPr>
      <w:r>
        <w:rPr>
          <w:rFonts w:ascii="黑体" w:hAnsi="黑体" w:eastAsia="黑体"/>
          <w:sz w:val="32"/>
        </w:rPr>
        <w:t>四、财政拨款收入支出决算总体情况说明</w:t>
      </w:r>
    </w:p>
    <w:p w14:paraId="50176BAA">
      <w:pPr>
        <w:spacing w:line="580" w:lineRule="exact"/>
        <w:ind w:firstLine="640"/>
        <w:jc w:val="both"/>
      </w:pPr>
      <w:r>
        <w:rPr>
          <w:rFonts w:ascii="仿宋_GB2312" w:hAnsi="仿宋_GB2312" w:eastAsia="仿宋_GB2312"/>
          <w:b/>
          <w:sz w:val="32"/>
        </w:rPr>
        <w:t>2024年度财政拨款收入总计720.24万元，</w:t>
      </w:r>
      <w:r>
        <w:rPr>
          <w:rFonts w:ascii="仿宋_GB2312" w:hAnsi="仿宋_GB2312" w:eastAsia="仿宋_GB2312"/>
          <w:b w:val="0"/>
          <w:sz w:val="32"/>
        </w:rPr>
        <w:t>其中：年初财政拨款结转和结余0.00万元，本年财政拨款收入720.24万元。</w:t>
      </w:r>
      <w:r>
        <w:rPr>
          <w:rFonts w:ascii="仿宋_GB2312" w:hAnsi="仿宋_GB2312" w:eastAsia="仿宋_GB2312"/>
          <w:b/>
          <w:sz w:val="32"/>
        </w:rPr>
        <w:t>财政拨款支出总计720.24万元，</w:t>
      </w:r>
      <w:r>
        <w:rPr>
          <w:rFonts w:ascii="仿宋_GB2312" w:hAnsi="仿宋_GB2312" w:eastAsia="仿宋_GB2312"/>
          <w:b w:val="0"/>
          <w:sz w:val="32"/>
        </w:rPr>
        <w:t>其中：年末财政拨款结转和结余0.00万元，本年财政拨款支出720.24万元。</w:t>
      </w:r>
    </w:p>
    <w:p w14:paraId="124A8A9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增加42.02万元，增长6.20%，主要原因是：本年在职人员增加，在职人员工资调增、社保、公积金基数调增，人员经费增加。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年初预算数692.47万元，决算数720.24万元，预决算差异率4.01%，主要原因是：年中追加在职人员工资调增、社保、公积金基数调增，年中增加在职人员，</w:t>
      </w:r>
      <w:r>
        <w:rPr>
          <w:rFonts w:hint="eastAsia" w:ascii="仿宋_GB2312" w:hAnsi="仿宋_GB2312" w:eastAsia="仿宋_GB2312"/>
          <w:b w:val="0"/>
          <w:sz w:val="32"/>
          <w:lang w:val="en-US" w:eastAsia="zh-CN"/>
        </w:rPr>
        <w:t>追加</w:t>
      </w:r>
      <w:r>
        <w:rPr>
          <w:rFonts w:ascii="仿宋_GB2312" w:hAnsi="仿宋_GB2312" w:eastAsia="仿宋_GB2312"/>
          <w:b w:val="0"/>
          <w:sz w:val="32"/>
        </w:rPr>
        <w:t>人员经费，导致预决算存在差异。</w:t>
      </w:r>
    </w:p>
    <w:p w14:paraId="240FBC9D">
      <w:pPr>
        <w:spacing w:line="640" w:lineRule="exact"/>
        <w:ind w:firstLine="640"/>
        <w:jc w:val="both"/>
        <w:outlineLvl w:val="2"/>
      </w:pPr>
      <w:r>
        <w:rPr>
          <w:rFonts w:ascii="黑体" w:hAnsi="黑体" w:eastAsia="黑体"/>
          <w:sz w:val="32"/>
        </w:rPr>
        <w:t>五、一般公共预算财政拨款支出决算情况说明</w:t>
      </w:r>
    </w:p>
    <w:p w14:paraId="1273119B">
      <w:pPr>
        <w:spacing w:line="640" w:lineRule="exact"/>
        <w:ind w:firstLine="640"/>
        <w:jc w:val="both"/>
        <w:outlineLvl w:val="3"/>
      </w:pPr>
      <w:r>
        <w:rPr>
          <w:rFonts w:ascii="楷体_GB2312" w:hAnsi="楷体_GB2312" w:eastAsia="楷体_GB2312"/>
          <w:b/>
          <w:sz w:val="32"/>
        </w:rPr>
        <w:t>（一）一般公共预算财政拨款支出决算总体情况</w:t>
      </w:r>
    </w:p>
    <w:p w14:paraId="1E4FB19F">
      <w:pPr>
        <w:spacing w:line="580" w:lineRule="exact"/>
        <w:ind w:firstLine="640"/>
        <w:jc w:val="both"/>
      </w:pPr>
      <w:r>
        <w:rPr>
          <w:rFonts w:ascii="仿宋_GB2312" w:hAnsi="仿宋_GB2312" w:eastAsia="仿宋_GB2312"/>
          <w:b/>
          <w:sz w:val="32"/>
        </w:rPr>
        <w:t>2024年度一般公共预算财政拨款支出720.24万元，</w:t>
      </w:r>
      <w:r>
        <w:rPr>
          <w:rFonts w:ascii="仿宋_GB2312" w:hAnsi="仿宋_GB2312" w:eastAsia="仿宋_GB2312"/>
          <w:b w:val="0"/>
          <w:sz w:val="32"/>
        </w:rPr>
        <w:t>占本年支出合计的90.95%。</w:t>
      </w:r>
      <w:r>
        <w:rPr>
          <w:rFonts w:ascii="仿宋_GB2312" w:hAnsi="仿宋_GB2312" w:eastAsia="仿宋_GB2312"/>
          <w:b/>
          <w:sz w:val="32"/>
        </w:rPr>
        <w:t>与上年相比，</w:t>
      </w:r>
      <w:r>
        <w:rPr>
          <w:rFonts w:ascii="仿宋_GB2312" w:hAnsi="仿宋_GB2312" w:eastAsia="仿宋_GB2312"/>
          <w:b w:val="0"/>
          <w:sz w:val="32"/>
        </w:rPr>
        <w:t>增加42.02万元，增长6.20%，主要原因是：本年在职人员增加，在职人员工资调增、社保、公积金基数调增，人员经费增加，导致经费较上年增加。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年初预算数692.47万元，决算数720.24万元，预决算差异率4.01%，主要原因是：年中追加在职人员工资调增、社保、公积金基数调增，年中增加在职人员，</w:t>
      </w:r>
      <w:r>
        <w:rPr>
          <w:rFonts w:hint="eastAsia" w:ascii="仿宋_GB2312" w:hAnsi="仿宋_GB2312" w:eastAsia="仿宋_GB2312"/>
          <w:b w:val="0"/>
          <w:sz w:val="32"/>
          <w:lang w:val="en-US" w:eastAsia="zh-CN"/>
        </w:rPr>
        <w:t>追加</w:t>
      </w:r>
      <w:r>
        <w:rPr>
          <w:rFonts w:ascii="仿宋_GB2312" w:hAnsi="仿宋_GB2312" w:eastAsia="仿宋_GB2312"/>
          <w:b w:val="0"/>
          <w:sz w:val="32"/>
        </w:rPr>
        <w:t>人员经费，导致预决算存在差异。</w:t>
      </w:r>
    </w:p>
    <w:p w14:paraId="43BE7662">
      <w:pPr>
        <w:spacing w:line="640" w:lineRule="exact"/>
        <w:ind w:firstLine="640"/>
        <w:jc w:val="both"/>
        <w:outlineLvl w:val="3"/>
      </w:pPr>
      <w:r>
        <w:rPr>
          <w:rFonts w:ascii="楷体_GB2312" w:hAnsi="楷体_GB2312" w:eastAsia="楷体_GB2312"/>
          <w:b/>
          <w:sz w:val="32"/>
        </w:rPr>
        <w:t>（二）一般公共预算财政拨款支出决算结构情况</w:t>
      </w:r>
    </w:p>
    <w:p w14:paraId="47E61FC1">
      <w:pPr>
        <w:spacing w:line="580" w:lineRule="exact"/>
        <w:ind w:firstLine="640"/>
        <w:jc w:val="both"/>
      </w:pPr>
      <w:r>
        <w:rPr>
          <w:rFonts w:ascii="仿宋_GB2312" w:hAnsi="仿宋_GB2312" w:eastAsia="仿宋_GB2312"/>
          <w:b w:val="0"/>
          <w:sz w:val="32"/>
        </w:rPr>
        <w:t>1.社会保障和就业支出(类)665.28万元,占92.37%。</w:t>
      </w:r>
    </w:p>
    <w:p w14:paraId="7E5D9E62">
      <w:pPr>
        <w:spacing w:line="580" w:lineRule="exact"/>
        <w:ind w:firstLine="640"/>
        <w:jc w:val="both"/>
      </w:pPr>
      <w:r>
        <w:rPr>
          <w:rFonts w:ascii="仿宋_GB2312" w:hAnsi="仿宋_GB2312" w:eastAsia="仿宋_GB2312"/>
          <w:b w:val="0"/>
          <w:sz w:val="32"/>
        </w:rPr>
        <w:t>2.卫生健康支出(类)21.27万元,占2.95%。</w:t>
      </w:r>
    </w:p>
    <w:p w14:paraId="3AAE7805">
      <w:pPr>
        <w:spacing w:line="580" w:lineRule="exact"/>
        <w:ind w:firstLine="640"/>
        <w:jc w:val="both"/>
      </w:pPr>
      <w:r>
        <w:rPr>
          <w:rFonts w:ascii="仿宋_GB2312" w:hAnsi="仿宋_GB2312" w:eastAsia="仿宋_GB2312"/>
          <w:b w:val="0"/>
          <w:sz w:val="32"/>
        </w:rPr>
        <w:t>3.住房保障支出(类)33.69万元,占4.68%。</w:t>
      </w:r>
    </w:p>
    <w:p w14:paraId="09B800FE">
      <w:pPr>
        <w:spacing w:line="640" w:lineRule="exact"/>
        <w:ind w:firstLine="640"/>
        <w:jc w:val="both"/>
        <w:outlineLvl w:val="3"/>
      </w:pPr>
      <w:r>
        <w:rPr>
          <w:rFonts w:ascii="楷体_GB2312" w:hAnsi="楷体_GB2312" w:eastAsia="楷体_GB2312"/>
          <w:b/>
          <w:sz w:val="32"/>
        </w:rPr>
        <w:t>（三）一般公共预算财政拨款支出决算具体情况</w:t>
      </w:r>
    </w:p>
    <w:p w14:paraId="6F1E1F67">
      <w:pPr>
        <w:spacing w:line="580" w:lineRule="exact"/>
        <w:ind w:firstLine="640"/>
        <w:jc w:val="both"/>
      </w:pPr>
      <w:r>
        <w:rPr>
          <w:rFonts w:ascii="仿宋_GB2312" w:hAnsi="仿宋_GB2312" w:eastAsia="仿宋_GB2312"/>
          <w:b w:val="0"/>
          <w:sz w:val="32"/>
        </w:rPr>
        <w:t>1.社会保障和就业支出(类)人力资源和社会保障管理事务(款)行政运行(项):支出决算数为358.93万元，比上年决算增加358.93万元，增长100.00%,主要原因是：本年功能科目调整，人员经费由其他人力资源和社会保障管理事务支出调整至行政运行科目，经费增加。</w:t>
      </w:r>
    </w:p>
    <w:p w14:paraId="7EED8F89">
      <w:pPr>
        <w:spacing w:line="580" w:lineRule="exact"/>
        <w:ind w:firstLine="640"/>
        <w:jc w:val="both"/>
      </w:pPr>
      <w:r>
        <w:rPr>
          <w:rFonts w:ascii="仿宋_GB2312" w:hAnsi="仿宋_GB2312" w:eastAsia="仿宋_GB2312"/>
          <w:b w:val="0"/>
          <w:sz w:val="32"/>
        </w:rPr>
        <w:t>2.社会保障和就业支出(类)人力资源和社会保障管理事务(款)一般行政管理事务(项):支出决算数为173.56万元，比上年决算增加173.56万元，增长100.00%,主要原因是：本年功能科目调整，推进全方位公共就业服务项目、喀什籍务工人员管理工作项目等上年度在其他就业补助支出科目列支，本年调整至此科目列支。</w:t>
      </w:r>
    </w:p>
    <w:p w14:paraId="522C1425">
      <w:pPr>
        <w:spacing w:line="580" w:lineRule="exact"/>
        <w:ind w:firstLine="640"/>
        <w:jc w:val="both"/>
      </w:pPr>
      <w:r>
        <w:rPr>
          <w:rFonts w:ascii="仿宋_GB2312" w:hAnsi="仿宋_GB2312" w:eastAsia="仿宋_GB2312"/>
          <w:b w:val="0"/>
          <w:sz w:val="32"/>
        </w:rPr>
        <w:t>3.社会保障和就业支出(类)人力资源和社会保障管理事务(款)其他人力资源和社会保障管理事务支出(项):支出决算数为1.23万元，比上年决算减少318.90万元，下降99.62%,主要原因是：本年功能科目调整，人员经费由其他人力资源和社会保障管理事务支出调整至行政运行科目，经费减少。</w:t>
      </w:r>
    </w:p>
    <w:p w14:paraId="30CCD772">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4.社会保障和就业支出(类)行政事业单位养老支出(款)行政单位离退休(项):支出决算数为13.79万元，比上年决算增加5.47万元，增长65.75%,主要原因是：本年增加退休人员基础绩效奖，退休费支出增加。</w:t>
      </w:r>
    </w:p>
    <w:p w14:paraId="0FC3C6BD">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0.00万元，比上年决算减少2.28万元，下降100.00%,主要原因是：本年功能科目调整，事业单位离退休上年度单独列支，本年调整至主科目列支，导致经费较上年减少。</w:t>
      </w:r>
    </w:p>
    <w:p w14:paraId="6942AADF">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39.43万元，比上年决算增加4.84万元，增长13.99%,主要原因是：本年在职人员增加，在职人员工资基数调增，养老缴费基数上涨，相应支出增加。</w:t>
      </w:r>
    </w:p>
    <w:p w14:paraId="13B615A6">
      <w:pPr>
        <w:spacing w:line="580" w:lineRule="exact"/>
        <w:ind w:firstLine="640"/>
        <w:jc w:val="both"/>
      </w:pPr>
      <w:r>
        <w:rPr>
          <w:rFonts w:ascii="仿宋_GB2312" w:hAnsi="仿宋_GB2312" w:eastAsia="仿宋_GB2312"/>
          <w:b w:val="0"/>
          <w:sz w:val="32"/>
        </w:rPr>
        <w:t>7.社会保障和就业支出(类)就业补助(款)其他就业补助支出(项):支出决算数为78.33万元，比上年决算减少187.25万元，下降70.51%,主要原因是：本年功能科目调整，除自治区就业补助项目外，推进全方位公共就业服务项目、喀什籍务工人员管理工作项目等均在一般行政管理事务科目中支出，导致经费较上年减少。</w:t>
      </w:r>
    </w:p>
    <w:p w14:paraId="023A1216">
      <w:pPr>
        <w:spacing w:line="580" w:lineRule="exact"/>
        <w:ind w:firstLine="640"/>
        <w:jc w:val="both"/>
      </w:pPr>
      <w:r>
        <w:rPr>
          <w:rFonts w:ascii="仿宋_GB2312" w:hAnsi="仿宋_GB2312" w:eastAsia="仿宋_GB2312"/>
          <w:b w:val="0"/>
          <w:sz w:val="32"/>
        </w:rPr>
        <w:t>8.卫生健康支出(类)行政事业单位医疗(款)行政单位医疗(项):支出决算数为16.76万元，比上年决算增加2.06万元，增长14.01%,主要原因是：本年在职人员增加，在职人员工资基数调增，医疗保险缴费基数上涨，相应支出增加。</w:t>
      </w:r>
    </w:p>
    <w:p w14:paraId="0241D64D">
      <w:pPr>
        <w:spacing w:line="580" w:lineRule="exact"/>
        <w:ind w:firstLine="640"/>
        <w:jc w:val="both"/>
      </w:pPr>
      <w:r>
        <w:rPr>
          <w:rFonts w:ascii="仿宋_GB2312" w:hAnsi="仿宋_GB2312" w:eastAsia="仿宋_GB2312"/>
          <w:b w:val="0"/>
          <w:sz w:val="32"/>
        </w:rPr>
        <w:t>9.卫生健康支出(类)行政事业单位医疗(款)公务员医疗补助(项):支出决算数为4.51万元，比上年决算增加0.59万元，增长15.05%,主要原因是：本年在职人员工资基数调增，医疗缴费基数上涨，相应支出增加。</w:t>
      </w:r>
    </w:p>
    <w:p w14:paraId="1BA5A899">
      <w:pPr>
        <w:spacing w:line="580" w:lineRule="exact"/>
        <w:ind w:firstLine="640"/>
        <w:jc w:val="both"/>
      </w:pPr>
      <w:r>
        <w:rPr>
          <w:rFonts w:ascii="仿宋_GB2312" w:hAnsi="仿宋_GB2312" w:eastAsia="仿宋_GB2312"/>
          <w:b w:val="0"/>
          <w:sz w:val="32"/>
        </w:rPr>
        <w:t>10.住房保障支出(类)住房改革支出(款)住房公积金(项):支出决算数为33.69万元，比上年决算增加5.00万元，增长17.43%,主要原因是：本年在职人员增加，在职人员工资基数调增，公积金缴费基数上涨，相应支出增加。</w:t>
      </w:r>
    </w:p>
    <w:p w14:paraId="5D13E731">
      <w:pPr>
        <w:spacing w:line="640" w:lineRule="exact"/>
        <w:ind w:firstLine="640"/>
        <w:jc w:val="both"/>
        <w:outlineLvl w:val="2"/>
      </w:pPr>
      <w:r>
        <w:rPr>
          <w:rFonts w:ascii="黑体" w:hAnsi="黑体" w:eastAsia="黑体"/>
          <w:sz w:val="32"/>
        </w:rPr>
        <w:t>六、一般公共预算财政拨款基本支出决算情况说明</w:t>
      </w:r>
    </w:p>
    <w:p w14:paraId="3A1E744D">
      <w:pPr>
        <w:spacing w:line="580" w:lineRule="exact"/>
        <w:ind w:firstLine="640"/>
        <w:jc w:val="both"/>
      </w:pPr>
      <w:r>
        <w:rPr>
          <w:rFonts w:ascii="仿宋_GB2312" w:hAnsi="仿宋_GB2312" w:eastAsia="仿宋_GB2312"/>
          <w:b w:val="0"/>
          <w:sz w:val="32"/>
        </w:rPr>
        <w:t>2024年度一般公共预算财政拨款基本支出468.35万元，其中：</w:t>
      </w:r>
      <w:r>
        <w:rPr>
          <w:rFonts w:ascii="仿宋_GB2312" w:hAnsi="仿宋_GB2312" w:eastAsia="仿宋_GB2312"/>
          <w:b/>
          <w:sz w:val="32"/>
        </w:rPr>
        <w:t>人员经费443.32万元，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包括：基本工资、津贴补贴、奖金、绩效工资、机关事业单位基本养老保险缴费、职工基本医疗保险缴费、公务员医疗补助缴费、其他社会保障缴费、住房公积金、退休费、生活补助。</w:t>
      </w:r>
    </w:p>
    <w:p w14:paraId="6327190E">
      <w:pPr>
        <w:spacing w:line="580" w:lineRule="exact"/>
        <w:ind w:firstLine="640"/>
        <w:jc w:val="both"/>
      </w:pPr>
      <w:r>
        <w:rPr>
          <w:rFonts w:ascii="仿宋_GB2312" w:hAnsi="仿宋_GB2312" w:eastAsia="仿宋_GB2312"/>
          <w:b/>
          <w:sz w:val="32"/>
        </w:rPr>
        <w:t>公用经费25.03万元，</w:t>
      </w:r>
      <w:r>
        <w:rPr>
          <w:rFonts w:ascii="仿宋_GB2312" w:hAnsi="仿宋_GB2312" w:eastAsia="仿宋_GB2312"/>
          <w:b w:val="0"/>
          <w:sz w:val="32"/>
        </w:rPr>
        <w:t>包括：办公费、水费、电费、邮电费、差旅费、专用材料费、工会经费、公务用车运行维护费、其他交通费用、其他商品和服务支出。</w:t>
      </w:r>
    </w:p>
    <w:p w14:paraId="0E796ACD">
      <w:pPr>
        <w:spacing w:line="640" w:lineRule="exact"/>
        <w:ind w:firstLine="640"/>
        <w:jc w:val="both"/>
        <w:outlineLvl w:val="2"/>
      </w:pPr>
      <w:r>
        <w:rPr>
          <w:rFonts w:ascii="黑体" w:hAnsi="黑体" w:eastAsia="黑体"/>
          <w:sz w:val="32"/>
        </w:rPr>
        <w:t>七、政府性基金预算财政拨款收入支出决算情况说明</w:t>
      </w:r>
    </w:p>
    <w:p w14:paraId="5F5B66B6">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B22EC2A">
      <w:pPr>
        <w:spacing w:line="640" w:lineRule="exact"/>
        <w:ind w:firstLine="640"/>
        <w:jc w:val="both"/>
        <w:outlineLvl w:val="2"/>
      </w:pPr>
      <w:r>
        <w:rPr>
          <w:rFonts w:ascii="黑体" w:hAnsi="黑体" w:eastAsia="黑体"/>
          <w:sz w:val="32"/>
        </w:rPr>
        <w:t>八、国有资本经营预算财政拨款收入支出决算情况说明</w:t>
      </w:r>
    </w:p>
    <w:p w14:paraId="78ACF54C">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04C93EC">
      <w:pPr>
        <w:spacing w:line="640" w:lineRule="exact"/>
        <w:ind w:firstLine="640"/>
        <w:jc w:val="both"/>
        <w:outlineLvl w:val="2"/>
      </w:pPr>
      <w:r>
        <w:rPr>
          <w:rFonts w:ascii="黑体" w:hAnsi="黑体" w:eastAsia="黑体"/>
          <w:sz w:val="32"/>
        </w:rPr>
        <w:t>九、财政拨款“三公”经费支出决算情况说明</w:t>
      </w:r>
    </w:p>
    <w:p w14:paraId="6BB38BDA">
      <w:pPr>
        <w:spacing w:line="580" w:lineRule="exact"/>
        <w:ind w:firstLine="640"/>
        <w:jc w:val="both"/>
      </w:pPr>
      <w:r>
        <w:rPr>
          <w:rFonts w:ascii="仿宋_GB2312" w:hAnsi="仿宋_GB2312" w:eastAsia="仿宋_GB2312"/>
          <w:b/>
          <w:sz w:val="32"/>
        </w:rPr>
        <w:t>2024年度财政拨款“三公”经费支出1.80万元，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val="en-US"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1.80万元，占100.00%，比上年增加0.00万元，增长0.00%，主要原因是：</w:t>
      </w:r>
      <w:r>
        <w:rPr>
          <w:rFonts w:hint="eastAsia" w:ascii="仿宋_GB2312" w:hAnsi="仿宋_GB2312" w:eastAsia="仿宋_GB2312"/>
          <w:b w:val="0"/>
          <w:sz w:val="32"/>
          <w:lang w:val="en-US"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57BBA290">
      <w:pPr>
        <w:spacing w:line="580" w:lineRule="exact"/>
        <w:ind w:firstLine="640"/>
        <w:jc w:val="both"/>
      </w:pPr>
      <w:r>
        <w:rPr>
          <w:rFonts w:ascii="仿宋_GB2312" w:hAnsi="仿宋_GB2312" w:eastAsia="仿宋_GB2312"/>
          <w:b/>
          <w:sz w:val="32"/>
        </w:rPr>
        <w:t>具体情况如下：</w:t>
      </w:r>
    </w:p>
    <w:p w14:paraId="28B2BB10">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C217AB9">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车辆保险、车辆燃油费、维修维护费、过路费。公务用车购置数0辆，公务用车保有量1辆。国有资产占用情况中固定资产车辆1辆，与公务用车保有量差异原因是：本部门固定资产车辆与公务用车保有量一致无差异。</w:t>
      </w:r>
    </w:p>
    <w:p w14:paraId="6C6E1AB1">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4469E32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1.80万元，决算数1.80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1.80万元，决算数1.80万元，预决算差异率0.00%，主要原因是：严格按照预算执行，预决算无差异。公务接待费全年预算数0.00万元，决算数0.00万元，预决算差异率0.00%，主要原因是：本部门无公务接待费。</w:t>
      </w:r>
    </w:p>
    <w:p w14:paraId="0E44E714">
      <w:pPr>
        <w:spacing w:line="640" w:lineRule="exact"/>
        <w:ind w:firstLine="640"/>
        <w:jc w:val="both"/>
        <w:outlineLvl w:val="2"/>
      </w:pPr>
      <w:r>
        <w:rPr>
          <w:rFonts w:ascii="黑体" w:hAnsi="黑体" w:eastAsia="黑体"/>
          <w:sz w:val="32"/>
        </w:rPr>
        <w:t>十、其他重要事项的情况说明</w:t>
      </w:r>
    </w:p>
    <w:p w14:paraId="1186C9F6">
      <w:pPr>
        <w:spacing w:line="640" w:lineRule="exact"/>
        <w:ind w:firstLine="640"/>
        <w:jc w:val="both"/>
        <w:outlineLvl w:val="3"/>
      </w:pPr>
      <w:r>
        <w:rPr>
          <w:rFonts w:ascii="楷体_GB2312" w:hAnsi="楷体_GB2312" w:eastAsia="楷体_GB2312"/>
          <w:b/>
          <w:sz w:val="32"/>
        </w:rPr>
        <w:t>（一）机关运行经费及公用经费支出情况</w:t>
      </w:r>
    </w:p>
    <w:p w14:paraId="41F56A93">
      <w:pPr>
        <w:spacing w:line="580" w:lineRule="exact"/>
        <w:ind w:firstLine="640"/>
        <w:jc w:val="both"/>
      </w:pPr>
      <w:r>
        <w:rPr>
          <w:rFonts w:ascii="仿宋_GB2312" w:hAnsi="仿宋_GB2312" w:eastAsia="仿宋_GB2312"/>
          <w:b w:val="0"/>
          <w:sz w:val="32"/>
        </w:rPr>
        <w:t>2024年度喀什地区培训就业服务中心（行政单位和参照公务员法管理事业单位）机关运行经费支出25.03万元，比上年增加9.29万元，增长59.02%，主要原因是：本年增加</w:t>
      </w:r>
      <w:r>
        <w:rPr>
          <w:rFonts w:hint="eastAsia" w:ascii="仿宋_GB2312" w:hAnsi="仿宋_GB2312" w:eastAsia="仿宋_GB2312"/>
          <w:b w:val="0"/>
          <w:sz w:val="32"/>
          <w:lang w:val="en-US" w:eastAsia="zh-CN"/>
        </w:rPr>
        <w:t>专用材料费</w:t>
      </w:r>
      <w:r>
        <w:rPr>
          <w:rFonts w:ascii="仿宋_GB2312" w:hAnsi="仿宋_GB2312" w:eastAsia="仿宋_GB2312"/>
          <w:b w:val="0"/>
          <w:sz w:val="32"/>
        </w:rPr>
        <w:t>，</w:t>
      </w:r>
      <w:r>
        <w:rPr>
          <w:rFonts w:hint="eastAsia" w:ascii="仿宋_GB2312" w:hAnsi="仿宋_GB2312" w:eastAsia="仿宋_GB2312"/>
          <w:b w:val="0"/>
          <w:sz w:val="32"/>
          <w:lang w:val="en-US" w:eastAsia="zh-CN"/>
        </w:rPr>
        <w:t>导致</w:t>
      </w:r>
      <w:r>
        <w:rPr>
          <w:rFonts w:ascii="仿宋_GB2312" w:hAnsi="仿宋_GB2312" w:eastAsia="仿宋_GB2312"/>
          <w:b w:val="0"/>
          <w:sz w:val="32"/>
        </w:rPr>
        <w:t>机关运行经费支出增加。</w:t>
      </w:r>
    </w:p>
    <w:p w14:paraId="6C75BE22">
      <w:pPr>
        <w:spacing w:line="640" w:lineRule="exact"/>
        <w:ind w:firstLine="640"/>
        <w:jc w:val="both"/>
        <w:outlineLvl w:val="3"/>
      </w:pPr>
      <w:r>
        <w:rPr>
          <w:rFonts w:ascii="楷体_GB2312" w:hAnsi="楷体_GB2312" w:eastAsia="楷体_GB2312"/>
          <w:b/>
          <w:sz w:val="32"/>
        </w:rPr>
        <w:t>（二）政府采购情况</w:t>
      </w:r>
    </w:p>
    <w:p w14:paraId="215F2F46">
      <w:pPr>
        <w:spacing w:line="580" w:lineRule="exact"/>
        <w:ind w:firstLine="640"/>
        <w:jc w:val="both"/>
      </w:pPr>
      <w:r>
        <w:rPr>
          <w:rFonts w:ascii="仿宋_GB2312" w:hAnsi="仿宋_GB2312" w:eastAsia="仿宋_GB2312"/>
          <w:b w:val="0"/>
          <w:sz w:val="32"/>
        </w:rPr>
        <w:t>2024年度政府采购支出总额8.66万元，其中：政府采购货物支出2.36万元、政府采购工程支出0.00万元、政府采购服务支出6.30万元。</w:t>
      </w:r>
    </w:p>
    <w:p w14:paraId="0565CA96">
      <w:pPr>
        <w:spacing w:line="580" w:lineRule="exact"/>
        <w:ind w:firstLine="640"/>
        <w:jc w:val="both"/>
      </w:pPr>
      <w:r>
        <w:rPr>
          <w:rFonts w:ascii="仿宋_GB2312" w:hAnsi="仿宋_GB2312" w:eastAsia="仿宋_GB2312"/>
          <w:b w:val="0"/>
          <w:sz w:val="32"/>
        </w:rPr>
        <w:t>授予中小企业合同金额8.66万元，占政府采购支出总额的100.00%，其中：授予小微企业合同金额8.66万元，占政府采购支出总额的100.00%。</w:t>
      </w:r>
    </w:p>
    <w:p w14:paraId="10D08850">
      <w:pPr>
        <w:spacing w:line="640" w:lineRule="exact"/>
        <w:ind w:firstLine="640"/>
        <w:jc w:val="both"/>
        <w:outlineLvl w:val="3"/>
      </w:pPr>
      <w:r>
        <w:rPr>
          <w:rFonts w:ascii="楷体_GB2312" w:hAnsi="楷体_GB2312" w:eastAsia="楷体_GB2312"/>
          <w:b/>
          <w:sz w:val="32"/>
        </w:rPr>
        <w:t>（三）国有资产占用情况说明</w:t>
      </w:r>
    </w:p>
    <w:p w14:paraId="42AC051A">
      <w:pPr>
        <w:spacing w:line="580" w:lineRule="exact"/>
        <w:ind w:firstLine="640"/>
        <w:jc w:val="both"/>
      </w:pPr>
      <w:r>
        <w:rPr>
          <w:rFonts w:ascii="仿宋_GB2312" w:hAnsi="仿宋_GB2312" w:eastAsia="仿宋_GB2312"/>
          <w:b w:val="0"/>
          <w:sz w:val="32"/>
        </w:rPr>
        <w:t>截至2024年12月31日，房屋6,422.00平方米，价值413.32万元。车辆1辆，价值19.38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1台（套）。</w:t>
      </w:r>
    </w:p>
    <w:p w14:paraId="47D0780C">
      <w:pPr>
        <w:spacing w:line="640" w:lineRule="exact"/>
        <w:ind w:firstLine="640"/>
        <w:jc w:val="both"/>
        <w:outlineLvl w:val="2"/>
      </w:pPr>
      <w:r>
        <w:rPr>
          <w:rFonts w:ascii="黑体" w:hAnsi="黑体" w:eastAsia="黑体"/>
          <w:sz w:val="32"/>
        </w:rPr>
        <w:t>十一、预算绩效的情况说明</w:t>
      </w:r>
    </w:p>
    <w:p w14:paraId="68D0ED93">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958.70万元，实际执行总额791.93万元；预算绩效评价项目4个，全年预算数306.91万元，全年执行数176.02万元。预算绩效管理取得的成效：从源头加强了预算绩效管理，提高绩效管理的科学性、规范性和有效性，做细做好做实绩效评估评价工作，采取局促把源头管理、反馈整改、结果运用作为推动绩效管理工作新成效。发现的问题及原因：一是绩效目标设置质量待进一步提高；二是绩效评价结果运用不好。下一步改进措施：一是提高项目绩效目标设置质量，严格落实审核流程，科学、合理、全面设置核心指标，去除无用指标，将预算指标设置与实际执行内容、部门经济分类科目相衔接；二是做“真”绩效评价，做“深”重点评价，做“好”结果应用，树牢“过紧日子”思想，进一步抓好各项绩效管理工作，充分发挥财政资金效益，确保资金精准高效使用。具体附部门整体支出绩效自评表，项目支出绩效自评表。</w:t>
      </w:r>
    </w:p>
    <w:p w14:paraId="2B0DDE4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935BDBD">
        <w:tblPrEx>
          <w:tblCellMar>
            <w:top w:w="0" w:type="dxa"/>
            <w:left w:w="108" w:type="dxa"/>
            <w:bottom w:w="0" w:type="dxa"/>
            <w:right w:w="108" w:type="dxa"/>
          </w:tblCellMar>
        </w:tblPrEx>
        <w:tc>
          <w:tcPr>
            <w:tcW w:w="8847" w:type="dxa"/>
            <w:gridSpan w:val="9"/>
            <w:vAlign w:val="center"/>
          </w:tcPr>
          <w:p w14:paraId="165119F4">
            <w:pPr>
              <w:jc w:val="center"/>
            </w:pPr>
            <w:r>
              <w:rPr>
                <w:rFonts w:ascii="宋体" w:hAnsi="宋体" w:eastAsia="宋体"/>
                <w:sz w:val="24"/>
              </w:rPr>
              <w:t>部门整体支出绩效自评表</w:t>
            </w:r>
          </w:p>
        </w:tc>
      </w:tr>
      <w:tr w14:paraId="3A74EBC6">
        <w:tblPrEx>
          <w:tblCellMar>
            <w:top w:w="0" w:type="dxa"/>
            <w:left w:w="108" w:type="dxa"/>
            <w:bottom w:w="0" w:type="dxa"/>
            <w:right w:w="108" w:type="dxa"/>
          </w:tblCellMar>
        </w:tblPrEx>
        <w:tc>
          <w:tcPr>
            <w:tcW w:w="8847" w:type="dxa"/>
            <w:gridSpan w:val="9"/>
            <w:vAlign w:val="center"/>
          </w:tcPr>
          <w:p w14:paraId="22278D4E">
            <w:pPr>
              <w:jc w:val="center"/>
            </w:pPr>
            <w:r>
              <w:rPr>
                <w:rFonts w:ascii="宋体" w:hAnsi="宋体" w:eastAsia="宋体"/>
                <w:sz w:val="24"/>
              </w:rPr>
              <w:t>（2024年度）</w:t>
            </w:r>
          </w:p>
        </w:tc>
      </w:tr>
      <w:tr w14:paraId="5D4A2D1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D3356">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1B10A6A">
            <w:pPr>
              <w:jc w:val="center"/>
            </w:pPr>
            <w:r>
              <w:rPr>
                <w:rFonts w:ascii="宋体" w:hAnsi="宋体" w:eastAsia="宋体"/>
                <w:sz w:val="16"/>
              </w:rPr>
              <w:t>喀什地区培训就业服务中心</w:t>
            </w:r>
          </w:p>
        </w:tc>
      </w:tr>
      <w:tr w14:paraId="7466E6F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3F62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9176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A802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1ABD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23CF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8AEC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45D2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CE256">
            <w:pPr>
              <w:jc w:val="center"/>
            </w:pPr>
            <w:r>
              <w:rPr>
                <w:rFonts w:ascii="宋体" w:hAnsi="宋体" w:eastAsia="宋体"/>
                <w:sz w:val="16"/>
              </w:rPr>
              <w:t>得分</w:t>
            </w:r>
          </w:p>
        </w:tc>
      </w:tr>
      <w:tr w14:paraId="45C1CD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975C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D415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D916F">
            <w:pPr>
              <w:jc w:val="center"/>
            </w:pPr>
            <w:r>
              <w:rPr>
                <w:rFonts w:ascii="宋体" w:hAnsi="宋体" w:eastAsia="宋体"/>
                <w:sz w:val="16"/>
              </w:rPr>
              <w:t>713.37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CCD5F">
            <w:pPr>
              <w:jc w:val="center"/>
            </w:pPr>
            <w:r>
              <w:rPr>
                <w:rFonts w:ascii="宋体" w:hAnsi="宋体" w:eastAsia="宋体"/>
                <w:sz w:val="16"/>
              </w:rPr>
              <w:t>958.70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8EDD4">
            <w:pPr>
              <w:jc w:val="center"/>
            </w:pPr>
            <w:r>
              <w:rPr>
                <w:rFonts w:ascii="宋体" w:hAnsi="宋体" w:eastAsia="宋体"/>
                <w:sz w:val="16"/>
              </w:rPr>
              <w:t>791.93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9B3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0B7FC">
            <w:pPr>
              <w:jc w:val="center"/>
            </w:pPr>
            <w:r>
              <w:rPr>
                <w:rFonts w:ascii="宋体" w:hAnsi="宋体" w:eastAsia="宋体"/>
                <w:sz w:val="16"/>
              </w:rPr>
              <w:t>82.60%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15790">
            <w:pPr>
              <w:jc w:val="center"/>
            </w:pPr>
            <w:r>
              <w:rPr>
                <w:rFonts w:ascii="宋体" w:hAnsi="宋体" w:eastAsia="宋体"/>
                <w:sz w:val="16"/>
              </w:rPr>
              <w:t>8.26</w:t>
            </w:r>
          </w:p>
        </w:tc>
      </w:tr>
      <w:tr w14:paraId="2B9D79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7683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3EB6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53962">
            <w:pPr>
              <w:jc w:val="center"/>
            </w:pPr>
            <w:r>
              <w:rPr>
                <w:rFonts w:ascii="宋体" w:hAnsi="宋体" w:eastAsia="宋体"/>
                <w:sz w:val="16"/>
              </w:rPr>
              <w:t>79.56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DA03A">
            <w:pPr>
              <w:jc w:val="center"/>
            </w:pPr>
            <w:r>
              <w:rPr>
                <w:rFonts w:ascii="宋体" w:hAnsi="宋体" w:eastAsia="宋体"/>
                <w:sz w:val="16"/>
              </w:rPr>
              <w:t>111.33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FEF1B">
            <w:pPr>
              <w:jc w:val="center"/>
            </w:pPr>
            <w:r>
              <w:rPr>
                <w:rFonts w:ascii="宋体" w:hAnsi="宋体" w:eastAsia="宋体"/>
                <w:sz w:val="16"/>
              </w:rPr>
              <w:t>108.30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D6D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D332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A7935">
            <w:pPr>
              <w:jc w:val="center"/>
            </w:pPr>
            <w:r>
              <w:rPr>
                <w:rFonts w:ascii="宋体" w:hAnsi="宋体" w:eastAsia="宋体"/>
                <w:sz w:val="16"/>
              </w:rPr>
              <w:t>—</w:t>
            </w:r>
          </w:p>
        </w:tc>
      </w:tr>
      <w:tr w14:paraId="479F33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51EC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989D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4AF2E">
            <w:pPr>
              <w:jc w:val="center"/>
            </w:pPr>
            <w:r>
              <w:rPr>
                <w:rFonts w:ascii="宋体" w:hAnsi="宋体" w:eastAsia="宋体"/>
                <w:sz w:val="16"/>
              </w:rPr>
              <w:t>612.91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2E5E7">
            <w:pPr>
              <w:jc w:val="center"/>
            </w:pPr>
            <w:r>
              <w:rPr>
                <w:rFonts w:ascii="宋体" w:hAnsi="宋体" w:eastAsia="宋体"/>
                <w:sz w:val="16"/>
              </w:rPr>
              <w:t>626.47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AAFDA">
            <w:pPr>
              <w:jc w:val="center"/>
            </w:pPr>
            <w:r>
              <w:rPr>
                <w:rFonts w:ascii="宋体" w:hAnsi="宋体" w:eastAsia="宋体"/>
                <w:sz w:val="16"/>
              </w:rPr>
              <w:t>611.94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B83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C0A8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9CFBF">
            <w:pPr>
              <w:jc w:val="center"/>
            </w:pPr>
            <w:r>
              <w:rPr>
                <w:rFonts w:ascii="宋体" w:hAnsi="宋体" w:eastAsia="宋体"/>
                <w:sz w:val="16"/>
              </w:rPr>
              <w:t>—</w:t>
            </w:r>
          </w:p>
        </w:tc>
      </w:tr>
      <w:tr w14:paraId="0C7B17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04E8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D4C5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2077F">
            <w:pPr>
              <w:jc w:val="center"/>
            </w:pPr>
            <w:r>
              <w:rPr>
                <w:rFonts w:ascii="宋体" w:hAnsi="宋体" w:eastAsia="宋体"/>
                <w:sz w:val="16"/>
              </w:rPr>
              <w:t>20.90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6447C">
            <w:pPr>
              <w:jc w:val="center"/>
            </w:pPr>
            <w:r>
              <w:rPr>
                <w:rFonts w:ascii="宋体" w:hAnsi="宋体" w:eastAsia="宋体"/>
                <w:sz w:val="16"/>
              </w:rPr>
              <w:t>220.90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6D781">
            <w:pPr>
              <w:jc w:val="center"/>
            </w:pPr>
            <w:r>
              <w:rPr>
                <w:rFonts w:ascii="宋体" w:hAnsi="宋体" w:eastAsia="宋体"/>
                <w:sz w:val="16"/>
              </w:rPr>
              <w:t>71.69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94B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6361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EE2CA">
            <w:pPr>
              <w:jc w:val="center"/>
            </w:pPr>
            <w:r>
              <w:rPr>
                <w:rFonts w:ascii="宋体" w:hAnsi="宋体" w:eastAsia="宋体"/>
                <w:sz w:val="16"/>
              </w:rPr>
              <w:t>—</w:t>
            </w:r>
          </w:p>
        </w:tc>
      </w:tr>
      <w:tr w14:paraId="06E784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20CC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D432E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799061">
            <w:pPr>
              <w:jc w:val="center"/>
            </w:pPr>
            <w:r>
              <w:rPr>
                <w:rFonts w:ascii="宋体" w:hAnsi="宋体" w:eastAsia="宋体"/>
                <w:sz w:val="16"/>
              </w:rPr>
              <w:t>实际完成情况</w:t>
            </w:r>
          </w:p>
        </w:tc>
      </w:tr>
      <w:tr w14:paraId="487722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60586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30A96A">
            <w:pPr>
              <w:jc w:val="both"/>
            </w:pPr>
            <w:r>
              <w:rPr>
                <w:rFonts w:ascii="宋体" w:hAnsi="宋体" w:eastAsia="宋体"/>
                <w:sz w:val="16"/>
              </w:rPr>
              <w:t>做好我区公共就业服务工作，完成城镇新增就业7.5万人，新增创业0.4万人，创业带动就业1万人，打造高质量公共就业服务专项活动开展高质量现场会议24场，实现失业人员再就业1.4万人，就业困难人员再就业0.29万人。1.强化就业促进体系，大力促进就业；2.进一步健全公共就业服务体系，增强服务的创新力和活力；3.持续加强人力资源市场服务窗口建设，打造群众满意的服务窗口。</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D6AADA">
            <w:pPr>
              <w:jc w:val="both"/>
            </w:pPr>
            <w:r>
              <w:rPr>
                <w:rFonts w:ascii="宋体" w:hAnsi="宋体" w:eastAsia="宋体"/>
                <w:sz w:val="16"/>
              </w:rPr>
              <w:t>2024年为做好我区就业工作，指导和督促各县市开展现场活动，同步组织12县市开展网络会议和直播带岗。地区本级组织召开24场会议，组织开展创业服务县市行活动，讲好就业创业故事，完成高校毕业生创业培训“圆梦计划”，持续开展宣传和岗位发布工作，实现农村劳动力外出务工108.12万人次，失业人员再就业3.27万人，城镇就业困难人员实现就业0.31万人，城镇零就业家庭24小时动态清零率达100%。促进了全地区就业工作。</w:t>
            </w:r>
          </w:p>
        </w:tc>
      </w:tr>
      <w:tr w14:paraId="10FDA6D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C2FC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D328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65F9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EB24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D2CB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CA8B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820C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B32D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D335D">
            <w:pPr>
              <w:jc w:val="center"/>
            </w:pPr>
            <w:r>
              <w:rPr>
                <w:rFonts w:ascii="宋体" w:hAnsi="宋体" w:eastAsia="宋体"/>
                <w:sz w:val="16"/>
              </w:rPr>
              <w:t>得分</w:t>
            </w:r>
          </w:p>
        </w:tc>
      </w:tr>
      <w:tr w14:paraId="3A092DD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0C47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7ABC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1A024">
            <w:pPr>
              <w:jc w:val="center"/>
            </w:pPr>
            <w:r>
              <w:rPr>
                <w:rFonts w:ascii="宋体" w:hAnsi="宋体" w:eastAsia="宋体"/>
                <w:sz w:val="16"/>
              </w:rPr>
              <w:t>召开会议场次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7E017">
            <w:pPr>
              <w:jc w:val="center"/>
            </w:pPr>
            <w:r>
              <w:rPr>
                <w:rFonts w:ascii="宋体" w:hAnsi="宋体" w:eastAsia="宋体"/>
                <w:sz w:val="16"/>
              </w:rPr>
              <w:t>&gt;=24场次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2D9BD">
            <w:pPr>
              <w:jc w:val="center"/>
            </w:pPr>
            <w:r>
              <w:rPr>
                <w:rFonts w:ascii="宋体" w:hAnsi="宋体" w:eastAsia="宋体"/>
                <w:sz w:val="16"/>
              </w:rPr>
              <w:t>喀什地区2024年促进高质量就业工作方案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5203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72564">
            <w:pPr>
              <w:jc w:val="center"/>
            </w:pPr>
            <w:r>
              <w:rPr>
                <w:rFonts w:ascii="宋体" w:hAnsi="宋体" w:eastAsia="宋体"/>
                <w:sz w:val="16"/>
              </w:rPr>
              <w:t>24场次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107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8B3A7">
            <w:pPr>
              <w:jc w:val="center"/>
            </w:pPr>
            <w:r>
              <w:rPr>
                <w:rFonts w:ascii="宋体" w:hAnsi="宋体" w:eastAsia="宋体"/>
                <w:sz w:val="16"/>
              </w:rPr>
              <w:t>18</w:t>
            </w:r>
          </w:p>
        </w:tc>
      </w:tr>
      <w:tr w14:paraId="53BE68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92A1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D90B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D6D89">
            <w:pPr>
              <w:jc w:val="center"/>
            </w:pPr>
            <w:r>
              <w:rPr>
                <w:rFonts w:ascii="宋体" w:hAnsi="宋体" w:eastAsia="宋体"/>
                <w:sz w:val="16"/>
              </w:rPr>
              <w:t>农村劳动力外出务工人数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FB4B4">
            <w:pPr>
              <w:jc w:val="center"/>
            </w:pPr>
            <w:r>
              <w:rPr>
                <w:rFonts w:ascii="宋体" w:hAnsi="宋体" w:eastAsia="宋体"/>
                <w:sz w:val="16"/>
              </w:rPr>
              <w:t>&gt;=95万人次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B5CE4">
            <w:pPr>
              <w:jc w:val="center"/>
            </w:pPr>
            <w:r>
              <w:rPr>
                <w:rFonts w:ascii="宋体" w:hAnsi="宋体" w:eastAsia="宋体"/>
                <w:sz w:val="16"/>
              </w:rPr>
              <w:t>喀什地区2024年促进高质量就业工作方案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F285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EF10D">
            <w:pPr>
              <w:jc w:val="center"/>
            </w:pPr>
            <w:r>
              <w:rPr>
                <w:rFonts w:ascii="宋体" w:hAnsi="宋体" w:eastAsia="宋体"/>
                <w:sz w:val="16"/>
              </w:rPr>
              <w:t>108.12万人次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2A113">
            <w:pPr>
              <w:jc w:val="center"/>
            </w:pPr>
            <w:r>
              <w:rPr>
                <w:rFonts w:ascii="宋体" w:hAnsi="宋体" w:eastAsia="宋体"/>
                <w:sz w:val="16"/>
              </w:rPr>
              <w:t>113.81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D6E80">
            <w:pPr>
              <w:jc w:val="center"/>
            </w:pPr>
            <w:r>
              <w:rPr>
                <w:rFonts w:ascii="宋体" w:hAnsi="宋体" w:eastAsia="宋体"/>
                <w:sz w:val="16"/>
              </w:rPr>
              <w:t>18</w:t>
            </w:r>
          </w:p>
        </w:tc>
      </w:tr>
      <w:tr w14:paraId="6F65F0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0CD3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AC81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98A14">
            <w:pPr>
              <w:jc w:val="center"/>
            </w:pPr>
            <w:r>
              <w:rPr>
                <w:rFonts w:ascii="宋体" w:hAnsi="宋体" w:eastAsia="宋体"/>
                <w:sz w:val="16"/>
              </w:rPr>
              <w:t>失业人员再就业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B3EAA">
            <w:pPr>
              <w:jc w:val="center"/>
            </w:pPr>
            <w:r>
              <w:rPr>
                <w:rFonts w:ascii="宋体" w:hAnsi="宋体" w:eastAsia="宋体"/>
                <w:sz w:val="16"/>
              </w:rPr>
              <w:t>&gt;=1.40万人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FF121">
            <w:pPr>
              <w:jc w:val="center"/>
            </w:pPr>
            <w:r>
              <w:rPr>
                <w:rFonts w:ascii="宋体" w:hAnsi="宋体" w:eastAsia="宋体"/>
                <w:sz w:val="16"/>
              </w:rPr>
              <w:t>喀什地区2024年促进高质量就业工作方案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F0EC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8F874">
            <w:pPr>
              <w:jc w:val="center"/>
            </w:pPr>
            <w:r>
              <w:rPr>
                <w:rFonts w:ascii="宋体" w:hAnsi="宋体" w:eastAsia="宋体"/>
                <w:sz w:val="16"/>
              </w:rPr>
              <w:t>3.27万人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B73D8">
            <w:pPr>
              <w:jc w:val="center"/>
            </w:pPr>
            <w:r>
              <w:rPr>
                <w:rFonts w:ascii="宋体" w:hAnsi="宋体" w:eastAsia="宋体"/>
                <w:sz w:val="16"/>
              </w:rPr>
              <w:t>233.57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B0F56">
            <w:pPr>
              <w:jc w:val="center"/>
            </w:pPr>
            <w:r>
              <w:rPr>
                <w:rFonts w:ascii="宋体" w:hAnsi="宋体" w:eastAsia="宋体"/>
                <w:sz w:val="16"/>
              </w:rPr>
              <w:t>18</w:t>
            </w:r>
          </w:p>
        </w:tc>
      </w:tr>
      <w:tr w14:paraId="040872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844D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405F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1DB9E">
            <w:pPr>
              <w:jc w:val="center"/>
            </w:pPr>
            <w:r>
              <w:rPr>
                <w:rFonts w:ascii="宋体" w:hAnsi="宋体" w:eastAsia="宋体"/>
                <w:sz w:val="16"/>
              </w:rPr>
              <w:t>城镇就业困难人员实现就业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E43E5">
            <w:pPr>
              <w:jc w:val="center"/>
            </w:pPr>
            <w:r>
              <w:rPr>
                <w:rFonts w:ascii="宋体" w:hAnsi="宋体" w:eastAsia="宋体"/>
                <w:sz w:val="16"/>
              </w:rPr>
              <w:t>&gt;=0.29万人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6E967">
            <w:pPr>
              <w:jc w:val="center"/>
            </w:pPr>
            <w:r>
              <w:rPr>
                <w:rFonts w:ascii="宋体" w:hAnsi="宋体" w:eastAsia="宋体"/>
                <w:sz w:val="16"/>
              </w:rPr>
              <w:t>喀什地区2024年促进高质量就业工作方案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D74D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06D72">
            <w:pPr>
              <w:jc w:val="center"/>
            </w:pPr>
            <w:r>
              <w:rPr>
                <w:rFonts w:ascii="宋体" w:hAnsi="宋体" w:eastAsia="宋体"/>
                <w:sz w:val="16"/>
              </w:rPr>
              <w:t>0.31万人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EBA48">
            <w:pPr>
              <w:jc w:val="center"/>
            </w:pPr>
            <w:r>
              <w:rPr>
                <w:rFonts w:ascii="宋体" w:hAnsi="宋体" w:eastAsia="宋体"/>
                <w:sz w:val="16"/>
              </w:rPr>
              <w:t>106.9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DA57D">
            <w:pPr>
              <w:jc w:val="center"/>
            </w:pPr>
            <w:r>
              <w:rPr>
                <w:rFonts w:ascii="宋体" w:hAnsi="宋体" w:eastAsia="宋体"/>
                <w:sz w:val="16"/>
              </w:rPr>
              <w:t>18</w:t>
            </w:r>
          </w:p>
        </w:tc>
      </w:tr>
      <w:tr w14:paraId="40D2C4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CB02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592E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5D31B">
            <w:pPr>
              <w:jc w:val="center"/>
            </w:pPr>
            <w:r>
              <w:rPr>
                <w:rFonts w:ascii="宋体" w:hAnsi="宋体" w:eastAsia="宋体"/>
                <w:sz w:val="16"/>
              </w:rPr>
              <w:t>城镇零就业家庭24小时动态清零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920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2B6A8">
            <w:pPr>
              <w:jc w:val="center"/>
            </w:pPr>
            <w:r>
              <w:rPr>
                <w:rFonts w:ascii="宋体" w:hAnsi="宋体" w:eastAsia="宋体"/>
                <w:sz w:val="16"/>
              </w:rPr>
              <w:t>喀什地区2024年促进高质量就业工作方案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4A8F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FC5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C01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2A8CA">
            <w:pPr>
              <w:jc w:val="center"/>
            </w:pPr>
            <w:r>
              <w:rPr>
                <w:rFonts w:ascii="宋体" w:hAnsi="宋体" w:eastAsia="宋体"/>
                <w:sz w:val="16"/>
              </w:rPr>
              <w:t>18</w:t>
            </w:r>
          </w:p>
        </w:tc>
      </w:tr>
    </w:tbl>
    <w:p w14:paraId="15F605CD">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26"/>
        <w:gridCol w:w="856"/>
        <w:gridCol w:w="617"/>
        <w:gridCol w:w="617"/>
        <w:gridCol w:w="622"/>
        <w:gridCol w:w="617"/>
        <w:gridCol w:w="617"/>
        <w:gridCol w:w="776"/>
        <w:gridCol w:w="630"/>
        <w:gridCol w:w="596"/>
        <w:gridCol w:w="626"/>
      </w:tblGrid>
      <w:tr w14:paraId="00B051E5">
        <w:tblPrEx>
          <w:tblCellMar>
            <w:top w:w="0" w:type="dxa"/>
            <w:left w:w="108" w:type="dxa"/>
            <w:bottom w:w="0" w:type="dxa"/>
            <w:right w:w="108" w:type="dxa"/>
          </w:tblCellMar>
        </w:tblPrEx>
        <w:tc>
          <w:tcPr>
            <w:tcW w:w="8848" w:type="dxa"/>
            <w:gridSpan w:val="14"/>
            <w:vAlign w:val="center"/>
          </w:tcPr>
          <w:p w14:paraId="1AE36941">
            <w:pPr>
              <w:jc w:val="center"/>
            </w:pPr>
            <w:r>
              <w:rPr>
                <w:rFonts w:ascii="宋体" w:hAnsi="宋体" w:eastAsia="宋体"/>
                <w:sz w:val="24"/>
              </w:rPr>
              <w:t>项目支出绩效自评表</w:t>
            </w:r>
          </w:p>
        </w:tc>
      </w:tr>
      <w:tr w14:paraId="07C8DF4D">
        <w:tblPrEx>
          <w:tblCellMar>
            <w:top w:w="0" w:type="dxa"/>
            <w:left w:w="108" w:type="dxa"/>
            <w:bottom w:w="0" w:type="dxa"/>
            <w:right w:w="108" w:type="dxa"/>
          </w:tblCellMar>
        </w:tblPrEx>
        <w:tc>
          <w:tcPr>
            <w:tcW w:w="8848" w:type="dxa"/>
            <w:gridSpan w:val="14"/>
            <w:vAlign w:val="center"/>
          </w:tcPr>
          <w:p w14:paraId="69FC6587">
            <w:pPr>
              <w:jc w:val="center"/>
            </w:pPr>
            <w:r>
              <w:rPr>
                <w:rFonts w:ascii="宋体" w:hAnsi="宋体" w:eastAsia="宋体"/>
                <w:sz w:val="24"/>
              </w:rPr>
              <w:t>(2024年度)</w:t>
            </w:r>
          </w:p>
        </w:tc>
      </w:tr>
      <w:tr w14:paraId="7FFAF4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0D9A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5AD874">
            <w:pPr>
              <w:jc w:val="center"/>
            </w:pPr>
            <w:r>
              <w:rPr>
                <w:rFonts w:ascii="宋体" w:hAnsi="宋体" w:eastAsia="宋体"/>
                <w:sz w:val="16"/>
              </w:rPr>
              <w:t>“鲁疆人力资源协作促高质量充分就业”系列活动项目</w:t>
            </w:r>
          </w:p>
        </w:tc>
      </w:tr>
      <w:tr w14:paraId="7A1C6F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D4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54F656">
            <w:pPr>
              <w:jc w:val="center"/>
            </w:pPr>
            <w:r>
              <w:rPr>
                <w:rFonts w:ascii="宋体" w:hAnsi="宋体" w:eastAsia="宋体"/>
                <w:sz w:val="16"/>
              </w:rPr>
              <w:t>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88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7E5187">
            <w:pPr>
              <w:jc w:val="center"/>
            </w:pPr>
            <w:r>
              <w:rPr>
                <w:rFonts w:ascii="宋体" w:hAnsi="宋体" w:eastAsia="宋体"/>
                <w:sz w:val="16"/>
              </w:rPr>
              <w:t>喀什地区培训就业服务中心</w:t>
            </w:r>
          </w:p>
        </w:tc>
      </w:tr>
      <w:tr w14:paraId="11902F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C94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EFF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4B8B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1CB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6747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755E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356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6769">
            <w:pPr>
              <w:jc w:val="center"/>
            </w:pPr>
            <w:r>
              <w:rPr>
                <w:rFonts w:ascii="宋体" w:hAnsi="宋体" w:eastAsia="宋体"/>
                <w:sz w:val="16"/>
              </w:rPr>
              <w:t>得分</w:t>
            </w:r>
          </w:p>
        </w:tc>
      </w:tr>
      <w:tr w14:paraId="0D1F70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B14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C5E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170B8">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541C6">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CA068">
            <w:pPr>
              <w:jc w:val="center"/>
            </w:pPr>
            <w:r>
              <w:rPr>
                <w:rFonts w:ascii="宋体" w:hAnsi="宋体" w:eastAsia="宋体"/>
                <w:sz w:val="16"/>
              </w:rPr>
              <w:t>69.11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38E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B7380">
            <w:pPr>
              <w:jc w:val="center"/>
            </w:pPr>
            <w:r>
              <w:rPr>
                <w:rFonts w:ascii="宋体" w:hAnsi="宋体" w:eastAsia="宋体"/>
                <w:sz w:val="16"/>
              </w:rPr>
              <w:t>34.6%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21CD">
            <w:pPr>
              <w:jc w:val="center"/>
            </w:pPr>
            <w:r>
              <w:rPr>
                <w:rFonts w:ascii="宋体" w:hAnsi="宋体" w:eastAsia="宋体"/>
                <w:sz w:val="16"/>
              </w:rPr>
              <w:t>0.00分</w:t>
            </w:r>
          </w:p>
        </w:tc>
      </w:tr>
      <w:tr w14:paraId="58F99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0DE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755A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1C8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FBF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A3C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A89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D5F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EDCA">
            <w:pPr>
              <w:jc w:val="center"/>
            </w:pPr>
            <w:r>
              <w:rPr>
                <w:rFonts w:ascii="宋体" w:hAnsi="宋体" w:eastAsia="宋体"/>
                <w:sz w:val="16"/>
              </w:rPr>
              <w:t>—</w:t>
            </w:r>
          </w:p>
        </w:tc>
      </w:tr>
      <w:tr w14:paraId="0C2BFA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D91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7B1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6E210">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BB9C7">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26AB3">
            <w:pPr>
              <w:jc w:val="center"/>
            </w:pPr>
            <w:r>
              <w:rPr>
                <w:rFonts w:ascii="宋体" w:hAnsi="宋体" w:eastAsia="宋体"/>
                <w:sz w:val="16"/>
              </w:rPr>
              <w:t>69.11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C1D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56D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8CCFE">
            <w:pPr>
              <w:jc w:val="center"/>
            </w:pPr>
            <w:r>
              <w:rPr>
                <w:rFonts w:ascii="宋体" w:hAnsi="宋体" w:eastAsia="宋体"/>
                <w:sz w:val="16"/>
              </w:rPr>
              <w:t>—</w:t>
            </w:r>
          </w:p>
        </w:tc>
      </w:tr>
      <w:tr w14:paraId="4DB696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D380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63275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55DF20">
            <w:pPr>
              <w:jc w:val="center"/>
            </w:pPr>
            <w:r>
              <w:rPr>
                <w:rFonts w:ascii="宋体" w:hAnsi="宋体" w:eastAsia="宋体"/>
                <w:sz w:val="16"/>
              </w:rPr>
              <w:t>实际完成情况</w:t>
            </w:r>
          </w:p>
        </w:tc>
      </w:tr>
      <w:tr w14:paraId="6C080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37B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3F2853">
            <w:pPr>
              <w:jc w:val="both"/>
            </w:pPr>
            <w:r>
              <w:rPr>
                <w:rFonts w:ascii="宋体" w:hAnsi="宋体" w:eastAsia="宋体"/>
                <w:sz w:val="16"/>
              </w:rPr>
              <w:t>加强山东和喀什地区人力资源和社会保障领域交流合作，通过举办上门送岗、高技能人才培优、劳务品牌打造、举办技能大赛、关心关爱外出务工人员、技能人才评价培训等系列活动，进一步提升喀什地区技工院校教学管理水平和职业技能评价能力，促进各族群众技能提升和就业增收，助力喀什地区经济高质量发展和民生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DA0F12">
            <w:pPr>
              <w:jc w:val="both"/>
            </w:pPr>
            <w:r>
              <w:rPr>
                <w:rFonts w:ascii="宋体" w:hAnsi="宋体" w:eastAsia="宋体"/>
                <w:sz w:val="16"/>
              </w:rPr>
              <w:t>该项目2024年7月起执行，</w:t>
            </w:r>
            <w:r>
              <w:rPr>
                <w:rFonts w:hint="eastAsia" w:ascii="宋体" w:hAnsi="宋体"/>
                <w:sz w:val="16"/>
                <w:lang w:eastAsia="zh-CN"/>
              </w:rPr>
              <w:t>截至2024</w:t>
            </w:r>
            <w:r>
              <w:rPr>
                <w:rFonts w:ascii="宋体" w:hAnsi="宋体" w:eastAsia="宋体"/>
                <w:sz w:val="16"/>
              </w:rPr>
              <w:t>年12月底共支出69.11万元，用于开展活动送岗上门及“阳光大姐”培训，进一步提升了喀什地区家政服务行业职业技能水平，提高家政服务从业人员和城乡妇女的就业创业能力，促进喀什地区民生改善和社会</w:t>
            </w:r>
            <w:r>
              <w:rPr>
                <w:rFonts w:hint="eastAsia" w:ascii="宋体" w:hAnsi="宋体"/>
                <w:sz w:val="16"/>
                <w:lang w:eastAsia="zh-CN"/>
              </w:rPr>
              <w:t>事业</w:t>
            </w:r>
            <w:r>
              <w:rPr>
                <w:rFonts w:ascii="宋体" w:hAnsi="宋体" w:eastAsia="宋体"/>
                <w:sz w:val="16"/>
              </w:rPr>
              <w:t>发展。</w:t>
            </w:r>
          </w:p>
        </w:tc>
      </w:tr>
      <w:tr w14:paraId="5489FA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08EE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FF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C2E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DB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82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4B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E6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FD3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2F6C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22F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0F2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6BD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37023">
            <w:pPr>
              <w:jc w:val="center"/>
            </w:pPr>
            <w:r>
              <w:rPr>
                <w:rFonts w:ascii="宋体" w:hAnsi="宋体" w:eastAsia="宋体"/>
                <w:sz w:val="16"/>
              </w:rPr>
              <w:t>偏差原因分析及改进措施</w:t>
            </w:r>
          </w:p>
        </w:tc>
      </w:tr>
      <w:tr w14:paraId="6AF9A2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4AE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AB18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58C2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67E9">
            <w:pPr>
              <w:jc w:val="center"/>
            </w:pPr>
            <w:r>
              <w:rPr>
                <w:rFonts w:ascii="宋体" w:hAnsi="宋体" w:eastAsia="宋体"/>
                <w:sz w:val="16"/>
              </w:rPr>
              <w:t>提供岗位数量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8246">
            <w:pPr>
              <w:jc w:val="center"/>
            </w:pPr>
            <w:r>
              <w:rPr>
                <w:rFonts w:ascii="宋体" w:hAnsi="宋体" w:eastAsia="宋体"/>
                <w:sz w:val="16"/>
              </w:rPr>
              <w:t>&gt;=10000个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92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D8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DB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47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329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6368E">
            <w:pPr>
              <w:jc w:val="center"/>
            </w:pPr>
            <w:r>
              <w:rPr>
                <w:rFonts w:ascii="宋体" w:hAnsi="宋体" w:eastAsia="宋体"/>
                <w:sz w:val="16"/>
              </w:rPr>
              <w:t>=10365个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258F">
            <w:pPr>
              <w:jc w:val="center"/>
            </w:pPr>
            <w:r>
              <w:rPr>
                <w:rFonts w:ascii="宋体" w:hAnsi="宋体" w:eastAsia="宋体"/>
                <w:sz w:val="16"/>
              </w:rPr>
              <w:t>9.63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EE725">
            <w:pPr>
              <w:jc w:val="center"/>
            </w:pPr>
            <w:r>
              <w:rPr>
                <w:rFonts w:ascii="宋体" w:hAnsi="宋体" w:eastAsia="宋体"/>
                <w:sz w:val="16"/>
              </w:rPr>
              <w:t>偏差原因：活动开展前对山东相关企业提供的岗位预估与实际需求存在差异。改进措施：今后在设置目标时尽量做到精准</w:t>
            </w:r>
          </w:p>
        </w:tc>
      </w:tr>
      <w:tr w14:paraId="3F6C0F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3FB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FBE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570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6496">
            <w:pPr>
              <w:jc w:val="center"/>
            </w:pPr>
            <w:r>
              <w:rPr>
                <w:rFonts w:ascii="宋体" w:hAnsi="宋体" w:eastAsia="宋体"/>
                <w:sz w:val="16"/>
              </w:rPr>
              <w:t>培训各类人才人数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B4D1">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8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BA4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57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3C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967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7686">
            <w:pPr>
              <w:jc w:val="center"/>
            </w:pPr>
            <w:r>
              <w:rPr>
                <w:rFonts w:ascii="宋体" w:hAnsi="宋体" w:eastAsia="宋体"/>
                <w:sz w:val="16"/>
              </w:rPr>
              <w: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29BE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2E764">
            <w:pPr>
              <w:jc w:val="center"/>
            </w:pPr>
            <w:r>
              <w:rPr>
                <w:rFonts w:ascii="宋体" w:hAnsi="宋体" w:eastAsia="宋体"/>
                <w:sz w:val="16"/>
              </w:rPr>
              <w:t>偏差原因：项目未执行完毕，部分培训活动还未开展。改进措施：对还未开展的活动尽快组织实施。</w:t>
            </w:r>
          </w:p>
        </w:tc>
      </w:tr>
      <w:tr w14:paraId="750E2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E09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522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5E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7BBB">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38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51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27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04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2A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7E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566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4F51">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B8EE2">
            <w:pPr>
              <w:jc w:val="center"/>
            </w:pPr>
            <w:r>
              <w:rPr>
                <w:rFonts w:ascii="宋体" w:hAnsi="宋体" w:eastAsia="宋体"/>
                <w:sz w:val="16"/>
              </w:rPr>
              <w:t>偏差原因：在设置绩效目标时对师资培训学员的专业素质预估保守。改进措施：今后在设置绩效目标时应充分考虑相关因素。</w:t>
            </w:r>
          </w:p>
        </w:tc>
      </w:tr>
      <w:tr w14:paraId="1A8359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132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122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80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9D81D">
            <w:pPr>
              <w:jc w:val="center"/>
            </w:pPr>
            <w:r>
              <w:rPr>
                <w:rFonts w:ascii="宋体" w:hAnsi="宋体" w:eastAsia="宋体"/>
                <w:sz w:val="16"/>
              </w:rPr>
              <w:t>平均培训天数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8793">
            <w:pPr>
              <w:jc w:val="center"/>
            </w:pPr>
            <w:r>
              <w:rPr>
                <w:rFonts w:ascii="宋体" w:hAnsi="宋体" w:eastAsia="宋体"/>
                <w:sz w:val="16"/>
              </w:rPr>
              <w:t>&gt;=7天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83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95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C7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10E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185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1419">
            <w:pPr>
              <w:jc w:val="center"/>
            </w:pPr>
            <w:r>
              <w:rPr>
                <w:rFonts w:ascii="宋体" w:hAnsi="宋体" w:eastAsia="宋体"/>
                <w:sz w:val="16"/>
              </w:rPr>
              <w: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B0E5">
            <w:pPr>
              <w:jc w:val="center"/>
            </w:pPr>
            <w:r>
              <w:rPr>
                <w:rFonts w:ascii="宋体" w:hAnsi="宋体" w:eastAsia="宋体"/>
                <w:sz w:val="16"/>
              </w:rPr>
              <w:t>2.86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D489D">
            <w:pPr>
              <w:jc w:val="center"/>
            </w:pPr>
            <w:r>
              <w:rPr>
                <w:rFonts w:ascii="宋体" w:hAnsi="宋体" w:eastAsia="宋体"/>
                <w:sz w:val="16"/>
              </w:rPr>
              <w:t>偏差原因：技能等级评价人员及“阳光大姐”培训还未开展，故与目标有偏差。改进措施：对还未开展的培训尽快组织实施。</w:t>
            </w:r>
          </w:p>
        </w:tc>
      </w:tr>
      <w:tr w14:paraId="59C5C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9FA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87E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2F3E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F675">
            <w:pPr>
              <w:jc w:val="center"/>
            </w:pPr>
            <w:r>
              <w:rPr>
                <w:rFonts w:ascii="宋体" w:hAnsi="宋体" w:eastAsia="宋体"/>
                <w:sz w:val="16"/>
              </w:rPr>
              <w:t>举办劳务经纪人培训费用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84F3E">
            <w:pPr>
              <w:jc w:val="center"/>
            </w:pPr>
            <w:r>
              <w:rPr>
                <w:rFonts w:ascii="宋体" w:hAnsi="宋体" w:eastAsia="宋体"/>
                <w:sz w:val="16"/>
              </w:rPr>
              <w:t>&lt;=485744元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4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E21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7C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3F4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55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536A">
            <w:pPr>
              <w:jc w:val="center"/>
            </w:pPr>
            <w:r>
              <w:rPr>
                <w:rFonts w:ascii="宋体" w:hAnsi="宋体" w:eastAsia="宋体"/>
                <w:sz w:val="16"/>
              </w:rPr>
              <w:t>=351444元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3ACA">
            <w:pPr>
              <w:jc w:val="center"/>
            </w:pPr>
            <w:r>
              <w:rPr>
                <w:rFonts w:ascii="宋体" w:hAnsi="宋体" w:eastAsia="宋体"/>
                <w:sz w:val="16"/>
              </w:rPr>
              <w:t>1.54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49115">
            <w:pPr>
              <w:jc w:val="center"/>
            </w:pPr>
            <w:r>
              <w:rPr>
                <w:rFonts w:ascii="宋体" w:hAnsi="宋体" w:eastAsia="宋体"/>
                <w:sz w:val="16"/>
              </w:rPr>
              <w:t>偏差原因：由于项目在实施过程中山东省人社厅替我中心承担了部分费用，故与目标存在差异。改进措施：后期再组织相关活动。</w:t>
            </w:r>
          </w:p>
        </w:tc>
      </w:tr>
      <w:tr w14:paraId="5CDD5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F1C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059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D64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A9878">
            <w:pPr>
              <w:jc w:val="center"/>
            </w:pPr>
            <w:r>
              <w:rPr>
                <w:rFonts w:ascii="宋体" w:hAnsi="宋体" w:eastAsia="宋体"/>
                <w:sz w:val="16"/>
              </w:rPr>
              <w:t>“阳光大姐”师资培训费用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8264">
            <w:pPr>
              <w:jc w:val="center"/>
            </w:pPr>
            <w:r>
              <w:rPr>
                <w:rFonts w:ascii="宋体" w:hAnsi="宋体" w:eastAsia="宋体"/>
                <w:sz w:val="16"/>
              </w:rPr>
              <w:t>&lt;=843356元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EF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C0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2C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6D1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5D8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C46C">
            <w:pPr>
              <w:jc w:val="center"/>
            </w:pPr>
            <w:r>
              <w:rPr>
                <w:rFonts w:ascii="宋体" w:hAnsi="宋体" w:eastAsia="宋体"/>
                <w:sz w:val="16"/>
              </w:rPr>
              <w:t>=154078元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A4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305AA">
            <w:pPr>
              <w:jc w:val="center"/>
            </w:pPr>
            <w:r>
              <w:rPr>
                <w:rFonts w:ascii="宋体" w:hAnsi="宋体" w:eastAsia="宋体"/>
                <w:sz w:val="16"/>
              </w:rPr>
              <w:t>偏差原因：“阳光大姐”引进来培训还未开展，故与目标存在差异。改进措施：尽快组织培训。</w:t>
            </w:r>
          </w:p>
        </w:tc>
      </w:tr>
      <w:tr w14:paraId="10CF6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CD9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240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EC8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8208">
            <w:pPr>
              <w:jc w:val="center"/>
            </w:pPr>
            <w:r>
              <w:rPr>
                <w:rFonts w:ascii="宋体" w:hAnsi="宋体" w:eastAsia="宋体"/>
                <w:sz w:val="16"/>
              </w:rPr>
              <w:t>技能评价人员赴山东培训及专家进疆开展业务培训费用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F33E">
            <w:pPr>
              <w:jc w:val="center"/>
            </w:pPr>
            <w:r>
              <w:rPr>
                <w:rFonts w:ascii="宋体" w:hAnsi="宋体" w:eastAsia="宋体"/>
                <w:sz w:val="16"/>
              </w:rPr>
              <w:t>&lt;=375820元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A2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64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57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D67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78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8DCB9">
            <w:pPr>
              <w:jc w:val="center"/>
            </w:pPr>
            <w:r>
              <w:rPr>
                <w:rFonts w:ascii="宋体" w:hAnsi="宋体" w:eastAsia="宋体"/>
                <w:sz w:val="16"/>
              </w:rPr>
              <w:t>=185601元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63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11B5C">
            <w:pPr>
              <w:jc w:val="center"/>
            </w:pPr>
            <w:r>
              <w:rPr>
                <w:rFonts w:ascii="宋体" w:hAnsi="宋体" w:eastAsia="宋体"/>
                <w:sz w:val="16"/>
              </w:rPr>
              <w:t>偏差原因：引进专家进疆开展培训还未开展。改进措施：尽快组织培训</w:t>
            </w:r>
          </w:p>
        </w:tc>
      </w:tr>
      <w:tr w14:paraId="16919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4CF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88D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8DB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C5C1">
            <w:pPr>
              <w:jc w:val="center"/>
            </w:pPr>
            <w:r>
              <w:rPr>
                <w:rFonts w:ascii="宋体" w:hAnsi="宋体" w:eastAsia="宋体"/>
                <w:sz w:val="16"/>
              </w:rPr>
              <w:t>组织务工人员亲属探亲活动费用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0FD5">
            <w:pPr>
              <w:jc w:val="center"/>
            </w:pPr>
            <w:r>
              <w:rPr>
                <w:rFonts w:ascii="宋体" w:hAnsi="宋体" w:eastAsia="宋体"/>
                <w:sz w:val="16"/>
              </w:rPr>
              <w:t>&lt;=289080元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D4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75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779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87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FB8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3ADA">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45F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204F0">
            <w:pPr>
              <w:jc w:val="center"/>
            </w:pPr>
            <w:r>
              <w:rPr>
                <w:rFonts w:ascii="宋体" w:hAnsi="宋体" w:eastAsia="宋体"/>
                <w:sz w:val="16"/>
              </w:rPr>
              <w:t>偏差原因：该活动还未组织开展，改进措施：尽快组织实施。</w:t>
            </w:r>
          </w:p>
        </w:tc>
      </w:tr>
      <w:tr w14:paraId="5518B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384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852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0D5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6B4F0">
            <w:pPr>
              <w:jc w:val="center"/>
            </w:pPr>
            <w:r>
              <w:rPr>
                <w:rFonts w:ascii="宋体" w:hAnsi="宋体" w:eastAsia="宋体"/>
                <w:sz w:val="16"/>
              </w:rPr>
              <w:t>委托第三方机构对项目资金审计费用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09AE9">
            <w:pPr>
              <w:jc w:val="center"/>
            </w:pPr>
            <w:r>
              <w:rPr>
                <w:rFonts w:ascii="宋体" w:hAnsi="宋体" w:eastAsia="宋体"/>
                <w:sz w:val="16"/>
              </w:rPr>
              <w:t>&lt;=6000元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66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6D2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4C7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44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56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D2572">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241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0961C">
            <w:pPr>
              <w:jc w:val="center"/>
            </w:pPr>
            <w:r>
              <w:rPr>
                <w:rFonts w:ascii="宋体" w:hAnsi="宋体" w:eastAsia="宋体"/>
                <w:sz w:val="16"/>
              </w:rPr>
              <w:t>偏差原因：由于项目未执行完毕，未开展审计。改进措施：待项目执行完毕后进行审计。</w:t>
            </w:r>
          </w:p>
        </w:tc>
      </w:tr>
      <w:tr w14:paraId="0A78B2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D1A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456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C5A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5A3C">
            <w:pPr>
              <w:jc w:val="center"/>
            </w:pPr>
            <w:r>
              <w:rPr>
                <w:rFonts w:ascii="宋体" w:hAnsi="宋体" w:eastAsia="宋体"/>
                <w:sz w:val="16"/>
              </w:rPr>
              <w:t>提高全地区就业质量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E880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E9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0F4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2F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4D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03E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6DFD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C4F5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DDDF1">
            <w:pPr>
              <w:jc w:val="center"/>
            </w:pPr>
          </w:p>
        </w:tc>
      </w:tr>
      <w:tr w14:paraId="66A8E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576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4EF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3F8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2679">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C1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4BC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EC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D3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3F7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41B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A52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6C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826AD">
            <w:pPr>
              <w:jc w:val="center"/>
            </w:pPr>
          </w:p>
        </w:tc>
      </w:tr>
      <w:tr w14:paraId="13DEE5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59EE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99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D5B1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FEE09">
            <w:pPr>
              <w:jc w:val="center"/>
            </w:pPr>
            <w:r>
              <w:rPr>
                <w:rFonts w:ascii="宋体" w:hAnsi="宋体" w:eastAsia="宋体"/>
                <w:sz w:val="16"/>
              </w:rPr>
              <w:t>53.5分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F8E009"/>
        </w:tc>
      </w:tr>
    </w:tbl>
    <w:p w14:paraId="46E6F66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AD9B899">
        <w:tblPrEx>
          <w:tblCellMar>
            <w:top w:w="0" w:type="dxa"/>
            <w:left w:w="108" w:type="dxa"/>
            <w:bottom w:w="0" w:type="dxa"/>
            <w:right w:w="108" w:type="dxa"/>
          </w:tblCellMar>
        </w:tblPrEx>
        <w:tc>
          <w:tcPr>
            <w:tcW w:w="8848" w:type="dxa"/>
            <w:gridSpan w:val="14"/>
            <w:vAlign w:val="center"/>
          </w:tcPr>
          <w:p w14:paraId="3039D638">
            <w:pPr>
              <w:jc w:val="center"/>
            </w:pPr>
            <w:r>
              <w:rPr>
                <w:rFonts w:ascii="宋体" w:hAnsi="宋体" w:eastAsia="宋体"/>
                <w:sz w:val="24"/>
              </w:rPr>
              <w:t>项目支出绩效自评表</w:t>
            </w:r>
          </w:p>
        </w:tc>
      </w:tr>
      <w:tr w14:paraId="427B6DDB">
        <w:tblPrEx>
          <w:tblCellMar>
            <w:top w:w="0" w:type="dxa"/>
            <w:left w:w="108" w:type="dxa"/>
            <w:bottom w:w="0" w:type="dxa"/>
            <w:right w:w="108" w:type="dxa"/>
          </w:tblCellMar>
        </w:tblPrEx>
        <w:tc>
          <w:tcPr>
            <w:tcW w:w="8848" w:type="dxa"/>
            <w:gridSpan w:val="14"/>
            <w:vAlign w:val="center"/>
          </w:tcPr>
          <w:p w14:paraId="127F6DF5">
            <w:pPr>
              <w:jc w:val="center"/>
            </w:pPr>
            <w:r>
              <w:rPr>
                <w:rFonts w:ascii="宋体" w:hAnsi="宋体" w:eastAsia="宋体"/>
                <w:sz w:val="24"/>
              </w:rPr>
              <w:t>(2024年度)</w:t>
            </w:r>
          </w:p>
        </w:tc>
      </w:tr>
      <w:tr w14:paraId="4F4B25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2B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2E3635">
            <w:pPr>
              <w:jc w:val="center"/>
            </w:pPr>
            <w:r>
              <w:rPr>
                <w:rFonts w:ascii="宋体" w:hAnsi="宋体" w:eastAsia="宋体"/>
                <w:sz w:val="16"/>
              </w:rPr>
              <w:t>山东援疆就业与人才培训项目</w:t>
            </w:r>
          </w:p>
        </w:tc>
      </w:tr>
      <w:tr w14:paraId="12C67C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AD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25C6B4">
            <w:pPr>
              <w:jc w:val="center"/>
            </w:pPr>
            <w:r>
              <w:rPr>
                <w:rFonts w:ascii="宋体" w:hAnsi="宋体" w:eastAsia="宋体"/>
                <w:sz w:val="16"/>
              </w:rPr>
              <w:t>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1B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52317D">
            <w:pPr>
              <w:jc w:val="center"/>
            </w:pPr>
            <w:r>
              <w:rPr>
                <w:rFonts w:ascii="宋体" w:hAnsi="宋体" w:eastAsia="宋体"/>
                <w:sz w:val="16"/>
              </w:rPr>
              <w:t>喀什地区培训就业服务中心</w:t>
            </w:r>
          </w:p>
        </w:tc>
      </w:tr>
      <w:tr w14:paraId="6D3796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9F9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58E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2E1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D7F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7858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4B9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F64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D777">
            <w:pPr>
              <w:jc w:val="center"/>
            </w:pPr>
            <w:r>
              <w:rPr>
                <w:rFonts w:ascii="宋体" w:hAnsi="宋体" w:eastAsia="宋体"/>
                <w:sz w:val="16"/>
              </w:rPr>
              <w:t>得分</w:t>
            </w:r>
          </w:p>
        </w:tc>
      </w:tr>
      <w:tr w14:paraId="765253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545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33E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FD6DE">
            <w:pPr>
              <w:jc w:val="center"/>
            </w:pPr>
            <w:r>
              <w:rPr>
                <w:rFonts w:ascii="宋体" w:hAnsi="宋体" w:eastAsia="宋体"/>
                <w:sz w:val="16"/>
              </w:rPr>
              <w:t>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16221">
            <w:pPr>
              <w:jc w:val="center"/>
            </w:pPr>
            <w:r>
              <w:rPr>
                <w:rFonts w:ascii="宋体" w:hAnsi="宋体" w:eastAsia="宋体"/>
                <w:sz w:val="16"/>
              </w:rPr>
              <w:t>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6F46A">
            <w:pPr>
              <w:jc w:val="center"/>
            </w:pPr>
            <w:r>
              <w:rPr>
                <w:rFonts w:ascii="宋体" w:hAnsi="宋体" w:eastAsia="宋体"/>
                <w:sz w:val="16"/>
              </w:rPr>
              <w:t>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257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BB2E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D1FF">
            <w:pPr>
              <w:jc w:val="center"/>
            </w:pPr>
            <w:r>
              <w:rPr>
                <w:rFonts w:ascii="宋体" w:hAnsi="宋体" w:eastAsia="宋体"/>
                <w:sz w:val="16"/>
              </w:rPr>
              <w:t>10.00分</w:t>
            </w:r>
          </w:p>
        </w:tc>
      </w:tr>
      <w:tr w14:paraId="0C82D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176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E66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979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E9D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04F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E01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E52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32B75">
            <w:pPr>
              <w:jc w:val="center"/>
            </w:pPr>
            <w:r>
              <w:rPr>
                <w:rFonts w:ascii="宋体" w:hAnsi="宋体" w:eastAsia="宋体"/>
                <w:sz w:val="16"/>
              </w:rPr>
              <w:t>—</w:t>
            </w:r>
          </w:p>
        </w:tc>
      </w:tr>
      <w:tr w14:paraId="4FC6E4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F25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BFFD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D78D8">
            <w:pPr>
              <w:jc w:val="center"/>
            </w:pPr>
            <w:r>
              <w:rPr>
                <w:rFonts w:ascii="宋体" w:hAnsi="宋体" w:eastAsia="宋体"/>
                <w:sz w:val="16"/>
              </w:rPr>
              <w:t>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AFC5B">
            <w:pPr>
              <w:jc w:val="center"/>
            </w:pPr>
            <w:r>
              <w:rPr>
                <w:rFonts w:ascii="宋体" w:hAnsi="宋体" w:eastAsia="宋体"/>
                <w:sz w:val="16"/>
              </w:rPr>
              <w:t>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FE1A7">
            <w:pPr>
              <w:jc w:val="center"/>
            </w:pPr>
            <w:r>
              <w:rPr>
                <w:rFonts w:ascii="宋体" w:hAnsi="宋体" w:eastAsia="宋体"/>
                <w:sz w:val="16"/>
              </w:rPr>
              <w:t>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737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4ED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10E2">
            <w:pPr>
              <w:jc w:val="center"/>
            </w:pPr>
            <w:r>
              <w:rPr>
                <w:rFonts w:ascii="宋体" w:hAnsi="宋体" w:eastAsia="宋体"/>
                <w:sz w:val="16"/>
              </w:rPr>
              <w:t>—</w:t>
            </w:r>
          </w:p>
        </w:tc>
      </w:tr>
      <w:tr w14:paraId="39C448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A7F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2EF64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A8A3FB">
            <w:pPr>
              <w:jc w:val="center"/>
            </w:pPr>
            <w:r>
              <w:rPr>
                <w:rFonts w:ascii="宋体" w:hAnsi="宋体" w:eastAsia="宋体"/>
                <w:sz w:val="16"/>
              </w:rPr>
              <w:t>实际完成情况</w:t>
            </w:r>
          </w:p>
        </w:tc>
      </w:tr>
      <w:tr w14:paraId="1F502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DB3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D796F3">
            <w:pPr>
              <w:jc w:val="both"/>
            </w:pPr>
            <w:r>
              <w:rPr>
                <w:rFonts w:ascii="宋体" w:hAnsi="宋体" w:eastAsia="宋体"/>
                <w:sz w:val="16"/>
              </w:rPr>
              <w:t>依据山东援疆指挥部《关于拨付喀什地区开展就业困难人员及高校毕业生就业创业培训经费的通知》鲁援疆指财</w:t>
            </w:r>
            <w:r>
              <w:rPr>
                <w:rFonts w:hint="eastAsia" w:ascii="宋体" w:hAnsi="宋体"/>
                <w:sz w:val="16"/>
                <w:lang w:eastAsia="zh-CN"/>
              </w:rPr>
              <w:t>〔2021〕149号</w:t>
            </w:r>
            <w:r>
              <w:rPr>
                <w:rFonts w:ascii="宋体" w:hAnsi="宋体" w:eastAsia="宋体"/>
                <w:sz w:val="16"/>
              </w:rPr>
              <w:t>文件要求，项目为山东援疆资金2.58万元，用于喀什地区借助山东各高级技工学校及企业对喀什地区就业困难人员及未就业高校毕业生、高职、中职毕业生等群体开展就业创业培训和劳务经纪人培训，共计20人，每期培训10天、共计1个班次。为喀什产业发展培养</w:t>
            </w:r>
            <w:r>
              <w:rPr>
                <w:rFonts w:hint="eastAsia" w:ascii="宋体" w:hAnsi="宋体"/>
                <w:sz w:val="16"/>
                <w:lang w:eastAsia="zh-CN"/>
              </w:rPr>
              <w:t>专业技术</w:t>
            </w:r>
            <w:r>
              <w:rPr>
                <w:rFonts w:ascii="宋体" w:hAnsi="宋体" w:eastAsia="宋体"/>
                <w:sz w:val="16"/>
              </w:rPr>
              <w:t>人才，推进我区劳动力高质量就业创业。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FF2B62">
            <w:pPr>
              <w:jc w:val="both"/>
            </w:pPr>
            <w:r>
              <w:rPr>
                <w:rFonts w:ascii="宋体" w:hAnsi="宋体" w:eastAsia="宋体"/>
                <w:sz w:val="16"/>
              </w:rPr>
              <w:t>利用山东援疆资金2.58万元，对喀什地区就业困难人员及未就业高校毕业生、高职、中职毕业生等群体开展就业创业培训和劳务经纪人培训共20人，培训周期为10天、此次培训激发了劳动者创业创新意识、提高劳动者就业创业能力，帮助他们掌握创业知识，提高创业能力，为创业者赋能。为喀什产业发展培养</w:t>
            </w:r>
            <w:r>
              <w:rPr>
                <w:rFonts w:hint="eastAsia" w:ascii="宋体" w:hAnsi="宋体"/>
                <w:sz w:val="16"/>
                <w:lang w:eastAsia="zh-CN"/>
              </w:rPr>
              <w:t>专业技术</w:t>
            </w:r>
            <w:r>
              <w:rPr>
                <w:rFonts w:ascii="宋体" w:hAnsi="宋体" w:eastAsia="宋体"/>
                <w:sz w:val="16"/>
              </w:rPr>
              <w:t>人才。</w:t>
            </w:r>
          </w:p>
        </w:tc>
      </w:tr>
      <w:tr w14:paraId="33ADD9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976E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9D4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89F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25C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357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4A3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29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756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06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60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2D84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D1B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5B82E">
            <w:pPr>
              <w:jc w:val="center"/>
            </w:pPr>
            <w:r>
              <w:rPr>
                <w:rFonts w:ascii="宋体" w:hAnsi="宋体" w:eastAsia="宋体"/>
                <w:sz w:val="16"/>
              </w:rPr>
              <w:t>偏差原因分析及改进措施</w:t>
            </w:r>
          </w:p>
        </w:tc>
      </w:tr>
      <w:tr w14:paraId="325D1B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EDA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F1BC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10A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1650">
            <w:pPr>
              <w:jc w:val="center"/>
            </w:pPr>
            <w:r>
              <w:rPr>
                <w:rFonts w:ascii="宋体" w:hAnsi="宋体" w:eastAsia="宋体"/>
                <w:sz w:val="16"/>
              </w:rPr>
              <w:t>组织培训班次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40B55">
            <w:pPr>
              <w:jc w:val="center"/>
            </w:pPr>
            <w:r>
              <w:rPr>
                <w:rFonts w:ascii="宋体" w:hAnsi="宋体" w:eastAsia="宋体"/>
                <w:sz w:val="16"/>
              </w:rPr>
              <w:t>&gt;=1班次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A48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73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F0E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07B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8D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C934">
            <w:pPr>
              <w:jc w:val="center"/>
            </w:pPr>
            <w:r>
              <w:rPr>
                <w:rFonts w:ascii="宋体" w:hAnsi="宋体" w:eastAsia="宋体"/>
                <w:sz w:val="16"/>
              </w:rPr>
              <w:t>=1班次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0F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A124D">
            <w:pPr>
              <w:jc w:val="center"/>
            </w:pPr>
          </w:p>
        </w:tc>
      </w:tr>
      <w:tr w14:paraId="6FAC0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2CA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F5A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B3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9F74">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04AE3">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76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ED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14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13A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53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B8B15">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4B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983D3">
            <w:pPr>
              <w:jc w:val="center"/>
            </w:pPr>
          </w:p>
        </w:tc>
      </w:tr>
      <w:tr w14:paraId="51B520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D3E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3F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1B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72F9E">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6FB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9C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CCC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DE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89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5C7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E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64403">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3003B">
            <w:pPr>
              <w:jc w:val="center"/>
            </w:pPr>
            <w:r>
              <w:rPr>
                <w:rFonts w:ascii="宋体" w:hAnsi="宋体" w:eastAsia="宋体"/>
                <w:sz w:val="16"/>
              </w:rPr>
              <w:t>偏差原因：在设置项目绩效目标时未考虑到政策因素，政策为合格多少支付多少，为合格予以支付培训费；改进措施：在设置绩效目标时应全面考虑各方面因素</w:t>
            </w:r>
          </w:p>
        </w:tc>
      </w:tr>
      <w:tr w14:paraId="28B64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6E9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6AD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529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94A7">
            <w:pPr>
              <w:jc w:val="center"/>
            </w:pPr>
            <w:r>
              <w:rPr>
                <w:rFonts w:ascii="宋体" w:hAnsi="宋体" w:eastAsia="宋体"/>
                <w:sz w:val="16"/>
              </w:rPr>
              <w:t>组织培训及时率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96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DD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F7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73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18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92B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D8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8A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0650A">
            <w:pPr>
              <w:jc w:val="center"/>
            </w:pPr>
          </w:p>
        </w:tc>
      </w:tr>
      <w:tr w14:paraId="578D1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F3F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0AD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3F1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B68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EA361">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F24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46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BC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163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BB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1B4A4">
            <w:pPr>
              <w:jc w:val="center"/>
            </w:pPr>
            <w:r>
              <w:rPr>
                <w:rFonts w:ascii="宋体" w:hAnsi="宋体" w:eastAsia="宋体"/>
                <w:sz w:val="16"/>
              </w:rPr>
              <w:t>=2024年10月20日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432D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C4868">
            <w:pPr>
              <w:jc w:val="center"/>
            </w:pPr>
          </w:p>
        </w:tc>
      </w:tr>
      <w:tr w14:paraId="2A3630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88A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42E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1AA3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F78A4">
            <w:pPr>
              <w:jc w:val="center"/>
            </w:pPr>
            <w:r>
              <w:rPr>
                <w:rFonts w:ascii="宋体" w:hAnsi="宋体" w:eastAsia="宋体"/>
                <w:sz w:val="16"/>
              </w:rPr>
              <w:t>培训人均费用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FF443">
            <w:pPr>
              <w:jc w:val="center"/>
            </w:pPr>
            <w:r>
              <w:rPr>
                <w:rFonts w:ascii="宋体" w:hAnsi="宋体" w:eastAsia="宋体"/>
                <w:sz w:val="16"/>
              </w:rPr>
              <w:t>&lt;=1290元/人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7E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10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B7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73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0AD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C1081">
            <w:pPr>
              <w:jc w:val="center"/>
            </w:pPr>
            <w:r>
              <w:rPr>
                <w:rFonts w:ascii="宋体" w:hAnsi="宋体" w:eastAsia="宋体"/>
                <w:sz w:val="16"/>
              </w:rPr>
              <w:t>=1290元/人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CD3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DBB3C">
            <w:pPr>
              <w:jc w:val="center"/>
            </w:pPr>
          </w:p>
        </w:tc>
      </w:tr>
      <w:tr w14:paraId="460DC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915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12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74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5A47D">
            <w:pPr>
              <w:jc w:val="center"/>
            </w:pPr>
            <w:r>
              <w:rPr>
                <w:rFonts w:ascii="宋体" w:hAnsi="宋体" w:eastAsia="宋体"/>
                <w:sz w:val="16"/>
              </w:rPr>
              <w:t>提高全地区就业质量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01A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8B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5E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82F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B46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C36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081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B38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ACE72">
            <w:pPr>
              <w:jc w:val="center"/>
            </w:pPr>
          </w:p>
        </w:tc>
      </w:tr>
      <w:tr w14:paraId="621AD0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F60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92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F3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CAF2">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F799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983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268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D4D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FC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1F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C6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607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36035">
            <w:pPr>
              <w:jc w:val="center"/>
            </w:pPr>
            <w:r>
              <w:rPr>
                <w:rFonts w:ascii="宋体" w:hAnsi="宋体" w:eastAsia="宋体"/>
                <w:sz w:val="16"/>
              </w:rPr>
              <w:t>偏差原因：绩效目标设置时对培训人员的满意度预期较低；改进措施：在设置绩效目标时应尽量做到精准</w:t>
            </w:r>
          </w:p>
        </w:tc>
      </w:tr>
      <w:tr w14:paraId="4ECBDC9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09251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940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1C2A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0FBF">
            <w:pPr>
              <w:jc w:val="center"/>
            </w:pPr>
            <w:r>
              <w:rPr>
                <w:rFonts w:ascii="宋体" w:hAnsi="宋体" w:eastAsia="宋体"/>
                <w:sz w:val="16"/>
              </w:rPr>
              <w:t>99.74分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2D7051"/>
        </w:tc>
      </w:tr>
    </w:tbl>
    <w:p w14:paraId="2729924B">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96"/>
        <w:gridCol w:w="776"/>
        <w:gridCol w:w="625"/>
        <w:gridCol w:w="632"/>
        <w:gridCol w:w="627"/>
        <w:gridCol w:w="625"/>
        <w:gridCol w:w="625"/>
        <w:gridCol w:w="696"/>
        <w:gridCol w:w="632"/>
        <w:gridCol w:w="616"/>
        <w:gridCol w:w="632"/>
      </w:tblGrid>
      <w:tr w14:paraId="58E7507A">
        <w:tblPrEx>
          <w:tblCellMar>
            <w:top w:w="0" w:type="dxa"/>
            <w:left w:w="108" w:type="dxa"/>
            <w:bottom w:w="0" w:type="dxa"/>
            <w:right w:w="108" w:type="dxa"/>
          </w:tblCellMar>
        </w:tblPrEx>
        <w:tc>
          <w:tcPr>
            <w:tcW w:w="8848" w:type="dxa"/>
            <w:gridSpan w:val="14"/>
            <w:vAlign w:val="center"/>
          </w:tcPr>
          <w:p w14:paraId="132C2FFA">
            <w:pPr>
              <w:jc w:val="center"/>
            </w:pPr>
            <w:r>
              <w:rPr>
                <w:rFonts w:ascii="宋体" w:hAnsi="宋体" w:eastAsia="宋体"/>
                <w:sz w:val="24"/>
              </w:rPr>
              <w:t>项目支出绩效自评表</w:t>
            </w:r>
          </w:p>
        </w:tc>
      </w:tr>
      <w:tr w14:paraId="0C38D7A2">
        <w:tblPrEx>
          <w:tblCellMar>
            <w:top w:w="0" w:type="dxa"/>
            <w:left w:w="108" w:type="dxa"/>
            <w:bottom w:w="0" w:type="dxa"/>
            <w:right w:w="108" w:type="dxa"/>
          </w:tblCellMar>
        </w:tblPrEx>
        <w:tc>
          <w:tcPr>
            <w:tcW w:w="8848" w:type="dxa"/>
            <w:gridSpan w:val="14"/>
            <w:vAlign w:val="center"/>
          </w:tcPr>
          <w:p w14:paraId="24A0C823">
            <w:pPr>
              <w:jc w:val="center"/>
            </w:pPr>
            <w:r>
              <w:rPr>
                <w:rFonts w:ascii="宋体" w:hAnsi="宋体" w:eastAsia="宋体"/>
                <w:sz w:val="24"/>
              </w:rPr>
              <w:t>(2024年度)</w:t>
            </w:r>
          </w:p>
        </w:tc>
      </w:tr>
      <w:tr w14:paraId="7FB149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61F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AA7467">
            <w:pPr>
              <w:jc w:val="center"/>
            </w:pPr>
            <w:r>
              <w:rPr>
                <w:rFonts w:ascii="宋体" w:hAnsi="宋体" w:eastAsia="宋体"/>
                <w:sz w:val="16"/>
              </w:rPr>
              <w:t>推进全方位公共就业服务项目</w:t>
            </w:r>
          </w:p>
        </w:tc>
      </w:tr>
      <w:tr w14:paraId="033B2D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E284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F78AF7">
            <w:pPr>
              <w:jc w:val="center"/>
            </w:pPr>
            <w:r>
              <w:rPr>
                <w:rFonts w:ascii="宋体" w:hAnsi="宋体" w:eastAsia="宋体"/>
                <w:sz w:val="16"/>
              </w:rPr>
              <w:t>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EA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A7B3FA">
            <w:pPr>
              <w:jc w:val="center"/>
            </w:pPr>
            <w:r>
              <w:rPr>
                <w:rFonts w:ascii="宋体" w:hAnsi="宋体" w:eastAsia="宋体"/>
                <w:sz w:val="16"/>
              </w:rPr>
              <w:t>喀什地区培训就业服务中心</w:t>
            </w:r>
          </w:p>
        </w:tc>
      </w:tr>
      <w:tr w14:paraId="3FBB77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F94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C3F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1F8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708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958D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B30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A78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890B">
            <w:pPr>
              <w:jc w:val="center"/>
            </w:pPr>
            <w:r>
              <w:rPr>
                <w:rFonts w:ascii="宋体" w:hAnsi="宋体" w:eastAsia="宋体"/>
                <w:sz w:val="16"/>
              </w:rPr>
              <w:t>得分</w:t>
            </w:r>
          </w:p>
        </w:tc>
      </w:tr>
      <w:tr w14:paraId="42EB40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1B5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09F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52A71">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94B9F">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9D8AC">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671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9EAD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F998">
            <w:pPr>
              <w:jc w:val="center"/>
            </w:pPr>
            <w:r>
              <w:rPr>
                <w:rFonts w:ascii="宋体" w:hAnsi="宋体" w:eastAsia="宋体"/>
                <w:sz w:val="16"/>
              </w:rPr>
              <w:t>10.00分</w:t>
            </w:r>
          </w:p>
        </w:tc>
      </w:tr>
      <w:tr w14:paraId="70D52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28E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775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6A72D">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CF822">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DBA6F">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4A5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C72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3524">
            <w:pPr>
              <w:jc w:val="center"/>
            </w:pPr>
            <w:r>
              <w:rPr>
                <w:rFonts w:ascii="宋体" w:hAnsi="宋体" w:eastAsia="宋体"/>
                <w:sz w:val="16"/>
              </w:rPr>
              <w:t>—</w:t>
            </w:r>
          </w:p>
        </w:tc>
      </w:tr>
      <w:tr w14:paraId="5B9951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1C6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2B0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B82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E11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433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6D2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731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C48FB">
            <w:pPr>
              <w:jc w:val="center"/>
            </w:pPr>
            <w:r>
              <w:rPr>
                <w:rFonts w:ascii="宋体" w:hAnsi="宋体" w:eastAsia="宋体"/>
                <w:sz w:val="16"/>
              </w:rPr>
              <w:t>—</w:t>
            </w:r>
          </w:p>
        </w:tc>
      </w:tr>
      <w:tr w14:paraId="74A5F6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FAF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25E71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3CE572">
            <w:pPr>
              <w:jc w:val="center"/>
            </w:pPr>
            <w:r>
              <w:rPr>
                <w:rFonts w:ascii="宋体" w:hAnsi="宋体" w:eastAsia="宋体"/>
                <w:sz w:val="16"/>
              </w:rPr>
              <w:t>实际完成情况</w:t>
            </w:r>
          </w:p>
        </w:tc>
      </w:tr>
      <w:tr w14:paraId="39D05C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FB9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612E26">
            <w:pPr>
              <w:jc w:val="both"/>
            </w:pPr>
            <w:r>
              <w:rPr>
                <w:rFonts w:ascii="宋体" w:hAnsi="宋体" w:eastAsia="宋体"/>
                <w:sz w:val="16"/>
              </w:rPr>
              <w:t>该项目总投资26万元，为本级财力资金，主要用于全年召开25场次会议，保障就业经办大厅1个，提供就业岗位17000个，确保保障大学生档案转递及灵活就业人员退休及各项活动顺利开展，项目的实施确保社保大厅环境良好且运转正常，推进全方位公共就业服务，</w:t>
            </w:r>
            <w:r>
              <w:rPr>
                <w:rFonts w:hint="eastAsia" w:ascii="宋体" w:hAnsi="宋体"/>
                <w:sz w:val="16"/>
                <w:lang w:eastAsia="zh-CN"/>
              </w:rPr>
              <w:t>保障</w:t>
            </w:r>
            <w:r>
              <w:rPr>
                <w:rFonts w:ascii="宋体" w:hAnsi="宋体" w:eastAsia="宋体"/>
                <w:sz w:val="16"/>
              </w:rPr>
              <w:t>促进更加充分更高质量就业，为劳动者求职就业和用人单位用工搭建平台。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5D8547">
            <w:pPr>
              <w:jc w:val="both"/>
            </w:pPr>
            <w:r>
              <w:rPr>
                <w:rFonts w:ascii="宋体" w:hAnsi="宋体" w:eastAsia="宋体"/>
                <w:sz w:val="16"/>
              </w:rPr>
              <w:t>2024年推进全方位公共就业服务项目共执行26万元，执行率为100%，我中心利用该项目保障公共就业服务大厅1个，正常开展大学生档案转递工作及灵活就业人员退休工作接收大学生档案3250份，办理灵活就业人员退休63人。组织召开线下会议36场次，助力农村脱贫家庭收入和生活品质提升，推动巩固拓展脱贫攻坚成果与乡村振兴相衔接，进一步促进南疆就业工程。</w:t>
            </w:r>
          </w:p>
        </w:tc>
      </w:tr>
      <w:tr w14:paraId="2F20AF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9D2F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DE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8A03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67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4D6F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03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1B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C72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C08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C73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A4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AB1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CB8CC">
            <w:pPr>
              <w:jc w:val="center"/>
            </w:pPr>
            <w:r>
              <w:rPr>
                <w:rFonts w:ascii="宋体" w:hAnsi="宋体" w:eastAsia="宋体"/>
                <w:sz w:val="16"/>
              </w:rPr>
              <w:t>偏差原因分析及改进措施</w:t>
            </w:r>
          </w:p>
        </w:tc>
      </w:tr>
      <w:tr w14:paraId="50CD5D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8C7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ED0C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17F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C222">
            <w:pPr>
              <w:jc w:val="center"/>
            </w:pPr>
            <w:r>
              <w:rPr>
                <w:rFonts w:ascii="宋体" w:hAnsi="宋体" w:eastAsia="宋体"/>
                <w:sz w:val="16"/>
              </w:rPr>
              <w:t>召开会议场次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EB0D">
            <w:pPr>
              <w:jc w:val="center"/>
            </w:pPr>
            <w:r>
              <w:rPr>
                <w:rFonts w:ascii="宋体" w:hAnsi="宋体" w:eastAsia="宋体"/>
                <w:sz w:val="16"/>
              </w:rPr>
              <w:t>&gt;=25场次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76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E199">
            <w:pPr>
              <w:jc w:val="center"/>
            </w:pPr>
            <w:r>
              <w:rPr>
                <w:rFonts w:ascii="宋体" w:hAnsi="宋体" w:eastAsia="宋体"/>
                <w:sz w:val="16"/>
              </w:rPr>
              <w:t>25场次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7B9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AA9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75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9EB5">
            <w:pPr>
              <w:jc w:val="center"/>
            </w:pPr>
            <w:r>
              <w:rPr>
                <w:rFonts w:ascii="宋体" w:hAnsi="宋体" w:eastAsia="宋体"/>
                <w:sz w:val="16"/>
              </w:rPr>
              <w:t>=36场次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154D">
            <w:pPr>
              <w:jc w:val="center"/>
            </w:pPr>
            <w:r>
              <w:rPr>
                <w:rFonts w:ascii="宋体" w:hAnsi="宋体" w:eastAsia="宋体"/>
                <w:sz w:val="16"/>
              </w:rPr>
              <w:t>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88E66">
            <w:pPr>
              <w:jc w:val="center"/>
            </w:pPr>
            <w:r>
              <w:rPr>
                <w:rFonts w:ascii="宋体" w:hAnsi="宋体" w:eastAsia="宋体"/>
                <w:sz w:val="16"/>
              </w:rPr>
              <w:t>偏差原因：在设置绩效目标</w:t>
            </w:r>
            <w:r>
              <w:rPr>
                <w:rFonts w:hint="eastAsia" w:ascii="宋体" w:hAnsi="宋体"/>
                <w:sz w:val="16"/>
                <w:lang w:eastAsia="zh-CN"/>
              </w:rPr>
              <w:t>时</w:t>
            </w:r>
            <w:r>
              <w:rPr>
                <w:rFonts w:ascii="宋体" w:hAnsi="宋体" w:eastAsia="宋体"/>
                <w:sz w:val="16"/>
              </w:rPr>
              <w:t>未考虑到线上会议的情况。改进措施：今后在设置绩效目标时要全面考虑相关因素</w:t>
            </w:r>
          </w:p>
        </w:tc>
      </w:tr>
      <w:tr w14:paraId="7EA3ED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2F7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5E9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83F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DA03">
            <w:pPr>
              <w:jc w:val="center"/>
            </w:pPr>
            <w:r>
              <w:rPr>
                <w:rFonts w:ascii="宋体" w:hAnsi="宋体" w:eastAsia="宋体"/>
                <w:sz w:val="16"/>
              </w:rPr>
              <w:t>保障服务大厅正常运转月数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A86B2">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72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4D7F">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9C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26D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15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C77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899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07D07">
            <w:pPr>
              <w:jc w:val="center"/>
            </w:pPr>
          </w:p>
        </w:tc>
      </w:tr>
      <w:tr w14:paraId="6E253E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05B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4F1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4A8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7840D">
            <w:pPr>
              <w:jc w:val="center"/>
            </w:pPr>
            <w:r>
              <w:rPr>
                <w:rFonts w:ascii="宋体" w:hAnsi="宋体" w:eastAsia="宋体"/>
                <w:sz w:val="16"/>
              </w:rPr>
              <w:t>提供岗位数（个）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FB8CF">
            <w:pPr>
              <w:jc w:val="center"/>
            </w:pPr>
            <w:r>
              <w:rPr>
                <w:rFonts w:ascii="宋体" w:hAnsi="宋体" w:eastAsia="宋体"/>
                <w:sz w:val="16"/>
              </w:rPr>
              <w:t>&gt;=17000个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0D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A0649">
            <w:pPr>
              <w:jc w:val="center"/>
            </w:pPr>
            <w:r>
              <w:rPr>
                <w:rFonts w:ascii="宋体" w:hAnsi="宋体" w:eastAsia="宋体"/>
                <w:sz w:val="16"/>
              </w:rPr>
              <w:t>35713个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4F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AAB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66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DA2DE">
            <w:pPr>
              <w:jc w:val="center"/>
            </w:pPr>
            <w:r>
              <w:rPr>
                <w:rFonts w:ascii="宋体" w:hAnsi="宋体" w:eastAsia="宋体"/>
                <w:sz w:val="16"/>
              </w:rPr>
              <w:t>=19458个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3E9F">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D57DE">
            <w:pPr>
              <w:jc w:val="center"/>
            </w:pPr>
            <w:r>
              <w:rPr>
                <w:rFonts w:ascii="宋体" w:hAnsi="宋体" w:eastAsia="宋体"/>
                <w:sz w:val="16"/>
              </w:rPr>
              <w:t>偏差原因：2024年喀什地区企业需求较大，超出预期。改进措施：今后在遇到与目标设置出现偏差较大的情况应及时调整</w:t>
            </w:r>
          </w:p>
        </w:tc>
      </w:tr>
      <w:tr w14:paraId="21818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1FC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0D2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73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044B">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BEB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15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D1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8D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C7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6F8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56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CDF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94641">
            <w:pPr>
              <w:jc w:val="center"/>
            </w:pPr>
          </w:p>
        </w:tc>
      </w:tr>
      <w:tr w14:paraId="50FB6E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51B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0E3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DD0D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94B9">
            <w:pPr>
              <w:jc w:val="center"/>
            </w:pPr>
            <w:r>
              <w:rPr>
                <w:rFonts w:ascii="宋体" w:hAnsi="宋体" w:eastAsia="宋体"/>
                <w:sz w:val="16"/>
              </w:rPr>
              <w:t>会议召开及时率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74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80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256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66F2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F31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AC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0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D0F3">
            <w:pPr>
              <w:jc w:val="center"/>
            </w:pPr>
            <w:r>
              <w:rPr>
                <w:rFonts w:ascii="宋体" w:hAnsi="宋体" w:eastAsia="宋体"/>
                <w:sz w:val="16"/>
              </w:rPr>
              <w:t>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7611C">
            <w:pPr>
              <w:jc w:val="center"/>
            </w:pPr>
            <w:r>
              <w:rPr>
                <w:rFonts w:ascii="宋体" w:hAnsi="宋体" w:eastAsia="宋体"/>
                <w:sz w:val="16"/>
              </w:rPr>
              <w:t>偏差原因：由于在设置绩效目标时考虑到喀什为旅游热门城市，不能及时开展。改进措施：今后在设置绩效目标时应更加精准</w:t>
            </w:r>
          </w:p>
        </w:tc>
      </w:tr>
      <w:tr w14:paraId="1BAE4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964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E11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F25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A16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2D1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D1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7C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C29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B68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36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35F69">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4EF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C3F54">
            <w:pPr>
              <w:jc w:val="center"/>
            </w:pPr>
            <w:r>
              <w:rPr>
                <w:rFonts w:ascii="宋体" w:hAnsi="宋体" w:eastAsia="宋体"/>
                <w:sz w:val="16"/>
              </w:rPr>
              <w:t>偏差原因：由于在设置绩效目标时考虑到喀什为旅游热门城市，不能及时开展。改进措施：今后在设置绩效目标时应更加精准</w:t>
            </w:r>
          </w:p>
        </w:tc>
      </w:tr>
      <w:tr w14:paraId="24CA2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E68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AFCF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21B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E553">
            <w:pPr>
              <w:jc w:val="center"/>
            </w:pPr>
            <w:r>
              <w:rPr>
                <w:rFonts w:ascii="宋体" w:hAnsi="宋体" w:eastAsia="宋体"/>
                <w:sz w:val="16"/>
              </w:rPr>
              <w:t>平均每场会议费用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F19C">
            <w:pPr>
              <w:jc w:val="center"/>
            </w:pPr>
            <w:r>
              <w:rPr>
                <w:rFonts w:ascii="宋体" w:hAnsi="宋体" w:eastAsia="宋体"/>
                <w:sz w:val="16"/>
              </w:rPr>
              <w:t>&lt;=0.80万元/场次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367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FE66B">
            <w:pPr>
              <w:jc w:val="center"/>
            </w:pPr>
            <w:r>
              <w:rPr>
                <w:rFonts w:ascii="宋体" w:hAnsi="宋体" w:eastAsia="宋体"/>
                <w:sz w:val="16"/>
              </w:rPr>
              <w:t>0.80万元/场次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42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94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1C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C7AF">
            <w:pPr>
              <w:jc w:val="center"/>
            </w:pPr>
            <w:r>
              <w:rPr>
                <w:rFonts w:ascii="宋体" w:hAnsi="宋体" w:eastAsia="宋体"/>
                <w:sz w:val="16"/>
              </w:rPr>
              <w:t>=0.571万元/场次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2DBA">
            <w:pPr>
              <w:jc w:val="center"/>
            </w:pPr>
            <w:r>
              <w:rPr>
                <w:rFonts w:ascii="宋体" w:hAnsi="宋体" w:eastAsia="宋体"/>
                <w:sz w:val="16"/>
              </w:rPr>
              <w:t>3.09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77A37">
            <w:pPr>
              <w:jc w:val="center"/>
            </w:pPr>
            <w:r>
              <w:rPr>
                <w:rFonts w:ascii="宋体" w:hAnsi="宋体" w:eastAsia="宋体"/>
                <w:sz w:val="16"/>
              </w:rPr>
              <w:t>偏差原因：由于上级部门任务数增加，只能减少每场会议的成本。改进措施：在设置绩效目标时要综合考虑相关因素</w:t>
            </w:r>
          </w:p>
        </w:tc>
      </w:tr>
      <w:tr w14:paraId="570294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A30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9CA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E52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3095">
            <w:pPr>
              <w:jc w:val="center"/>
            </w:pPr>
            <w:r>
              <w:rPr>
                <w:rFonts w:ascii="宋体" w:hAnsi="宋体" w:eastAsia="宋体"/>
                <w:sz w:val="16"/>
              </w:rPr>
              <w:t>平均每月保障服务大厅运转费用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CFE7">
            <w:pPr>
              <w:jc w:val="center"/>
            </w:pPr>
            <w:r>
              <w:rPr>
                <w:rFonts w:ascii="宋体" w:hAnsi="宋体" w:eastAsia="宋体"/>
                <w:sz w:val="16"/>
              </w:rPr>
              <w:t>&lt;=0.50万元/月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6E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151D">
            <w:pPr>
              <w:jc w:val="center"/>
            </w:pPr>
            <w:r>
              <w:rPr>
                <w:rFonts w:ascii="宋体" w:hAnsi="宋体" w:eastAsia="宋体"/>
                <w:sz w:val="16"/>
              </w:rPr>
              <w:t>0.50万元/月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1F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A8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7B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FC61">
            <w:pPr>
              <w:jc w:val="center"/>
            </w:pPr>
            <w:r>
              <w:rPr>
                <w:rFonts w:ascii="宋体" w:hAnsi="宋体" w:eastAsia="宋体"/>
                <w:sz w:val="16"/>
              </w:rPr>
              <w:t>=0.5万元/月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BC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39CDD">
            <w:pPr>
              <w:jc w:val="center"/>
            </w:pPr>
          </w:p>
        </w:tc>
      </w:tr>
      <w:tr w14:paraId="4E709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F3C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960F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F2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CF88">
            <w:pPr>
              <w:jc w:val="center"/>
            </w:pPr>
            <w:r>
              <w:rPr>
                <w:rFonts w:ascii="宋体" w:hAnsi="宋体" w:eastAsia="宋体"/>
                <w:sz w:val="16"/>
              </w:rPr>
              <w:t>提高喀什地区重点群体就业率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ED7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6BA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C672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4B5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19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FE3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29E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82FE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1F44A">
            <w:pPr>
              <w:jc w:val="center"/>
            </w:pPr>
          </w:p>
        </w:tc>
      </w:tr>
      <w:tr w14:paraId="280F18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3B5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63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48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7DEE3">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10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58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FC1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E2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96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69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F8E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D9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AFF72">
            <w:pPr>
              <w:jc w:val="center"/>
            </w:pPr>
          </w:p>
        </w:tc>
      </w:tr>
      <w:tr w14:paraId="7EC8659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5F7D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D85D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BAF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2489">
            <w:pPr>
              <w:jc w:val="center"/>
            </w:pPr>
            <w:r>
              <w:rPr>
                <w:rFonts w:ascii="宋体" w:hAnsi="宋体" w:eastAsia="宋体"/>
                <w:sz w:val="16"/>
              </w:rPr>
              <w:t>84.2分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1A8BA3"/>
        </w:tc>
      </w:tr>
    </w:tbl>
    <w:p w14:paraId="614512F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4B81ED2">
        <w:tblPrEx>
          <w:tblCellMar>
            <w:top w:w="0" w:type="dxa"/>
            <w:left w:w="108" w:type="dxa"/>
            <w:bottom w:w="0" w:type="dxa"/>
            <w:right w:w="108" w:type="dxa"/>
          </w:tblCellMar>
        </w:tblPrEx>
        <w:tc>
          <w:tcPr>
            <w:tcW w:w="8848" w:type="dxa"/>
            <w:gridSpan w:val="14"/>
            <w:vAlign w:val="center"/>
          </w:tcPr>
          <w:p w14:paraId="59497422">
            <w:pPr>
              <w:jc w:val="center"/>
            </w:pPr>
            <w:r>
              <w:rPr>
                <w:rFonts w:ascii="宋体" w:hAnsi="宋体" w:eastAsia="宋体"/>
                <w:sz w:val="24"/>
              </w:rPr>
              <w:t>项目支出绩效自评表</w:t>
            </w:r>
          </w:p>
        </w:tc>
      </w:tr>
      <w:tr w14:paraId="6036008F">
        <w:tblPrEx>
          <w:tblCellMar>
            <w:top w:w="0" w:type="dxa"/>
            <w:left w:w="108" w:type="dxa"/>
            <w:bottom w:w="0" w:type="dxa"/>
            <w:right w:w="108" w:type="dxa"/>
          </w:tblCellMar>
        </w:tblPrEx>
        <w:tc>
          <w:tcPr>
            <w:tcW w:w="8848" w:type="dxa"/>
            <w:gridSpan w:val="14"/>
            <w:vAlign w:val="center"/>
          </w:tcPr>
          <w:p w14:paraId="4CE8C995">
            <w:pPr>
              <w:jc w:val="center"/>
            </w:pPr>
            <w:r>
              <w:rPr>
                <w:rFonts w:ascii="宋体" w:hAnsi="宋体" w:eastAsia="宋体"/>
                <w:sz w:val="24"/>
              </w:rPr>
              <w:t>(2024年度)</w:t>
            </w:r>
          </w:p>
        </w:tc>
      </w:tr>
      <w:tr w14:paraId="1E955C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B501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D213CC">
            <w:pPr>
              <w:jc w:val="center"/>
            </w:pPr>
            <w:r>
              <w:rPr>
                <w:rFonts w:ascii="宋体" w:hAnsi="宋体" w:eastAsia="宋体"/>
                <w:sz w:val="16"/>
              </w:rPr>
              <w:t>2024年自治区公共就业服务补助项目</w:t>
            </w:r>
          </w:p>
        </w:tc>
      </w:tr>
      <w:tr w14:paraId="52E136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37E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A6A65">
            <w:pPr>
              <w:jc w:val="center"/>
            </w:pPr>
            <w:r>
              <w:rPr>
                <w:rFonts w:ascii="宋体" w:hAnsi="宋体" w:eastAsia="宋体"/>
                <w:sz w:val="16"/>
              </w:rPr>
              <w:t>喀什地区人力资源和社会保障局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7C90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CA89D0">
            <w:pPr>
              <w:jc w:val="center"/>
            </w:pPr>
            <w:r>
              <w:rPr>
                <w:rFonts w:ascii="宋体" w:hAnsi="宋体" w:eastAsia="宋体"/>
                <w:sz w:val="16"/>
              </w:rPr>
              <w:t>喀什地区培训就业服务中心</w:t>
            </w:r>
          </w:p>
        </w:tc>
      </w:tr>
      <w:tr w14:paraId="6208D0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71E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0034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705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066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A28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228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09D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E9DF4">
            <w:pPr>
              <w:jc w:val="center"/>
            </w:pPr>
            <w:r>
              <w:rPr>
                <w:rFonts w:ascii="宋体" w:hAnsi="宋体" w:eastAsia="宋体"/>
                <w:sz w:val="16"/>
              </w:rPr>
              <w:t>得分</w:t>
            </w:r>
          </w:p>
        </w:tc>
      </w:tr>
      <w:tr w14:paraId="56BDAB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A7F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D2BF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46E34">
            <w:pPr>
              <w:jc w:val="center"/>
            </w:pPr>
            <w:r>
              <w:rPr>
                <w:rFonts w:ascii="宋体" w:hAnsi="宋体" w:eastAsia="宋体"/>
                <w:sz w:val="16"/>
              </w:rPr>
              <w:t>78.33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F0DC2">
            <w:pPr>
              <w:jc w:val="center"/>
            </w:pPr>
            <w:r>
              <w:rPr>
                <w:rFonts w:ascii="宋体" w:hAnsi="宋体" w:eastAsia="宋体"/>
                <w:sz w:val="16"/>
              </w:rPr>
              <w:t>78.33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12030">
            <w:pPr>
              <w:jc w:val="center"/>
            </w:pPr>
            <w:r>
              <w:rPr>
                <w:rFonts w:ascii="宋体" w:hAnsi="宋体" w:eastAsia="宋体"/>
                <w:sz w:val="16"/>
              </w:rPr>
              <w:t>78.33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F2A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8085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F8854">
            <w:pPr>
              <w:jc w:val="center"/>
            </w:pPr>
            <w:r>
              <w:rPr>
                <w:rFonts w:ascii="宋体" w:hAnsi="宋体" w:eastAsia="宋体"/>
                <w:sz w:val="16"/>
              </w:rPr>
              <w:t>10.00分</w:t>
            </w:r>
          </w:p>
        </w:tc>
      </w:tr>
      <w:tr w14:paraId="6EEC95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6A3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785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96DDF">
            <w:pPr>
              <w:jc w:val="center"/>
            </w:pPr>
            <w:r>
              <w:rPr>
                <w:rFonts w:ascii="宋体" w:hAnsi="宋体" w:eastAsia="宋体"/>
                <w:sz w:val="16"/>
              </w:rPr>
              <w:t>78.33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1148D">
            <w:pPr>
              <w:jc w:val="center"/>
            </w:pPr>
            <w:r>
              <w:rPr>
                <w:rFonts w:ascii="宋体" w:hAnsi="宋体" w:eastAsia="宋体"/>
                <w:sz w:val="16"/>
              </w:rPr>
              <w:t>78.33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A9577">
            <w:pPr>
              <w:jc w:val="center"/>
            </w:pPr>
            <w:r>
              <w:rPr>
                <w:rFonts w:ascii="宋体" w:hAnsi="宋体" w:eastAsia="宋体"/>
                <w:sz w:val="16"/>
              </w:rPr>
              <w:t>78.33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10B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852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A311">
            <w:pPr>
              <w:jc w:val="center"/>
            </w:pPr>
            <w:r>
              <w:rPr>
                <w:rFonts w:ascii="宋体" w:hAnsi="宋体" w:eastAsia="宋体"/>
                <w:sz w:val="16"/>
              </w:rPr>
              <w:t>—</w:t>
            </w:r>
          </w:p>
        </w:tc>
      </w:tr>
      <w:tr w14:paraId="756A8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E3B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730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2CC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AD4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D63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93E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1A4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5CA4">
            <w:pPr>
              <w:jc w:val="center"/>
            </w:pPr>
            <w:r>
              <w:rPr>
                <w:rFonts w:ascii="宋体" w:hAnsi="宋体" w:eastAsia="宋体"/>
                <w:sz w:val="16"/>
              </w:rPr>
              <w:t>—</w:t>
            </w:r>
          </w:p>
        </w:tc>
      </w:tr>
      <w:tr w14:paraId="7A0CE7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A89E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FF9C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6616E0">
            <w:pPr>
              <w:jc w:val="center"/>
            </w:pPr>
            <w:r>
              <w:rPr>
                <w:rFonts w:ascii="宋体" w:hAnsi="宋体" w:eastAsia="宋体"/>
                <w:sz w:val="16"/>
              </w:rPr>
              <w:t>实际完成情况</w:t>
            </w:r>
          </w:p>
        </w:tc>
      </w:tr>
      <w:tr w14:paraId="0A534B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68C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E030A5">
            <w:pPr>
              <w:jc w:val="both"/>
            </w:pPr>
            <w:r>
              <w:rPr>
                <w:rFonts w:ascii="宋体" w:hAnsi="宋体" w:eastAsia="宋体"/>
                <w:sz w:val="16"/>
              </w:rPr>
              <w:t>该项目共计78.33万元，《关于开展自治区公共就业服务业务能力提升培训工作的通知》（新人社函〔2023〕14号）、《关于开展2024年自治区24项</w:t>
            </w:r>
            <w:r>
              <w:rPr>
                <w:rFonts w:hint="eastAsia" w:ascii="宋体" w:hAnsi="宋体"/>
                <w:sz w:val="16"/>
                <w:lang w:eastAsia="zh-CN"/>
              </w:rPr>
              <w:t>公共</w:t>
            </w:r>
            <w:r>
              <w:rPr>
                <w:rFonts w:ascii="宋体" w:hAnsi="宋体" w:eastAsia="宋体"/>
                <w:sz w:val="16"/>
              </w:rPr>
              <w:t>就业服务专项活动的通知》（新人社函〔2024〕1号 ）要求，</w:t>
            </w:r>
            <w:r>
              <w:rPr>
                <w:rFonts w:hint="eastAsia" w:ascii="宋体" w:hAnsi="宋体"/>
                <w:sz w:val="16"/>
                <w:lang w:eastAsia="zh-CN"/>
              </w:rPr>
              <w:t>全方位</w:t>
            </w:r>
            <w:r>
              <w:rPr>
                <w:rFonts w:ascii="宋体" w:hAnsi="宋体" w:eastAsia="宋体"/>
                <w:sz w:val="16"/>
              </w:rPr>
              <w:t>建设人力资源供需平台，举办“15+N”项公共就业服务专项活动，完成年度活动场次目标任务，持续实施高校毕业生创业圆满计划预计开展专场公共就业服务活动24场次，业务能力提升培训人数200人，开展创业培训人数150人，推进全方位公共就业服务</w:t>
            </w:r>
            <w:r>
              <w:rPr>
                <w:rFonts w:hint="eastAsia" w:ascii="宋体" w:hAnsi="宋体"/>
                <w:sz w:val="16"/>
                <w:lang w:eastAsia="zh-CN"/>
              </w:rPr>
              <w:t>，确</w:t>
            </w:r>
            <w:r>
              <w:rPr>
                <w:rFonts w:ascii="宋体" w:hAnsi="宋体" w:eastAsia="宋体"/>
                <w:sz w:val="16"/>
              </w:rPr>
              <w:t>保促进更加充分更高质量就业，为劳动者求职就业和用人单位用工搭建平台。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56AAAF">
            <w:pPr>
              <w:jc w:val="both"/>
            </w:pPr>
            <w:r>
              <w:rPr>
                <w:rFonts w:ascii="宋体" w:hAnsi="宋体" w:eastAsia="宋体"/>
                <w:sz w:val="16"/>
              </w:rPr>
              <w:t>2024年自治区公共就业服务项目共执行78.33万，执行率为100%，我中心利用该项目共召开线上线下会议24场次，累计发布就业岗位信</w:t>
            </w:r>
            <w:bookmarkStart w:id="0" w:name="_GoBack"/>
            <w:bookmarkEnd w:id="0"/>
            <w:r>
              <w:rPr>
                <w:rFonts w:ascii="宋体" w:hAnsi="宋体" w:eastAsia="宋体"/>
                <w:sz w:val="16"/>
              </w:rPr>
              <w:t>息52期，业务能力提升培训213人，创业培训150人，有效指导和督促各县市开展现场活动，同步组织12县市开展网络会议和直播带岗，切实将岗位送到群众手上，</w:t>
            </w:r>
            <w:r>
              <w:rPr>
                <w:rFonts w:hint="eastAsia" w:ascii="宋体" w:hAnsi="宋体"/>
                <w:sz w:val="16"/>
                <w:lang w:eastAsia="zh-CN"/>
              </w:rPr>
              <w:t>提高</w:t>
            </w:r>
            <w:r>
              <w:rPr>
                <w:rFonts w:ascii="宋体" w:hAnsi="宋体" w:eastAsia="宋体"/>
                <w:sz w:val="16"/>
              </w:rPr>
              <w:t>了公共就业服务人员的业务水平，为喀什地区创业带动就业工作助力添彩。</w:t>
            </w:r>
          </w:p>
        </w:tc>
      </w:tr>
      <w:tr w14:paraId="7A3FB1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5603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A9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920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10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3CA2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9C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77C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904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8BA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D1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44E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B6C3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2A079">
            <w:pPr>
              <w:jc w:val="center"/>
            </w:pPr>
            <w:r>
              <w:rPr>
                <w:rFonts w:ascii="宋体" w:hAnsi="宋体" w:eastAsia="宋体"/>
                <w:sz w:val="16"/>
              </w:rPr>
              <w:t>偏差原因分析及改进措施</w:t>
            </w:r>
          </w:p>
        </w:tc>
      </w:tr>
      <w:tr w14:paraId="3506EA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C2D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2DB8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49E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F0DC">
            <w:pPr>
              <w:jc w:val="center"/>
            </w:pPr>
            <w:r>
              <w:rPr>
                <w:rFonts w:ascii="宋体" w:hAnsi="宋体" w:eastAsia="宋体"/>
                <w:sz w:val="16"/>
              </w:rPr>
              <w:t>开展公共就业服务活动场次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005F">
            <w:pPr>
              <w:jc w:val="center"/>
            </w:pPr>
            <w:r>
              <w:rPr>
                <w:rFonts w:ascii="宋体" w:hAnsi="宋体" w:eastAsia="宋体"/>
                <w:sz w:val="16"/>
              </w:rPr>
              <w:t>&gt;=24场次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41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ED75">
            <w:pPr>
              <w:jc w:val="center"/>
            </w:pPr>
            <w:r>
              <w:rPr>
                <w:rFonts w:ascii="宋体" w:hAnsi="宋体" w:eastAsia="宋体"/>
                <w:sz w:val="16"/>
              </w:rPr>
              <w: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A5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C8F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CD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9F97">
            <w:pPr>
              <w:jc w:val="center"/>
            </w:pPr>
            <w:r>
              <w:rPr>
                <w:rFonts w:ascii="宋体" w:hAnsi="宋体" w:eastAsia="宋体"/>
                <w:sz w:val="16"/>
              </w:rPr>
              <w:t>=24场次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D03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886A5">
            <w:pPr>
              <w:jc w:val="center"/>
            </w:pPr>
          </w:p>
        </w:tc>
      </w:tr>
      <w:tr w14:paraId="2B491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409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4DD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C6B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130F">
            <w:pPr>
              <w:jc w:val="center"/>
            </w:pPr>
            <w:r>
              <w:rPr>
                <w:rFonts w:ascii="宋体" w:hAnsi="宋体" w:eastAsia="宋体"/>
                <w:sz w:val="16"/>
              </w:rPr>
              <w:t>业务能力提升培训人数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C14FA">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C44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B5EB">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264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B5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4FF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356A">
            <w:pPr>
              <w:jc w:val="center"/>
            </w:pPr>
            <w:r>
              <w:rPr>
                <w:rFonts w:ascii="宋体" w:hAnsi="宋体" w:eastAsia="宋体"/>
                <w:sz w:val="16"/>
              </w:rPr>
              <w:t>=213人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3951E">
            <w:pPr>
              <w:jc w:val="center"/>
            </w:pPr>
            <w:r>
              <w:rPr>
                <w:rFonts w:ascii="宋体" w:hAnsi="宋体" w:eastAsia="宋体"/>
                <w:sz w:val="16"/>
              </w:rPr>
              <w:t>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38BD8">
            <w:pPr>
              <w:jc w:val="center"/>
            </w:pPr>
            <w:r>
              <w:rPr>
                <w:rFonts w:ascii="宋体" w:hAnsi="宋体" w:eastAsia="宋体"/>
                <w:sz w:val="16"/>
              </w:rPr>
              <w:t>偏差原因:项目在执行过程中，三方询价时中标企业能够提供更多人员的培训服务，故培训人员有所增加，改进措施：在设置绩效目标时应充分考虑市场因素。</w:t>
            </w:r>
          </w:p>
        </w:tc>
      </w:tr>
      <w:tr w14:paraId="698195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895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8E0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710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2466">
            <w:pPr>
              <w:jc w:val="center"/>
            </w:pPr>
            <w:r>
              <w:rPr>
                <w:rFonts w:ascii="宋体" w:hAnsi="宋体" w:eastAsia="宋体"/>
                <w:sz w:val="16"/>
              </w:rPr>
              <w:t>创业培训人数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103F7">
            <w:pPr>
              <w:jc w:val="center"/>
            </w:pPr>
            <w:r>
              <w:rPr>
                <w:rFonts w:ascii="宋体" w:hAnsi="宋体" w:eastAsia="宋体"/>
                <w:sz w:val="16"/>
              </w:rPr>
              <w:t>&gt;=150人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BFC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6669">
            <w:pPr>
              <w:jc w:val="center"/>
            </w:pPr>
            <w:r>
              <w:rPr>
                <w:rFonts w:ascii="宋体" w:hAnsi="宋体" w:eastAsia="宋体"/>
                <w:sz w:val="16"/>
              </w:rPr>
              <w:t>149人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DB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107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B77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A95E">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8CB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47EC8">
            <w:pPr>
              <w:jc w:val="center"/>
            </w:pPr>
          </w:p>
        </w:tc>
      </w:tr>
      <w:tr w14:paraId="2D21F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8C3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79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33F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4B15">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5E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9C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79A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74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3AA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12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615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67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9A412">
            <w:pPr>
              <w:jc w:val="center"/>
            </w:pPr>
          </w:p>
        </w:tc>
      </w:tr>
      <w:tr w14:paraId="34CF0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2A9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F28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CFE3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844D">
            <w:pPr>
              <w:jc w:val="center"/>
            </w:pPr>
            <w:r>
              <w:rPr>
                <w:rFonts w:ascii="宋体" w:hAnsi="宋体" w:eastAsia="宋体"/>
                <w:sz w:val="16"/>
              </w:rPr>
              <w:t>培训及时率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128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94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A8F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107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7F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FC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DD6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A471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BE8CE">
            <w:pPr>
              <w:jc w:val="center"/>
            </w:pPr>
          </w:p>
        </w:tc>
      </w:tr>
      <w:tr w14:paraId="57F0D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BD0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196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394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CC20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A4B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37A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38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3F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EE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56F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27C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6DDC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4351D">
            <w:pPr>
              <w:jc w:val="center"/>
            </w:pPr>
          </w:p>
        </w:tc>
      </w:tr>
      <w:tr w14:paraId="7DB8F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818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5589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C79E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C5E7">
            <w:pPr>
              <w:jc w:val="center"/>
            </w:pPr>
            <w:r>
              <w:rPr>
                <w:rFonts w:ascii="宋体" w:hAnsi="宋体" w:eastAsia="宋体"/>
                <w:sz w:val="16"/>
              </w:rPr>
              <w:t>公共就业服务活动补助费用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5D608">
            <w:pPr>
              <w:jc w:val="center"/>
            </w:pPr>
            <w:r>
              <w:rPr>
                <w:rFonts w:ascii="宋体" w:hAnsi="宋体" w:eastAsia="宋体"/>
                <w:sz w:val="16"/>
              </w:rPr>
              <w:t>&lt;=5.10万元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9BC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710FE">
            <w:pPr>
              <w:jc w:val="center"/>
            </w:pPr>
            <w:r>
              <w:rPr>
                <w:rFonts w:ascii="宋体" w:hAnsi="宋体" w:eastAsia="宋体"/>
                <w:sz w:val="16"/>
              </w:rPr>
              <w:t>5.10万元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ED67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1B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E9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9671">
            <w:pPr>
              <w:jc w:val="center"/>
            </w:pPr>
            <w:r>
              <w:rPr>
                <w:rFonts w:ascii="宋体" w:hAnsi="宋体" w:eastAsia="宋体"/>
                <w:sz w:val="16"/>
              </w:rPr>
              <w:t>=5.1万元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969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B9453">
            <w:pPr>
              <w:jc w:val="center"/>
            </w:pPr>
          </w:p>
        </w:tc>
      </w:tr>
      <w:tr w14:paraId="3861D6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6CA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21A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AD3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CB4D">
            <w:pPr>
              <w:jc w:val="center"/>
            </w:pPr>
            <w:r>
              <w:rPr>
                <w:rFonts w:ascii="宋体" w:hAnsi="宋体" w:eastAsia="宋体"/>
                <w:sz w:val="16"/>
              </w:rPr>
              <w:t>自治区专场会议主场补助费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2089">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E8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521D">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501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AD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75B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C7D8F">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26A4">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6238C">
            <w:pPr>
              <w:jc w:val="center"/>
            </w:pPr>
          </w:p>
        </w:tc>
      </w:tr>
      <w:tr w14:paraId="55C9F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3C3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E2A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1AC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78078">
            <w:pPr>
              <w:jc w:val="center"/>
            </w:pPr>
            <w:r>
              <w:rPr>
                <w:rFonts w:ascii="宋体" w:hAnsi="宋体" w:eastAsia="宋体"/>
                <w:sz w:val="16"/>
              </w:rPr>
              <w:t>地州公共就业活动奖励经费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6E57">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01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A1AF">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BD86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49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63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7345">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142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E4B4B">
            <w:pPr>
              <w:jc w:val="center"/>
            </w:pPr>
          </w:p>
        </w:tc>
      </w:tr>
      <w:tr w14:paraId="2F184F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7D5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CDA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8FD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0CD7">
            <w:pPr>
              <w:jc w:val="center"/>
            </w:pPr>
            <w:r>
              <w:rPr>
                <w:rFonts w:ascii="宋体" w:hAnsi="宋体" w:eastAsia="宋体"/>
                <w:sz w:val="16"/>
              </w:rPr>
              <w:t>业务能力提升费用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FFC29">
            <w:pPr>
              <w:jc w:val="center"/>
            </w:pPr>
            <w:r>
              <w:rPr>
                <w:rFonts w:ascii="宋体" w:hAnsi="宋体" w:eastAsia="宋体"/>
                <w:sz w:val="16"/>
              </w:rPr>
              <w:t>&lt;=8.56万元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8C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DEE2">
            <w:pPr>
              <w:jc w:val="center"/>
            </w:pPr>
            <w:r>
              <w:rPr>
                <w:rFonts w:ascii="宋体" w:hAnsi="宋体" w:eastAsia="宋体"/>
                <w:sz w:val="16"/>
              </w:rPr>
              <w:t>8.56万元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492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CA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8C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8018C">
            <w:pPr>
              <w:jc w:val="center"/>
            </w:pPr>
            <w:r>
              <w:rPr>
                <w:rFonts w:ascii="宋体" w:hAnsi="宋体" w:eastAsia="宋体"/>
                <w:sz w:val="16"/>
              </w:rPr>
              <w:t>=8.56万元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6DDE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1B637">
            <w:pPr>
              <w:jc w:val="center"/>
            </w:pPr>
          </w:p>
        </w:tc>
      </w:tr>
      <w:tr w14:paraId="7684E9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1BE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2E0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BBB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2A7D">
            <w:pPr>
              <w:jc w:val="center"/>
            </w:pPr>
            <w:r>
              <w:rPr>
                <w:rFonts w:ascii="宋体" w:hAnsi="宋体" w:eastAsia="宋体"/>
                <w:sz w:val="16"/>
              </w:rPr>
              <w:t>经营性人力资源服务机构促进就业服务活动费用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38438">
            <w:pPr>
              <w:jc w:val="center"/>
            </w:pPr>
            <w:r>
              <w:rPr>
                <w:rFonts w:ascii="宋体" w:hAnsi="宋体" w:eastAsia="宋体"/>
                <w:sz w:val="16"/>
              </w:rPr>
              <w:t>&lt;=23万元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A8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6942">
            <w:pPr>
              <w:jc w:val="center"/>
            </w:pPr>
            <w:r>
              <w:rPr>
                <w:rFonts w:ascii="宋体" w:hAnsi="宋体" w:eastAsia="宋体"/>
                <w:sz w:val="16"/>
              </w:rPr>
              <w: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5D3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7B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EC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962D3">
            <w:pPr>
              <w:jc w:val="center"/>
            </w:pPr>
            <w:r>
              <w:rPr>
                <w:rFonts w:ascii="宋体" w:hAnsi="宋体" w:eastAsia="宋体"/>
                <w:sz w:val="16"/>
              </w:rPr>
              <w: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09C5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AD680">
            <w:pPr>
              <w:jc w:val="center"/>
            </w:pPr>
          </w:p>
        </w:tc>
      </w:tr>
      <w:tr w14:paraId="115301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FFC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000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40A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4038">
            <w:pPr>
              <w:jc w:val="center"/>
            </w:pPr>
            <w:r>
              <w:rPr>
                <w:rFonts w:ascii="宋体" w:hAnsi="宋体" w:eastAsia="宋体"/>
                <w:sz w:val="16"/>
              </w:rPr>
              <w:t>就业服务活动进校园费用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B6A54">
            <w:pPr>
              <w:jc w:val="center"/>
            </w:pPr>
            <w:r>
              <w:rPr>
                <w:rFonts w:ascii="宋体" w:hAnsi="宋体" w:eastAsia="宋体"/>
                <w:sz w:val="16"/>
              </w:rPr>
              <w:t>&lt;=0.12万元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57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47686">
            <w:pPr>
              <w:jc w:val="center"/>
            </w:pPr>
            <w:r>
              <w:rPr>
                <w:rFonts w:ascii="宋体" w:hAnsi="宋体" w:eastAsia="宋体"/>
                <w:sz w:val="16"/>
              </w:rPr>
              <w: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C3E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96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128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7FDA">
            <w:pPr>
              <w:jc w:val="center"/>
            </w:pPr>
            <w:r>
              <w:rPr>
                <w:rFonts w:ascii="宋体" w:hAnsi="宋体" w:eastAsia="宋体"/>
                <w:sz w:val="16"/>
              </w:rPr>
              <w: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033D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87158">
            <w:pPr>
              <w:jc w:val="center"/>
            </w:pPr>
          </w:p>
        </w:tc>
      </w:tr>
      <w:tr w14:paraId="43013B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FC6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9A0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387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6B7AE">
            <w:pPr>
              <w:jc w:val="center"/>
            </w:pPr>
            <w:r>
              <w:rPr>
                <w:rFonts w:ascii="宋体" w:hAnsi="宋体" w:eastAsia="宋体"/>
                <w:sz w:val="16"/>
              </w:rPr>
              <w:t>大中城市联合高校毕业生专场费用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DDF8C">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C9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7458">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F11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F5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21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E390">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5EE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8443D">
            <w:pPr>
              <w:jc w:val="center"/>
            </w:pPr>
          </w:p>
        </w:tc>
      </w:tr>
      <w:tr w14:paraId="3BBD7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A34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3F3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56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F101">
            <w:pPr>
              <w:jc w:val="center"/>
            </w:pPr>
            <w:r>
              <w:rPr>
                <w:rFonts w:ascii="宋体" w:hAnsi="宋体" w:eastAsia="宋体"/>
                <w:sz w:val="16"/>
              </w:rPr>
              <w:t>离校未就业高校毕业生服务攻坚费用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2F49">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43E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F1E2">
            <w:pPr>
              <w:jc w:val="center"/>
            </w:pPr>
            <w:r>
              <w:rPr>
                <w:rFonts w:ascii="宋体" w:hAnsi="宋体" w:eastAsia="宋体"/>
                <w:sz w:val="16"/>
              </w:rPr>
              <w: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0CC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F5B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67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CC4C">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C390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5C621">
            <w:pPr>
              <w:jc w:val="center"/>
            </w:pPr>
          </w:p>
        </w:tc>
      </w:tr>
      <w:tr w14:paraId="66F893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E8B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050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8B7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6B17">
            <w:pPr>
              <w:jc w:val="center"/>
            </w:pPr>
            <w:r>
              <w:rPr>
                <w:rFonts w:ascii="宋体" w:hAnsi="宋体" w:eastAsia="宋体"/>
                <w:sz w:val="16"/>
              </w:rPr>
              <w:t>创业圆梦培训计划费用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D36DB">
            <w:pPr>
              <w:jc w:val="center"/>
            </w:pPr>
            <w:r>
              <w:rPr>
                <w:rFonts w:ascii="宋体" w:hAnsi="宋体" w:eastAsia="宋体"/>
                <w:sz w:val="16"/>
              </w:rPr>
              <w:t>&lt;=18.75万元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6A3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6CCC">
            <w:pPr>
              <w:jc w:val="center"/>
            </w:pPr>
            <w:r>
              <w:rPr>
                <w:rFonts w:ascii="宋体" w:hAnsi="宋体" w:eastAsia="宋体"/>
                <w:sz w:val="16"/>
              </w:rPr>
              <w:t>18.75万元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4AB3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43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BCF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2F43A">
            <w:pPr>
              <w:jc w:val="center"/>
            </w:pPr>
            <w:r>
              <w:rPr>
                <w:rFonts w:ascii="宋体" w:hAnsi="宋体" w:eastAsia="宋体"/>
                <w:sz w:val="16"/>
              </w:rPr>
              <w:t>=18.75万元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6BE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ED7CA">
            <w:pPr>
              <w:jc w:val="center"/>
            </w:pPr>
          </w:p>
        </w:tc>
      </w:tr>
      <w:tr w14:paraId="2273CA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0D8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E82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86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830A0">
            <w:pPr>
              <w:jc w:val="center"/>
            </w:pPr>
            <w:r>
              <w:rPr>
                <w:rFonts w:ascii="宋体" w:hAnsi="宋体" w:eastAsia="宋体"/>
                <w:sz w:val="16"/>
              </w:rPr>
              <w:t>公共就业服务能力有效提升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6B00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827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C469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AF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2E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445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D81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8D1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3ACDF">
            <w:pPr>
              <w:jc w:val="center"/>
            </w:pPr>
          </w:p>
        </w:tc>
      </w:tr>
      <w:tr w14:paraId="211132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447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8A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E9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7B20">
            <w:pPr>
              <w:jc w:val="center"/>
            </w:pPr>
            <w:r>
              <w:rPr>
                <w:rFonts w:ascii="宋体" w:hAnsi="宋体" w:eastAsia="宋体"/>
                <w:sz w:val="16"/>
              </w:rPr>
              <w:t>求职者满意度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62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02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57C7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16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B4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47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D4C71">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FA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D6377">
            <w:pPr>
              <w:jc w:val="center"/>
            </w:pPr>
            <w:r>
              <w:rPr>
                <w:rFonts w:ascii="宋体" w:hAnsi="宋体" w:eastAsia="宋体"/>
                <w:sz w:val="16"/>
              </w:rPr>
              <w:t>偏差原因：在设置绩效目标时不精准，改进措施：今后在绩效目标设置时尽量做到精准</w:t>
            </w:r>
          </w:p>
        </w:tc>
      </w:tr>
      <w:tr w14:paraId="490ECBD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85ECB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B7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4BC0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8725">
            <w:pPr>
              <w:jc w:val="center"/>
            </w:pPr>
            <w:r>
              <w:rPr>
                <w:rFonts w:ascii="宋体" w:hAnsi="宋体" w:eastAsia="宋体"/>
                <w:sz w:val="16"/>
              </w:rPr>
              <w:t>99.35分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ECD120"/>
        </w:tc>
      </w:tr>
    </w:tbl>
    <w:p w14:paraId="1AC07745">
      <w:r>
        <w:br w:type="page"/>
      </w:r>
    </w:p>
    <w:p w14:paraId="545922EF">
      <w:pPr>
        <w:spacing w:line="640" w:lineRule="exact"/>
        <w:ind w:firstLine="640"/>
        <w:jc w:val="both"/>
        <w:outlineLvl w:val="2"/>
      </w:pPr>
      <w:r>
        <w:rPr>
          <w:rFonts w:ascii="黑体" w:hAnsi="黑体" w:eastAsia="黑体"/>
          <w:sz w:val="32"/>
        </w:rPr>
        <w:t>十二、其他需说明的事项</w:t>
      </w:r>
    </w:p>
    <w:p w14:paraId="599B8D9D">
      <w:pPr>
        <w:spacing w:line="580" w:lineRule="exact"/>
        <w:ind w:firstLine="640"/>
        <w:jc w:val="both"/>
      </w:pPr>
      <w:r>
        <w:rPr>
          <w:rFonts w:ascii="仿宋_GB2312" w:hAnsi="仿宋_GB2312" w:eastAsia="仿宋_GB2312"/>
          <w:b w:val="0"/>
          <w:sz w:val="32"/>
        </w:rPr>
        <w:t>本部门无其他需说明的事项。</w:t>
      </w:r>
    </w:p>
    <w:p w14:paraId="41DAE4FB">
      <w:r>
        <w:br w:type="page"/>
      </w:r>
    </w:p>
    <w:p w14:paraId="5F7EBD7B">
      <w:pPr>
        <w:spacing w:line="240" w:lineRule="auto"/>
        <w:jc w:val="center"/>
        <w:outlineLvl w:val="1"/>
      </w:pPr>
      <w:r>
        <w:rPr>
          <w:rFonts w:ascii="黑体" w:hAnsi="黑体" w:eastAsia="黑体"/>
          <w:sz w:val="32"/>
        </w:rPr>
        <w:t>第三部分 专业名词解释</w:t>
      </w:r>
    </w:p>
    <w:p w14:paraId="287CEFE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BEC8B0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9FB95F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749AE8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BA3A62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A1A54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3BB745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E80B6B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95300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3E3AE8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4FC089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DAD071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BEC9D0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813B2A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9FBE67F">
      <w:r>
        <w:br w:type="page"/>
      </w:r>
    </w:p>
    <w:p w14:paraId="3AA3C58F">
      <w:pPr>
        <w:spacing w:line="240" w:lineRule="auto"/>
        <w:jc w:val="center"/>
        <w:outlineLvl w:val="1"/>
      </w:pPr>
      <w:r>
        <w:rPr>
          <w:rFonts w:ascii="黑体" w:hAnsi="黑体" w:eastAsia="黑体"/>
          <w:sz w:val="32"/>
        </w:rPr>
        <w:t>第四部分 部门决算报表（见附表）</w:t>
      </w:r>
    </w:p>
    <w:p w14:paraId="023D3E82">
      <w:pPr>
        <w:spacing w:line="240" w:lineRule="auto"/>
        <w:ind w:firstLine="640"/>
        <w:jc w:val="both"/>
      </w:pPr>
      <w:r>
        <w:rPr>
          <w:rFonts w:ascii="仿宋_GB2312" w:hAnsi="仿宋_GB2312" w:eastAsia="仿宋_GB2312"/>
          <w:b w:val="0"/>
          <w:sz w:val="32"/>
        </w:rPr>
        <w:t>一、《收入支出决算总表》</w:t>
      </w:r>
    </w:p>
    <w:p w14:paraId="40FA4AD8">
      <w:pPr>
        <w:spacing w:line="240" w:lineRule="auto"/>
        <w:ind w:firstLine="640"/>
        <w:jc w:val="both"/>
      </w:pPr>
      <w:r>
        <w:rPr>
          <w:rFonts w:ascii="仿宋_GB2312" w:hAnsi="仿宋_GB2312" w:eastAsia="仿宋_GB2312"/>
          <w:b w:val="0"/>
          <w:sz w:val="32"/>
        </w:rPr>
        <w:t>二、《收入决算表》</w:t>
      </w:r>
    </w:p>
    <w:p w14:paraId="62EA236C">
      <w:pPr>
        <w:spacing w:line="240" w:lineRule="auto"/>
        <w:ind w:firstLine="640"/>
        <w:jc w:val="both"/>
      </w:pPr>
      <w:r>
        <w:rPr>
          <w:rFonts w:ascii="仿宋_GB2312" w:hAnsi="仿宋_GB2312" w:eastAsia="仿宋_GB2312"/>
          <w:b w:val="0"/>
          <w:sz w:val="32"/>
        </w:rPr>
        <w:t>三、《支出决算表》</w:t>
      </w:r>
    </w:p>
    <w:p w14:paraId="46C07E13">
      <w:pPr>
        <w:spacing w:line="240" w:lineRule="auto"/>
        <w:ind w:firstLine="640"/>
        <w:jc w:val="both"/>
      </w:pPr>
      <w:r>
        <w:rPr>
          <w:rFonts w:ascii="仿宋_GB2312" w:hAnsi="仿宋_GB2312" w:eastAsia="仿宋_GB2312"/>
          <w:b w:val="0"/>
          <w:sz w:val="32"/>
        </w:rPr>
        <w:t>四、《财政拨款收入支出决算总表》</w:t>
      </w:r>
    </w:p>
    <w:p w14:paraId="2EF8F329">
      <w:pPr>
        <w:spacing w:line="240" w:lineRule="auto"/>
        <w:ind w:firstLine="640"/>
        <w:jc w:val="both"/>
      </w:pPr>
      <w:r>
        <w:rPr>
          <w:rFonts w:ascii="仿宋_GB2312" w:hAnsi="仿宋_GB2312" w:eastAsia="仿宋_GB2312"/>
          <w:b w:val="0"/>
          <w:sz w:val="32"/>
        </w:rPr>
        <w:t>五、《一般公共预算财政拨款支出决算表》</w:t>
      </w:r>
    </w:p>
    <w:p w14:paraId="76CE012B">
      <w:pPr>
        <w:spacing w:line="240" w:lineRule="auto"/>
        <w:ind w:firstLine="640"/>
        <w:jc w:val="both"/>
      </w:pPr>
      <w:r>
        <w:rPr>
          <w:rFonts w:ascii="仿宋_GB2312" w:hAnsi="仿宋_GB2312" w:eastAsia="仿宋_GB2312"/>
          <w:b w:val="0"/>
          <w:sz w:val="32"/>
        </w:rPr>
        <w:t>六、《一般公共预算财政拨款基本支出决算表》</w:t>
      </w:r>
    </w:p>
    <w:p w14:paraId="1A162BEC">
      <w:pPr>
        <w:spacing w:line="240" w:lineRule="auto"/>
        <w:ind w:firstLine="640"/>
        <w:jc w:val="both"/>
      </w:pPr>
      <w:r>
        <w:rPr>
          <w:rFonts w:ascii="仿宋_GB2312" w:hAnsi="仿宋_GB2312" w:eastAsia="仿宋_GB2312"/>
          <w:b w:val="0"/>
          <w:sz w:val="32"/>
        </w:rPr>
        <w:t>七、《政府性基金预算财政拨款收入支出决算表》</w:t>
      </w:r>
    </w:p>
    <w:p w14:paraId="2738CFD4">
      <w:pPr>
        <w:spacing w:line="240" w:lineRule="auto"/>
        <w:ind w:firstLine="640"/>
        <w:jc w:val="both"/>
      </w:pPr>
      <w:r>
        <w:rPr>
          <w:rFonts w:ascii="仿宋_GB2312" w:hAnsi="仿宋_GB2312" w:eastAsia="仿宋_GB2312"/>
          <w:b w:val="0"/>
          <w:sz w:val="32"/>
        </w:rPr>
        <w:t>八、《国有资本经营预算财政拨款收入支出决算表》</w:t>
      </w:r>
    </w:p>
    <w:p w14:paraId="3CAFE1A5">
      <w:pPr>
        <w:spacing w:line="240" w:lineRule="auto"/>
        <w:ind w:firstLine="640"/>
        <w:jc w:val="both"/>
      </w:pPr>
      <w:r>
        <w:rPr>
          <w:rFonts w:ascii="仿宋_GB2312" w:hAnsi="仿宋_GB2312" w:eastAsia="仿宋_GB2312"/>
          <w:b w:val="0"/>
          <w:sz w:val="32"/>
        </w:rPr>
        <w:t>九、《财政拨款“三公”经费支出决算表》</w:t>
      </w:r>
    </w:p>
    <w:p w14:paraId="3B2C8B9D">
      <w:pPr>
        <w:spacing w:line="240" w:lineRule="auto"/>
        <w:ind w:firstLine="640"/>
        <w:jc w:val="both"/>
      </w:pPr>
    </w:p>
    <w:p w14:paraId="642A5D33">
      <w:pPr>
        <w:spacing w:line="240" w:lineRule="auto"/>
        <w:ind w:firstLine="640"/>
        <w:jc w:val="both"/>
      </w:pPr>
    </w:p>
    <w:p w14:paraId="5CE5DBC2">
      <w:pPr>
        <w:spacing w:line="240" w:lineRule="auto"/>
        <w:ind w:firstLine="640"/>
        <w:jc w:val="both"/>
      </w:pPr>
    </w:p>
    <w:p w14:paraId="39FC3D51">
      <w:pPr>
        <w:spacing w:line="240" w:lineRule="auto"/>
        <w:ind w:firstLine="640"/>
        <w:jc w:val="both"/>
      </w:pPr>
    </w:p>
    <w:p w14:paraId="23E57ED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6C62E5"/>
    <w:rsid w:val="12BD598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5808</Words>
  <Characters>6683</Characters>
  <Lines>0</Lines>
  <Paragraphs>0</Paragraphs>
  <TotalTime>11</TotalTime>
  <ScaleCrop>false</ScaleCrop>
  <LinksUpToDate>false</LinksUpToDate>
  <CharactersWithSpaces>6691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2025-09-03T10:47:43Z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