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喀什地区工人文化宫2024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DCB097">
      <w:r>
        <w:br w:type="page"/>
      </w:r>
    </w:p>
    <w:p w14:paraId="47191340">
      <w:pPr>
        <w:spacing w:line="640" w:lineRule="exact"/>
        <w:jc w:val="center"/>
        <w:outlineLvl w:val="1"/>
      </w:pPr>
      <w:r>
        <w:rPr>
          <w:rFonts w:ascii="黑体" w:hAnsi="黑体" w:eastAsia="黑体"/>
          <w:sz w:val="32"/>
        </w:rPr>
        <w:t>第一部分 部门概况</w:t>
      </w:r>
    </w:p>
    <w:p w14:paraId="3D427960">
      <w:pPr>
        <w:spacing w:line="640" w:lineRule="exact"/>
        <w:ind w:firstLine="640"/>
        <w:jc w:val="both"/>
        <w:outlineLvl w:val="2"/>
      </w:pPr>
      <w:r>
        <w:rPr>
          <w:rFonts w:ascii="黑体" w:hAnsi="黑体" w:eastAsia="黑体"/>
          <w:sz w:val="32"/>
        </w:rPr>
        <w:t>一、主要职能</w:t>
      </w:r>
    </w:p>
    <w:p w14:paraId="147B4F98">
      <w:pPr>
        <w:spacing w:line="580" w:lineRule="exact"/>
        <w:ind w:firstLine="640"/>
        <w:jc w:val="both"/>
      </w:pPr>
      <w:r>
        <w:rPr>
          <w:rFonts w:ascii="仿宋_GB2312" w:hAnsi="仿宋_GB2312" w:eastAsia="仿宋_GB2312"/>
          <w:sz w:val="32"/>
        </w:rPr>
        <w:t>1、以服务职工、服务社会、服务工运事业为宗旨，为广大职工和社会提供健康有益的活动场所，把工人文化宫办成职工的“学校和乐园”。</w:t>
      </w:r>
    </w:p>
    <w:p w14:paraId="0BFC7906">
      <w:pPr>
        <w:spacing w:line="580" w:lineRule="exact"/>
        <w:ind w:firstLine="640"/>
        <w:jc w:val="both"/>
      </w:pPr>
      <w:r>
        <w:rPr>
          <w:rFonts w:ascii="仿宋_GB2312" w:hAnsi="仿宋_GB2312" w:eastAsia="仿宋_GB2312"/>
          <w:sz w:val="32"/>
        </w:rPr>
        <w:t>2、组织职工开展文体活动；为基层工会开展文体活动提供指导服务。</w:t>
      </w:r>
    </w:p>
    <w:p w14:paraId="5DB220A4">
      <w:pPr>
        <w:spacing w:line="580" w:lineRule="exact"/>
        <w:ind w:firstLine="640"/>
        <w:jc w:val="both"/>
      </w:pPr>
      <w:r>
        <w:rPr>
          <w:rFonts w:ascii="仿宋_GB2312" w:hAnsi="仿宋_GB2312" w:eastAsia="仿宋_GB2312"/>
          <w:sz w:val="32"/>
        </w:rPr>
        <w:t>3、抓好工人文化宫资产保值增值。</w:t>
      </w:r>
    </w:p>
    <w:p w14:paraId="1FBCCEE8">
      <w:pPr>
        <w:spacing w:line="580" w:lineRule="exact"/>
        <w:ind w:firstLine="640"/>
        <w:jc w:val="both"/>
      </w:pPr>
      <w:r>
        <w:rPr>
          <w:rFonts w:ascii="仿宋_GB2312" w:hAnsi="仿宋_GB2312" w:eastAsia="仿宋_GB2312"/>
          <w:sz w:val="32"/>
        </w:rPr>
        <w:t>4、围绕工会中心工作，完成工会交办的其他工作。</w:t>
      </w:r>
    </w:p>
    <w:p w14:paraId="46373E23">
      <w:pPr>
        <w:spacing w:line="640" w:lineRule="exact"/>
        <w:ind w:firstLine="640"/>
        <w:jc w:val="both"/>
        <w:outlineLvl w:val="2"/>
      </w:pPr>
      <w:r>
        <w:rPr>
          <w:rFonts w:ascii="黑体" w:hAnsi="黑体" w:eastAsia="黑体"/>
          <w:sz w:val="32"/>
        </w:rPr>
        <w:t>二、机构设置及人员情况</w:t>
      </w:r>
    </w:p>
    <w:p w14:paraId="477702B6">
      <w:pPr>
        <w:spacing w:line="580" w:lineRule="exact"/>
        <w:ind w:firstLine="640"/>
        <w:jc w:val="both"/>
      </w:pPr>
      <w:r>
        <w:rPr>
          <w:rFonts w:ascii="仿宋_GB2312" w:hAnsi="仿宋_GB2312" w:eastAsia="仿宋_GB2312"/>
          <w:sz w:val="32"/>
        </w:rPr>
        <w:t>喀什地区工人文化宫2024年度，实有人数13人，其中：在职人员0人，增加0人；离休人员0人，增加0人；退休人员13人,增加0人。</w:t>
      </w:r>
    </w:p>
    <w:p w14:paraId="765FC9C9">
      <w:pPr>
        <w:spacing w:line="580" w:lineRule="exact"/>
        <w:ind w:firstLine="640"/>
        <w:jc w:val="both"/>
      </w:pPr>
      <w:r>
        <w:rPr>
          <w:rFonts w:ascii="仿宋_GB2312" w:hAnsi="仿宋_GB2312" w:eastAsia="仿宋_GB2312"/>
          <w:sz w:val="32"/>
        </w:rPr>
        <w:t>喀什地区工人文化宫无下属预算单位，下设1个科室，分别是：办公室。</w:t>
      </w:r>
    </w:p>
    <w:p w14:paraId="0256C827">
      <w:r>
        <w:br w:type="page"/>
      </w:r>
    </w:p>
    <w:p w14:paraId="77757788">
      <w:pPr>
        <w:spacing w:line="240" w:lineRule="auto"/>
        <w:jc w:val="center"/>
        <w:outlineLvl w:val="1"/>
      </w:pPr>
      <w:r>
        <w:rPr>
          <w:rFonts w:ascii="黑体" w:hAnsi="黑体" w:eastAsia="黑体"/>
          <w:sz w:val="32"/>
        </w:rPr>
        <w:t>第二部分 部门决算情况说明</w:t>
      </w:r>
    </w:p>
    <w:p w14:paraId="69EAFDD6">
      <w:pPr>
        <w:spacing w:line="640" w:lineRule="exact"/>
        <w:ind w:firstLine="640"/>
        <w:jc w:val="both"/>
        <w:outlineLvl w:val="2"/>
      </w:pPr>
      <w:r>
        <w:rPr>
          <w:rFonts w:ascii="黑体" w:hAnsi="黑体" w:eastAsia="黑体"/>
          <w:sz w:val="32"/>
        </w:rPr>
        <w:t>一、收入支出决算总体情况说明</w:t>
      </w:r>
    </w:p>
    <w:p w14:paraId="5FDF01F7">
      <w:pPr>
        <w:spacing w:line="580" w:lineRule="exact"/>
        <w:ind w:firstLine="640"/>
        <w:jc w:val="both"/>
      </w:pPr>
      <w:r>
        <w:rPr>
          <w:rFonts w:ascii="仿宋_GB2312" w:hAnsi="仿宋_GB2312" w:eastAsia="仿宋_GB2312"/>
          <w:b/>
          <w:sz w:val="32"/>
        </w:rPr>
        <w:t>2024年度收入总计17.52万元，</w:t>
      </w:r>
      <w:r>
        <w:rPr>
          <w:rFonts w:ascii="仿宋_GB2312" w:hAnsi="仿宋_GB2312" w:eastAsia="仿宋_GB2312"/>
          <w:b w:val="0"/>
          <w:sz w:val="32"/>
        </w:rPr>
        <w:t>其中：本年收入合计17.52万元，使用非财政拨款结余（含专用结余）0.00万元，年初结转和结余0.00万元。</w:t>
      </w:r>
    </w:p>
    <w:p w14:paraId="758529EE">
      <w:pPr>
        <w:spacing w:line="580" w:lineRule="exact"/>
        <w:ind w:firstLine="640"/>
        <w:jc w:val="both"/>
      </w:pPr>
      <w:r>
        <w:rPr>
          <w:rFonts w:ascii="仿宋_GB2312" w:hAnsi="仿宋_GB2312" w:eastAsia="仿宋_GB2312"/>
          <w:b/>
          <w:sz w:val="32"/>
        </w:rPr>
        <w:t>2024年度支出总计17.52万元，</w:t>
      </w:r>
      <w:r>
        <w:rPr>
          <w:rFonts w:ascii="仿宋_GB2312" w:hAnsi="仿宋_GB2312" w:eastAsia="仿宋_GB2312"/>
          <w:b w:val="0"/>
          <w:sz w:val="32"/>
        </w:rPr>
        <w:t>其中：本年支出合计17.52万元，结余分配0.00万元，年末结转和结余0.00万元。</w:t>
      </w:r>
    </w:p>
    <w:p w14:paraId="18B260E2">
      <w:pPr>
        <w:spacing w:line="580" w:lineRule="exact"/>
        <w:ind w:firstLine="640"/>
        <w:jc w:val="both"/>
      </w:pPr>
      <w:r>
        <w:rPr>
          <w:rFonts w:ascii="仿宋_GB2312" w:hAnsi="仿宋_GB2312" w:eastAsia="仿宋_GB2312"/>
          <w:b w:val="0"/>
          <w:sz w:val="32"/>
        </w:rPr>
        <w:t>收入支出总体与上年相比，减少1.44万元，下降7.59%，主要原因是：本年退休人员体检费较上年减少。</w:t>
      </w:r>
    </w:p>
    <w:p w14:paraId="678751F8">
      <w:pPr>
        <w:spacing w:line="640" w:lineRule="exact"/>
        <w:ind w:firstLine="640"/>
        <w:jc w:val="both"/>
        <w:outlineLvl w:val="2"/>
      </w:pPr>
      <w:r>
        <w:rPr>
          <w:rFonts w:ascii="黑体" w:hAnsi="黑体" w:eastAsia="黑体"/>
          <w:sz w:val="32"/>
        </w:rPr>
        <w:t>二、收入决算情况说明</w:t>
      </w:r>
    </w:p>
    <w:p w14:paraId="038BA963">
      <w:pPr>
        <w:spacing w:line="580" w:lineRule="exact"/>
        <w:ind w:firstLine="640"/>
        <w:jc w:val="both"/>
      </w:pPr>
      <w:r>
        <w:rPr>
          <w:rFonts w:ascii="仿宋_GB2312" w:hAnsi="仿宋_GB2312" w:eastAsia="仿宋_GB2312"/>
          <w:b/>
          <w:sz w:val="32"/>
        </w:rPr>
        <w:t>本年收入17.52万元，</w:t>
      </w:r>
      <w:r>
        <w:rPr>
          <w:rFonts w:ascii="仿宋_GB2312" w:hAnsi="仿宋_GB2312" w:eastAsia="仿宋_GB2312"/>
          <w:b w:val="0"/>
          <w:sz w:val="32"/>
        </w:rPr>
        <w:t>其中：财政拨款收入17.52万元，占100.00%；上级补助收入0.00万元，占0.00%；事业收入0.00万元，占0.00%；经营收入0.00万元，占0.00%；附属单位上缴收入0.00万元，占0.00%；其他收入0.00万元，占0.00%。</w:t>
      </w:r>
    </w:p>
    <w:p w14:paraId="3D5D76E3">
      <w:pPr>
        <w:spacing w:line="640" w:lineRule="exact"/>
        <w:ind w:firstLine="640"/>
        <w:jc w:val="both"/>
        <w:outlineLvl w:val="2"/>
      </w:pPr>
      <w:r>
        <w:rPr>
          <w:rFonts w:ascii="黑体" w:hAnsi="黑体" w:eastAsia="黑体"/>
          <w:sz w:val="32"/>
        </w:rPr>
        <w:t>三、支出决算情况说明</w:t>
      </w:r>
    </w:p>
    <w:p w14:paraId="53AA4765">
      <w:pPr>
        <w:spacing w:line="580" w:lineRule="exact"/>
        <w:ind w:firstLine="640"/>
        <w:jc w:val="both"/>
      </w:pPr>
      <w:r>
        <w:rPr>
          <w:rFonts w:ascii="仿宋_GB2312" w:hAnsi="仿宋_GB2312" w:eastAsia="仿宋_GB2312"/>
          <w:b/>
          <w:sz w:val="32"/>
        </w:rPr>
        <w:t>本年支出17.52万元，</w:t>
      </w:r>
      <w:r>
        <w:rPr>
          <w:rFonts w:ascii="仿宋_GB2312" w:hAnsi="仿宋_GB2312" w:eastAsia="仿宋_GB2312"/>
          <w:b w:val="0"/>
          <w:sz w:val="32"/>
        </w:rPr>
        <w:t>其中：基本支出17.52万元，占100.00%；项目支出0.00万元，占0.00%；上缴上级支出0.00万元，占0.00%；经营支出0.00万元，占0.00%；对附属单位补助支出0.00万元，占0.00%。</w:t>
      </w:r>
    </w:p>
    <w:p w14:paraId="6911F2C5">
      <w:pPr>
        <w:spacing w:line="640" w:lineRule="exact"/>
        <w:ind w:firstLine="640"/>
        <w:jc w:val="both"/>
        <w:outlineLvl w:val="2"/>
      </w:pPr>
      <w:r>
        <w:rPr>
          <w:rFonts w:ascii="黑体" w:hAnsi="黑体" w:eastAsia="黑体"/>
          <w:sz w:val="32"/>
        </w:rPr>
        <w:t>四、财政拨款收入支出决算总体情况说明</w:t>
      </w:r>
    </w:p>
    <w:p w14:paraId="0B496036">
      <w:pPr>
        <w:spacing w:line="580" w:lineRule="exact"/>
        <w:ind w:firstLine="640"/>
        <w:jc w:val="both"/>
      </w:pPr>
      <w:r>
        <w:rPr>
          <w:rFonts w:ascii="仿宋_GB2312" w:hAnsi="仿宋_GB2312" w:eastAsia="仿宋_GB2312"/>
          <w:b/>
          <w:sz w:val="32"/>
        </w:rPr>
        <w:t>2024年度财政拨款收入总计17.52万元，</w:t>
      </w:r>
      <w:r>
        <w:rPr>
          <w:rFonts w:ascii="仿宋_GB2312" w:hAnsi="仿宋_GB2312" w:eastAsia="仿宋_GB2312"/>
          <w:b w:val="0"/>
          <w:sz w:val="32"/>
        </w:rPr>
        <w:t>其中：年初财政拨款结转和结余0.00万元，本年财政拨款收入17.52万元。</w:t>
      </w:r>
      <w:r>
        <w:rPr>
          <w:rFonts w:ascii="仿宋_GB2312" w:hAnsi="仿宋_GB2312" w:eastAsia="仿宋_GB2312"/>
          <w:b/>
          <w:sz w:val="32"/>
        </w:rPr>
        <w:t>财政拨款支出总计17.52万元，</w:t>
      </w:r>
      <w:r>
        <w:rPr>
          <w:rFonts w:ascii="仿宋_GB2312" w:hAnsi="仿宋_GB2312" w:eastAsia="仿宋_GB2312"/>
          <w:b w:val="0"/>
          <w:sz w:val="32"/>
        </w:rPr>
        <w:t>其中：年末财政拨款结转和结余0.00万元，本年财政拨款支出17.52万元。</w:t>
      </w:r>
    </w:p>
    <w:p w14:paraId="7D68D4F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减少1.44万元，下降7.59%，主要原因是：本年退休人员体检费较上年减少。</w:t>
      </w:r>
      <w:r>
        <w:rPr>
          <w:rFonts w:ascii="仿宋_GB2312" w:hAnsi="仿宋_GB2312" w:eastAsia="仿宋_GB2312"/>
          <w:b/>
          <w:sz w:val="32"/>
        </w:rPr>
        <w:t>与年初预算相比，</w:t>
      </w:r>
      <w:r>
        <w:rPr>
          <w:rFonts w:ascii="仿宋_GB2312" w:hAnsi="仿宋_GB2312" w:eastAsia="仿宋_GB2312"/>
          <w:b w:val="0"/>
          <w:sz w:val="32"/>
        </w:rPr>
        <w:t>年初预算数17.52万元，决算数17.52万元，预决算差异率0.00%，主要原因是：严格按照预算执行，预决算无差异。</w:t>
      </w:r>
    </w:p>
    <w:p w14:paraId="4E2DBF0D">
      <w:pPr>
        <w:spacing w:line="640" w:lineRule="exact"/>
        <w:ind w:firstLine="640"/>
        <w:jc w:val="both"/>
        <w:outlineLvl w:val="2"/>
      </w:pPr>
      <w:r>
        <w:rPr>
          <w:rFonts w:ascii="黑体" w:hAnsi="黑体" w:eastAsia="黑体"/>
          <w:sz w:val="32"/>
        </w:rPr>
        <w:t>五、一般公共预算财政拨款支出决算情况说明</w:t>
      </w:r>
    </w:p>
    <w:p w14:paraId="5E0DB8F7">
      <w:pPr>
        <w:spacing w:line="640" w:lineRule="exact"/>
        <w:ind w:firstLine="640"/>
        <w:jc w:val="both"/>
        <w:outlineLvl w:val="3"/>
      </w:pPr>
      <w:r>
        <w:rPr>
          <w:rFonts w:ascii="楷体_GB2312" w:hAnsi="楷体_GB2312" w:eastAsia="楷体_GB2312"/>
          <w:b/>
          <w:sz w:val="32"/>
        </w:rPr>
        <w:t>（一）一般公共预算财政拨款支出决算总体情况</w:t>
      </w:r>
    </w:p>
    <w:p w14:paraId="3AAA0865">
      <w:pPr>
        <w:spacing w:line="580" w:lineRule="exact"/>
        <w:ind w:firstLine="640"/>
        <w:jc w:val="both"/>
      </w:pPr>
      <w:r>
        <w:rPr>
          <w:rFonts w:ascii="仿宋_GB2312" w:hAnsi="仿宋_GB2312" w:eastAsia="仿宋_GB2312"/>
          <w:b/>
          <w:sz w:val="32"/>
        </w:rPr>
        <w:t>2024年度一般公共预算财政拨款支出17.52万元，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减少1.44万元，下降7.59%，主要原因是：本年退休人员体检费较上年减少。</w:t>
      </w:r>
      <w:r>
        <w:rPr>
          <w:rFonts w:ascii="仿宋_GB2312" w:hAnsi="仿宋_GB2312" w:eastAsia="仿宋_GB2312"/>
          <w:b/>
          <w:sz w:val="32"/>
        </w:rPr>
        <w:t>与年初预算相比,</w:t>
      </w:r>
      <w:r>
        <w:rPr>
          <w:rFonts w:ascii="仿宋_GB2312" w:hAnsi="仿宋_GB2312" w:eastAsia="仿宋_GB2312"/>
          <w:b w:val="0"/>
          <w:sz w:val="32"/>
        </w:rPr>
        <w:t>年初预算数17.52万元，决算数17.52万元，预决算差异率0.00%，主要原因是：严格按照预算执行，预决算无差异。</w:t>
      </w:r>
    </w:p>
    <w:p w14:paraId="786F9080">
      <w:pPr>
        <w:spacing w:line="640" w:lineRule="exact"/>
        <w:ind w:firstLine="640"/>
        <w:jc w:val="both"/>
        <w:outlineLvl w:val="3"/>
      </w:pPr>
      <w:r>
        <w:rPr>
          <w:rFonts w:ascii="楷体_GB2312" w:hAnsi="楷体_GB2312" w:eastAsia="楷体_GB2312"/>
          <w:b/>
          <w:sz w:val="32"/>
        </w:rPr>
        <w:t>（二）一般公共预算财政拨款支出决算结构情况</w:t>
      </w:r>
    </w:p>
    <w:p w14:paraId="381E834E">
      <w:pPr>
        <w:spacing w:line="580" w:lineRule="exact"/>
        <w:ind w:firstLine="640"/>
        <w:jc w:val="both"/>
      </w:pPr>
      <w:r>
        <w:rPr>
          <w:rFonts w:ascii="仿宋_GB2312" w:hAnsi="仿宋_GB2312" w:eastAsia="仿宋_GB2312"/>
          <w:b w:val="0"/>
          <w:sz w:val="32"/>
        </w:rPr>
        <w:t>1.社会保障和就业支出(类)17.52万元,占100.00%。</w:t>
      </w:r>
    </w:p>
    <w:p w14:paraId="45EAD720">
      <w:pPr>
        <w:spacing w:line="640" w:lineRule="exact"/>
        <w:ind w:firstLine="640"/>
        <w:jc w:val="both"/>
        <w:outlineLvl w:val="3"/>
      </w:pPr>
      <w:r>
        <w:rPr>
          <w:rFonts w:ascii="楷体_GB2312" w:hAnsi="楷体_GB2312" w:eastAsia="楷体_GB2312"/>
          <w:b/>
          <w:sz w:val="32"/>
        </w:rPr>
        <w:t>（三）一般公共预算财政拨款支出决算具体情况</w:t>
      </w:r>
    </w:p>
    <w:p w14:paraId="676C8D9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1.社会保障和就业支出(类)行政事业单位养老支出(款)事业单位离退休(项):支出决算数为14.28万元，比上年决算增加6.19万元，增长76.51%,主要原因是：本年增加退休人员基础绩效奖，退休费支出增加。</w:t>
      </w:r>
    </w:p>
    <w:p w14:paraId="51152F0E">
      <w:pPr>
        <w:spacing w:line="580" w:lineRule="exact"/>
        <w:ind w:firstLine="640"/>
        <w:jc w:val="both"/>
      </w:pPr>
      <w:r>
        <w:rPr>
          <w:rFonts w:ascii="仿宋_GB2312" w:hAnsi="仿宋_GB2312" w:eastAsia="仿宋_GB2312"/>
          <w:b w:val="0"/>
          <w:sz w:val="32"/>
        </w:rPr>
        <w:t>2.社会保障和就业支出(类)行政事业单位养老支出(款)其他行政事业单位养老支出(项):支出决算数为3.24万元，比上年决算减少2.24万元，下降40.88%,主要原因是：本年未补发退休人员基础绩效，导致经费较上年减少。</w:t>
      </w:r>
    </w:p>
    <w:p w14:paraId="6E7E8943">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3.社会保障和就业支出(类)抚恤(款)死亡抚恤(项):支出决算数为0.00万元，比上年决算减少5.40万元，下降100.00%,主要原因是：本年无新增死亡人员，死亡抚恤支出较上年减少。</w:t>
      </w:r>
    </w:p>
    <w:p w14:paraId="37F3A0E7">
      <w:pPr>
        <w:spacing w:line="640" w:lineRule="exact"/>
        <w:ind w:firstLine="640"/>
        <w:jc w:val="both"/>
        <w:outlineLvl w:val="2"/>
      </w:pPr>
      <w:r>
        <w:rPr>
          <w:rFonts w:ascii="黑体" w:hAnsi="黑体" w:eastAsia="黑体"/>
          <w:sz w:val="32"/>
        </w:rPr>
        <w:t>六、一般公共预算财政拨款基本支出决算情况说明</w:t>
      </w:r>
    </w:p>
    <w:p w14:paraId="654B3251">
      <w:pPr>
        <w:spacing w:line="580" w:lineRule="exact"/>
        <w:ind w:firstLine="640"/>
        <w:jc w:val="both"/>
      </w:pPr>
      <w:r>
        <w:rPr>
          <w:rFonts w:ascii="仿宋_GB2312" w:hAnsi="仿宋_GB2312" w:eastAsia="仿宋_GB2312"/>
          <w:b w:val="0"/>
          <w:sz w:val="32"/>
        </w:rPr>
        <w:t>2024年度一般公共预算财政拨款基本支出17.52万元，其中：</w:t>
      </w:r>
      <w:r>
        <w:rPr>
          <w:rFonts w:ascii="仿宋_GB2312" w:hAnsi="仿宋_GB2312" w:eastAsia="仿宋_GB2312"/>
          <w:b/>
          <w:sz w:val="32"/>
        </w:rPr>
        <w:t>人员经费16.06万元，</w:t>
      </w:r>
      <w:r>
        <w:rPr>
          <w:rFonts w:ascii="仿宋_GB2312" w:hAnsi="仿宋_GB2312" w:eastAsia="仿宋_GB2312"/>
          <w:b w:val="0"/>
          <w:sz w:val="32"/>
        </w:rPr>
        <w:t>包括：退休费、生活补助、其他对个人和家庭的补助。</w:t>
      </w:r>
    </w:p>
    <w:p w14:paraId="4BE3446B">
      <w:pPr>
        <w:spacing w:line="580" w:lineRule="exact"/>
        <w:ind w:firstLine="640"/>
        <w:jc w:val="both"/>
      </w:pPr>
      <w:r>
        <w:rPr>
          <w:rFonts w:ascii="仿宋_GB2312" w:hAnsi="仿宋_GB2312" w:eastAsia="仿宋_GB2312"/>
          <w:b/>
          <w:sz w:val="32"/>
        </w:rPr>
        <w:t>公用经费1.46万元，</w:t>
      </w:r>
      <w:r>
        <w:rPr>
          <w:rFonts w:ascii="仿宋_GB2312" w:hAnsi="仿宋_GB2312" w:eastAsia="仿宋_GB2312"/>
          <w:b w:val="0"/>
          <w:sz w:val="32"/>
        </w:rPr>
        <w:t>包括：其他商品和服务支出。</w:t>
      </w:r>
    </w:p>
    <w:p w14:paraId="0DF944BD">
      <w:pPr>
        <w:spacing w:line="640" w:lineRule="exact"/>
        <w:ind w:firstLine="640"/>
        <w:jc w:val="both"/>
        <w:outlineLvl w:val="2"/>
      </w:pPr>
      <w:r>
        <w:rPr>
          <w:rFonts w:ascii="黑体" w:hAnsi="黑体" w:eastAsia="黑体"/>
          <w:sz w:val="32"/>
        </w:rPr>
        <w:t>七、政府性基金预算财政拨款收入支出决算情况说明</w:t>
      </w:r>
    </w:p>
    <w:p w14:paraId="48B0B3F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33A5BEF">
      <w:pPr>
        <w:spacing w:line="640" w:lineRule="exact"/>
        <w:ind w:firstLine="640"/>
        <w:jc w:val="both"/>
        <w:outlineLvl w:val="2"/>
      </w:pPr>
      <w:r>
        <w:rPr>
          <w:rFonts w:ascii="黑体" w:hAnsi="黑体" w:eastAsia="黑体"/>
          <w:sz w:val="32"/>
        </w:rPr>
        <w:t>八、国有资本经营预算财政拨款收入支出决算情况说明</w:t>
      </w:r>
    </w:p>
    <w:p w14:paraId="4735FBB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9648F98">
      <w:pPr>
        <w:spacing w:line="640" w:lineRule="exact"/>
        <w:ind w:firstLine="640"/>
        <w:jc w:val="both"/>
        <w:outlineLvl w:val="2"/>
      </w:pPr>
      <w:r>
        <w:rPr>
          <w:rFonts w:ascii="黑体" w:hAnsi="黑体" w:eastAsia="黑体"/>
          <w:sz w:val="32"/>
        </w:rPr>
        <w:t>九、财政拨款“三公”经费支出决算情况说明</w:t>
      </w:r>
    </w:p>
    <w:p w14:paraId="55A9978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CD68E69">
      <w:pPr>
        <w:spacing w:line="580" w:lineRule="exact"/>
        <w:ind w:firstLine="640"/>
        <w:jc w:val="both"/>
      </w:pPr>
      <w:r>
        <w:rPr>
          <w:rFonts w:ascii="仿宋_GB2312" w:hAnsi="仿宋_GB2312" w:eastAsia="仿宋_GB2312"/>
          <w:b/>
          <w:sz w:val="32"/>
        </w:rPr>
        <w:t>具体情况如下：</w:t>
      </w:r>
    </w:p>
    <w:p w14:paraId="055D6A7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E6FD77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081CBE7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913D65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3EDE14C4">
      <w:pPr>
        <w:spacing w:line="640" w:lineRule="exact"/>
        <w:ind w:firstLine="640"/>
        <w:jc w:val="both"/>
        <w:outlineLvl w:val="2"/>
      </w:pPr>
      <w:r>
        <w:rPr>
          <w:rFonts w:ascii="黑体" w:hAnsi="黑体" w:eastAsia="黑体"/>
          <w:sz w:val="32"/>
        </w:rPr>
        <w:t>十、其他重要事项的情况说明</w:t>
      </w:r>
    </w:p>
    <w:p w14:paraId="2D44310F">
      <w:pPr>
        <w:spacing w:line="640" w:lineRule="exact"/>
        <w:ind w:firstLine="640"/>
        <w:jc w:val="both"/>
        <w:outlineLvl w:val="3"/>
      </w:pPr>
      <w:r>
        <w:rPr>
          <w:rFonts w:ascii="楷体_GB2312" w:hAnsi="楷体_GB2312" w:eastAsia="楷体_GB2312"/>
          <w:b/>
          <w:sz w:val="32"/>
        </w:rPr>
        <w:t>（一）机关运行经费及公用经费支出情况</w:t>
      </w:r>
    </w:p>
    <w:p w14:paraId="5C3E0F37">
      <w:pPr>
        <w:spacing w:line="580" w:lineRule="exact"/>
        <w:ind w:firstLine="640"/>
        <w:jc w:val="both"/>
      </w:pPr>
      <w:r>
        <w:rPr>
          <w:rFonts w:ascii="仿宋_GB2312" w:hAnsi="仿宋_GB2312" w:eastAsia="仿宋_GB2312"/>
          <w:b w:val="0"/>
          <w:sz w:val="32"/>
        </w:rPr>
        <w:t>2024年度喀什地区工人文化宫（事业单位）公用经费支出1.46万元，比上年增加0.60万元，增长69.77%，主要原因是：本年取暖费增加，导致公用经费增加。</w:t>
      </w:r>
    </w:p>
    <w:p w14:paraId="1B7F59E6">
      <w:pPr>
        <w:spacing w:line="640" w:lineRule="exact"/>
        <w:ind w:firstLine="640"/>
        <w:jc w:val="both"/>
        <w:outlineLvl w:val="3"/>
      </w:pPr>
      <w:r>
        <w:rPr>
          <w:rFonts w:ascii="楷体_GB2312" w:hAnsi="楷体_GB2312" w:eastAsia="楷体_GB2312"/>
          <w:b/>
          <w:sz w:val="32"/>
        </w:rPr>
        <w:t>（二）政府采购情况</w:t>
      </w:r>
    </w:p>
    <w:p w14:paraId="7231B1C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6ABAB21">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EF4CAC8">
      <w:pPr>
        <w:spacing w:line="640" w:lineRule="exact"/>
        <w:ind w:firstLine="640"/>
        <w:jc w:val="both"/>
        <w:outlineLvl w:val="3"/>
      </w:pPr>
      <w:r>
        <w:rPr>
          <w:rFonts w:ascii="楷体_GB2312" w:hAnsi="楷体_GB2312" w:eastAsia="楷体_GB2312"/>
          <w:b/>
          <w:sz w:val="32"/>
        </w:rPr>
        <w:t>（三）国有资产占用情况说明</w:t>
      </w:r>
    </w:p>
    <w:p w14:paraId="60DA50B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5F161F82">
      <w:pPr>
        <w:spacing w:line="640" w:lineRule="exact"/>
        <w:ind w:firstLine="640"/>
        <w:jc w:val="both"/>
        <w:outlineLvl w:val="2"/>
      </w:pPr>
      <w:r>
        <w:rPr>
          <w:rFonts w:ascii="黑体" w:hAnsi="黑体" w:eastAsia="黑体"/>
          <w:sz w:val="32"/>
        </w:rPr>
        <w:t>十一、预算绩效的情况说明</w:t>
      </w:r>
    </w:p>
    <w:p w14:paraId="34F86C2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17.52万元，实际执行总额17.52万元；预算绩效评价项目0个，全年预算数0.00万元，全年执行数0.00万元。预算绩效管理取得的成效：本年本部门无预算绩效项目。发现的问题及原因</w:t>
      </w:r>
      <w:bookmarkStart w:id="0" w:name="_GoBack"/>
      <w:bookmarkEnd w:id="0"/>
      <w:r>
        <w:rPr>
          <w:rFonts w:ascii="仿宋_GB2312" w:hAnsi="仿宋_GB2312" w:eastAsia="仿宋_GB2312"/>
          <w:b w:val="0"/>
          <w:sz w:val="32"/>
        </w:rPr>
        <w:t>：本年本部门无预算绩效项目。下一步改进措施：本年本部门无预算绩效项目。具体附部门整体支出绩效自评表。</w:t>
      </w:r>
    </w:p>
    <w:p w14:paraId="3B86543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26E3AE">
        <w:tblPrEx>
          <w:tblCellMar>
            <w:top w:w="0" w:type="dxa"/>
            <w:left w:w="108" w:type="dxa"/>
            <w:bottom w:w="0" w:type="dxa"/>
            <w:right w:w="108" w:type="dxa"/>
          </w:tblCellMar>
        </w:tblPrEx>
        <w:tc>
          <w:tcPr>
            <w:tcW w:w="8847" w:type="dxa"/>
            <w:gridSpan w:val="9"/>
            <w:vAlign w:val="center"/>
          </w:tcPr>
          <w:p w14:paraId="4DF3CCEF">
            <w:pPr>
              <w:jc w:val="center"/>
            </w:pPr>
            <w:r>
              <w:rPr>
                <w:rFonts w:ascii="宋体" w:hAnsi="宋体" w:eastAsia="宋体"/>
                <w:sz w:val="24"/>
              </w:rPr>
              <w:t>部门整体支出绩效自评表</w:t>
            </w:r>
          </w:p>
        </w:tc>
      </w:tr>
      <w:tr w14:paraId="2185AFC1">
        <w:tblPrEx>
          <w:tblCellMar>
            <w:top w:w="0" w:type="dxa"/>
            <w:left w:w="108" w:type="dxa"/>
            <w:bottom w:w="0" w:type="dxa"/>
            <w:right w:w="108" w:type="dxa"/>
          </w:tblCellMar>
        </w:tblPrEx>
        <w:tc>
          <w:tcPr>
            <w:tcW w:w="8847" w:type="dxa"/>
            <w:gridSpan w:val="9"/>
            <w:vAlign w:val="center"/>
          </w:tcPr>
          <w:p w14:paraId="0A6D491B">
            <w:pPr>
              <w:jc w:val="center"/>
            </w:pPr>
            <w:r>
              <w:rPr>
                <w:rFonts w:ascii="宋体" w:hAnsi="宋体" w:eastAsia="宋体"/>
                <w:sz w:val="24"/>
              </w:rPr>
              <w:t>（2024年度）</w:t>
            </w:r>
          </w:p>
        </w:tc>
      </w:tr>
      <w:tr w14:paraId="24150E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17831">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950B58">
            <w:pPr>
              <w:jc w:val="center"/>
            </w:pPr>
            <w:r>
              <w:rPr>
                <w:rFonts w:ascii="宋体" w:hAnsi="宋体" w:eastAsia="宋体"/>
                <w:sz w:val="16"/>
              </w:rPr>
              <w:t>喀什地区工人文化宫</w:t>
            </w:r>
          </w:p>
        </w:tc>
      </w:tr>
      <w:tr w14:paraId="6E2644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B6CB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3A64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DA26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C153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ABF1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0601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1057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C4CDF">
            <w:pPr>
              <w:jc w:val="center"/>
            </w:pPr>
            <w:r>
              <w:rPr>
                <w:rFonts w:ascii="宋体" w:hAnsi="宋体" w:eastAsia="宋体"/>
                <w:sz w:val="16"/>
              </w:rPr>
              <w:t>得分</w:t>
            </w:r>
          </w:p>
        </w:tc>
      </w:tr>
      <w:tr w14:paraId="5DF68C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5DC1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AEFE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C67A6">
            <w:pPr>
              <w:jc w:val="center"/>
            </w:pPr>
            <w:r>
              <w:rPr>
                <w:rFonts w:ascii="宋体" w:hAnsi="宋体" w:eastAsia="宋体"/>
                <w:sz w:val="16"/>
              </w:rPr>
              <w:t>17.52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4B51C">
            <w:pPr>
              <w:jc w:val="center"/>
            </w:pPr>
            <w:r>
              <w:rPr>
                <w:rFonts w:ascii="宋体" w:hAnsi="宋体" w:eastAsia="宋体"/>
                <w:sz w:val="16"/>
              </w:rPr>
              <w:t>17.52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D3058">
            <w:pPr>
              <w:jc w:val="center"/>
            </w:pPr>
            <w:r>
              <w:rPr>
                <w:rFonts w:ascii="宋体" w:hAnsi="宋体" w:eastAsia="宋体"/>
                <w:sz w:val="16"/>
              </w:rPr>
              <w:t>17.52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EDE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B1B1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7D6D7">
            <w:pPr>
              <w:jc w:val="center"/>
            </w:pPr>
            <w:r>
              <w:rPr>
                <w:rFonts w:ascii="宋体" w:hAnsi="宋体" w:eastAsia="宋体"/>
                <w:sz w:val="16"/>
              </w:rPr>
              <w:t>10</w:t>
            </w:r>
          </w:p>
        </w:tc>
      </w:tr>
      <w:tr w14:paraId="354C13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F20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4F8F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F11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B90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A86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B7B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9752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DEEA">
            <w:pPr>
              <w:jc w:val="center"/>
            </w:pPr>
            <w:r>
              <w:rPr>
                <w:rFonts w:ascii="宋体" w:hAnsi="宋体" w:eastAsia="宋体"/>
                <w:sz w:val="16"/>
              </w:rPr>
              <w:t>—</w:t>
            </w:r>
          </w:p>
        </w:tc>
      </w:tr>
      <w:tr w14:paraId="458CFD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874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7EC7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CA2AC">
            <w:pPr>
              <w:jc w:val="center"/>
            </w:pPr>
            <w:r>
              <w:rPr>
                <w:rFonts w:ascii="宋体" w:hAnsi="宋体" w:eastAsia="宋体"/>
                <w:sz w:val="16"/>
              </w:rPr>
              <w:t>17.52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1F4E2">
            <w:pPr>
              <w:jc w:val="center"/>
            </w:pPr>
            <w:r>
              <w:rPr>
                <w:rFonts w:ascii="宋体" w:hAnsi="宋体" w:eastAsia="宋体"/>
                <w:sz w:val="16"/>
              </w:rPr>
              <w:t>17.52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F7B25">
            <w:pPr>
              <w:jc w:val="center"/>
            </w:pPr>
            <w:r>
              <w:rPr>
                <w:rFonts w:ascii="宋体" w:hAnsi="宋体" w:eastAsia="宋体"/>
                <w:sz w:val="16"/>
              </w:rPr>
              <w:t>17.52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0A3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2C8A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75B40">
            <w:pPr>
              <w:jc w:val="center"/>
            </w:pPr>
            <w:r>
              <w:rPr>
                <w:rFonts w:ascii="宋体" w:hAnsi="宋体" w:eastAsia="宋体"/>
                <w:sz w:val="16"/>
              </w:rPr>
              <w:t>—</w:t>
            </w:r>
          </w:p>
        </w:tc>
      </w:tr>
      <w:tr w14:paraId="42D653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584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AE59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3F7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F58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EE5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33F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3290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51C48">
            <w:pPr>
              <w:jc w:val="center"/>
            </w:pPr>
            <w:r>
              <w:rPr>
                <w:rFonts w:ascii="宋体" w:hAnsi="宋体" w:eastAsia="宋体"/>
                <w:sz w:val="16"/>
              </w:rPr>
              <w:t>—</w:t>
            </w:r>
          </w:p>
        </w:tc>
      </w:tr>
      <w:tr w14:paraId="12FC17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0AE0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0666F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3B049B">
            <w:pPr>
              <w:jc w:val="center"/>
            </w:pPr>
            <w:r>
              <w:rPr>
                <w:rFonts w:ascii="宋体" w:hAnsi="宋体" w:eastAsia="宋体"/>
                <w:sz w:val="16"/>
              </w:rPr>
              <w:t>实际完成情况</w:t>
            </w:r>
          </w:p>
        </w:tc>
      </w:tr>
      <w:tr w14:paraId="30C5C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4BD05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A8E56F">
            <w:pPr>
              <w:jc w:val="both"/>
            </w:pPr>
            <w:r>
              <w:rPr>
                <w:rFonts w:ascii="宋体" w:hAnsi="宋体" w:eastAsia="宋体"/>
                <w:sz w:val="16"/>
              </w:rPr>
              <w:t>根据全年工作计划安排，制定安全防范工作方案、处置预案</w:t>
            </w:r>
            <w:r>
              <w:rPr>
                <w:rFonts w:hint="eastAsia" w:ascii="宋体" w:hAnsi="宋体"/>
                <w:sz w:val="16"/>
                <w:lang w:eastAsia="zh-CN"/>
              </w:rPr>
              <w:t>、</w:t>
            </w:r>
            <w:r>
              <w:rPr>
                <w:rFonts w:ascii="宋体" w:hAnsi="宋体" w:eastAsia="宋体"/>
                <w:sz w:val="16"/>
              </w:rPr>
              <w:t>方案数3个以上；全年安全检查次数不少于6次；开展消防安全知识培训不少于4次，达到干部职工全覆盖，掌握消防器具使用和火场避险、逃生知识；在地区工会领导和指导下，完成一个新建工人文化宫立项，完善相关申请建设补助资金资料；并在拆除的工人文化宫场地上建设职工体育活动场地一个。</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088BD3">
            <w:pPr>
              <w:jc w:val="both"/>
            </w:pPr>
            <w:r>
              <w:rPr>
                <w:rFonts w:ascii="宋体" w:hAnsi="宋体" w:eastAsia="宋体"/>
                <w:sz w:val="16"/>
              </w:rPr>
              <w:t>按照地委行署统一部署和工会统一安排，落实了安全防范工作方案、处置预案等方案3个，有效提高了本单位干部职工的安全防范意识；进行安全检查4次，针对检查情况，提出现场整改意见5次，限期整改意见2个，消除安全隐患7处，截至目前没有发生安全生产事故。进行安全培训4次，提升全体干部职工的安全意识和应急处理能力，确保办公楼各项工作的安全进行。在地区工会领导和指导下，完成新建工人文化宫项目立项1个，并申请资金，持续跟进项目建设。严格执行全年基本支出预算，保障部门正常运转，保障退休13人，遗属1人，保障单位正常运转，发挥应有的职能。</w:t>
            </w:r>
          </w:p>
        </w:tc>
      </w:tr>
      <w:tr w14:paraId="5EA067B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8497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C437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0CB8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B6A1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27B4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ABE1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E7BB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F41D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1525F">
            <w:pPr>
              <w:jc w:val="center"/>
            </w:pPr>
            <w:r>
              <w:rPr>
                <w:rFonts w:ascii="宋体" w:hAnsi="宋体" w:eastAsia="宋体"/>
                <w:sz w:val="16"/>
              </w:rPr>
              <w:t>得分</w:t>
            </w:r>
          </w:p>
        </w:tc>
      </w:tr>
      <w:tr w14:paraId="55CB1D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3C58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7669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9830B">
            <w:pPr>
              <w:jc w:val="center"/>
            </w:pPr>
            <w:r>
              <w:rPr>
                <w:rFonts w:ascii="宋体" w:hAnsi="宋体" w:eastAsia="宋体"/>
                <w:sz w:val="16"/>
              </w:rPr>
              <w:t>制定安全防范工作方案、防恐怖处置预案方案数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32169">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89E1B">
            <w:pPr>
              <w:jc w:val="center"/>
            </w:pPr>
            <w:r>
              <w:rPr>
                <w:rFonts w:ascii="宋体" w:hAnsi="宋体" w:eastAsia="宋体"/>
                <w:sz w:val="16"/>
              </w:rPr>
              <w:t>喀什地区工人文化宫2024年工作计划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B1F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9929B">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AD6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5E804">
            <w:pPr>
              <w:jc w:val="center"/>
            </w:pPr>
            <w:r>
              <w:rPr>
                <w:rFonts w:ascii="宋体" w:hAnsi="宋体" w:eastAsia="宋体"/>
                <w:sz w:val="16"/>
              </w:rPr>
              <w:t>20</w:t>
            </w:r>
          </w:p>
        </w:tc>
      </w:tr>
      <w:tr w14:paraId="2736CD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229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7E8D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620AE">
            <w:pPr>
              <w:jc w:val="center"/>
            </w:pPr>
            <w:r>
              <w:rPr>
                <w:rFonts w:ascii="宋体" w:hAnsi="宋体" w:eastAsia="宋体"/>
                <w:sz w:val="16"/>
              </w:rPr>
              <w:t>全年安全检查次数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9223F">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70D2B">
            <w:pPr>
              <w:jc w:val="center"/>
            </w:pPr>
            <w:r>
              <w:rPr>
                <w:rFonts w:ascii="宋体" w:hAnsi="宋体" w:eastAsia="宋体"/>
                <w:sz w:val="16"/>
              </w:rPr>
              <w:t>喀什地区工人文化宫2024年工作计划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43D1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461BD">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546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46836">
            <w:pPr>
              <w:jc w:val="center"/>
            </w:pPr>
            <w:r>
              <w:rPr>
                <w:rFonts w:ascii="宋体" w:hAnsi="宋体" w:eastAsia="宋体"/>
                <w:sz w:val="16"/>
              </w:rPr>
              <w:t>20</w:t>
            </w:r>
          </w:p>
        </w:tc>
      </w:tr>
      <w:tr w14:paraId="7BA017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B936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9C3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E8F93">
            <w:pPr>
              <w:jc w:val="center"/>
            </w:pPr>
            <w:r>
              <w:rPr>
                <w:rFonts w:ascii="宋体" w:hAnsi="宋体" w:eastAsia="宋体"/>
                <w:sz w:val="16"/>
              </w:rPr>
              <w:t>开展消防安全知识培训次数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38129">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B18EC">
            <w:pPr>
              <w:jc w:val="center"/>
            </w:pPr>
            <w:r>
              <w:rPr>
                <w:rFonts w:ascii="宋体" w:hAnsi="宋体" w:eastAsia="宋体"/>
                <w:sz w:val="16"/>
              </w:rPr>
              <w:t>喀什地区工人文化宫2024年工作计划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43DF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4D7B3">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704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18006">
            <w:pPr>
              <w:jc w:val="center"/>
            </w:pPr>
            <w:r>
              <w:rPr>
                <w:rFonts w:ascii="宋体" w:hAnsi="宋体" w:eastAsia="宋体"/>
                <w:sz w:val="16"/>
              </w:rPr>
              <w:t>20</w:t>
            </w:r>
          </w:p>
        </w:tc>
      </w:tr>
      <w:tr w14:paraId="475668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D219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1844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E53BD">
            <w:pPr>
              <w:jc w:val="center"/>
            </w:pPr>
            <w:r>
              <w:rPr>
                <w:rFonts w:ascii="宋体" w:hAnsi="宋体" w:eastAsia="宋体"/>
                <w:sz w:val="16"/>
              </w:rPr>
              <w:t>新建工人文化宫立项数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1A26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A795B">
            <w:pPr>
              <w:jc w:val="center"/>
            </w:pPr>
            <w:r>
              <w:rPr>
                <w:rFonts w:ascii="宋体" w:hAnsi="宋体" w:eastAsia="宋体"/>
                <w:sz w:val="16"/>
              </w:rPr>
              <w:t>喀什地区工人文化宫2024年工作计划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07B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A92E6">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543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B5043">
            <w:pPr>
              <w:jc w:val="center"/>
            </w:pPr>
            <w:r>
              <w:rPr>
                <w:rFonts w:ascii="宋体" w:hAnsi="宋体" w:eastAsia="宋体"/>
                <w:sz w:val="16"/>
              </w:rPr>
              <w:t>20</w:t>
            </w:r>
          </w:p>
        </w:tc>
      </w:tr>
      <w:tr w14:paraId="0ED62B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B98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C4E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707C6">
            <w:pPr>
              <w:jc w:val="center"/>
            </w:pPr>
            <w:r>
              <w:rPr>
                <w:rFonts w:ascii="宋体" w:hAnsi="宋体" w:eastAsia="宋体"/>
                <w:sz w:val="16"/>
              </w:rPr>
              <w:t>拟建设职工体育活动场地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72AE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177DB">
            <w:pPr>
              <w:jc w:val="center"/>
            </w:pPr>
            <w:r>
              <w:rPr>
                <w:rFonts w:ascii="宋体" w:hAnsi="宋体" w:eastAsia="宋体"/>
                <w:sz w:val="16"/>
              </w:rPr>
              <w:t>喀什地区工人文化宫2024年工作计划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BC5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8C570">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13D9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1810A">
            <w:pPr>
              <w:jc w:val="center"/>
            </w:pPr>
            <w:r>
              <w:rPr>
                <w:rFonts w:ascii="宋体" w:hAnsi="宋体" w:eastAsia="宋体"/>
                <w:sz w:val="16"/>
              </w:rPr>
              <w:t>0</w:t>
            </w:r>
          </w:p>
        </w:tc>
      </w:tr>
    </w:tbl>
    <w:p w14:paraId="27FEF871">
      <w:r>
        <w:br w:type="page"/>
      </w:r>
    </w:p>
    <w:p w14:paraId="77E43EA6">
      <w:pPr>
        <w:spacing w:line="640" w:lineRule="exact"/>
        <w:ind w:firstLine="640"/>
        <w:jc w:val="both"/>
        <w:outlineLvl w:val="2"/>
      </w:pPr>
      <w:r>
        <w:rPr>
          <w:rFonts w:ascii="黑体" w:hAnsi="黑体" w:eastAsia="黑体"/>
          <w:sz w:val="32"/>
        </w:rPr>
        <w:t>十二、其他需说明的事项</w:t>
      </w:r>
    </w:p>
    <w:p w14:paraId="0B40D4F4">
      <w:pPr>
        <w:spacing w:line="580" w:lineRule="exact"/>
        <w:ind w:firstLine="640"/>
        <w:jc w:val="both"/>
      </w:pPr>
      <w:r>
        <w:rPr>
          <w:rFonts w:ascii="仿宋_GB2312" w:hAnsi="仿宋_GB2312" w:eastAsia="仿宋_GB2312"/>
          <w:b w:val="0"/>
          <w:sz w:val="32"/>
        </w:rPr>
        <w:t>本部门2024年度无政府采购支出，授予中小企业合同金额0.00万元。</w:t>
      </w:r>
    </w:p>
    <w:p w14:paraId="208F1267">
      <w:r>
        <w:br w:type="page"/>
      </w:r>
    </w:p>
    <w:p w14:paraId="44DBFB97">
      <w:pPr>
        <w:spacing w:line="240" w:lineRule="auto"/>
        <w:jc w:val="center"/>
        <w:outlineLvl w:val="1"/>
      </w:pPr>
      <w:r>
        <w:rPr>
          <w:rFonts w:ascii="黑体" w:hAnsi="黑体" w:eastAsia="黑体"/>
          <w:sz w:val="32"/>
        </w:rPr>
        <w:t>第三部分 专业名词解释</w:t>
      </w:r>
    </w:p>
    <w:p w14:paraId="527C34B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FA403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33F5A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A02B3C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69163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FEAA5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2C074C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8BFEBB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9D9DE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0B146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B783C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2DF1F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5607E2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208D3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EE0C84">
      <w:r>
        <w:br w:type="page"/>
      </w:r>
    </w:p>
    <w:p w14:paraId="2D6AD115">
      <w:pPr>
        <w:spacing w:line="240" w:lineRule="auto"/>
        <w:jc w:val="center"/>
        <w:outlineLvl w:val="1"/>
      </w:pPr>
      <w:r>
        <w:rPr>
          <w:rFonts w:ascii="黑体" w:hAnsi="黑体" w:eastAsia="黑体"/>
          <w:sz w:val="32"/>
        </w:rPr>
        <w:t>第四部分 部门决算报表（见附表）</w:t>
      </w:r>
    </w:p>
    <w:p w14:paraId="7AABE7DA">
      <w:pPr>
        <w:spacing w:line="240" w:lineRule="auto"/>
        <w:ind w:firstLine="640"/>
        <w:jc w:val="both"/>
      </w:pPr>
      <w:r>
        <w:rPr>
          <w:rFonts w:ascii="仿宋_GB2312" w:hAnsi="仿宋_GB2312" w:eastAsia="仿宋_GB2312"/>
          <w:b w:val="0"/>
          <w:sz w:val="32"/>
        </w:rPr>
        <w:t>一、《收入支出决算总表》</w:t>
      </w:r>
    </w:p>
    <w:p w14:paraId="4B260683">
      <w:pPr>
        <w:spacing w:line="240" w:lineRule="auto"/>
        <w:ind w:firstLine="640"/>
        <w:jc w:val="both"/>
      </w:pPr>
      <w:r>
        <w:rPr>
          <w:rFonts w:ascii="仿宋_GB2312" w:hAnsi="仿宋_GB2312" w:eastAsia="仿宋_GB2312"/>
          <w:b w:val="0"/>
          <w:sz w:val="32"/>
        </w:rPr>
        <w:t>二、《收入决算表》</w:t>
      </w:r>
    </w:p>
    <w:p w14:paraId="64149B4B">
      <w:pPr>
        <w:spacing w:line="240" w:lineRule="auto"/>
        <w:ind w:firstLine="640"/>
        <w:jc w:val="both"/>
      </w:pPr>
      <w:r>
        <w:rPr>
          <w:rFonts w:ascii="仿宋_GB2312" w:hAnsi="仿宋_GB2312" w:eastAsia="仿宋_GB2312"/>
          <w:b w:val="0"/>
          <w:sz w:val="32"/>
        </w:rPr>
        <w:t>三、《支出决算表》</w:t>
      </w:r>
    </w:p>
    <w:p w14:paraId="4F8C9E80">
      <w:pPr>
        <w:spacing w:line="240" w:lineRule="auto"/>
        <w:ind w:firstLine="640"/>
        <w:jc w:val="both"/>
      </w:pPr>
      <w:r>
        <w:rPr>
          <w:rFonts w:ascii="仿宋_GB2312" w:hAnsi="仿宋_GB2312" w:eastAsia="仿宋_GB2312"/>
          <w:b w:val="0"/>
          <w:sz w:val="32"/>
        </w:rPr>
        <w:t>四、《财政拨款收入支出决算总表》</w:t>
      </w:r>
    </w:p>
    <w:p w14:paraId="1B734550">
      <w:pPr>
        <w:spacing w:line="240" w:lineRule="auto"/>
        <w:ind w:firstLine="640"/>
        <w:jc w:val="both"/>
      </w:pPr>
      <w:r>
        <w:rPr>
          <w:rFonts w:ascii="仿宋_GB2312" w:hAnsi="仿宋_GB2312" w:eastAsia="仿宋_GB2312"/>
          <w:b w:val="0"/>
          <w:sz w:val="32"/>
        </w:rPr>
        <w:t>五、《一般公共预算财政拨款支出决算表》</w:t>
      </w:r>
    </w:p>
    <w:p w14:paraId="6917EE33">
      <w:pPr>
        <w:spacing w:line="240" w:lineRule="auto"/>
        <w:ind w:firstLine="640"/>
        <w:jc w:val="both"/>
      </w:pPr>
      <w:r>
        <w:rPr>
          <w:rFonts w:ascii="仿宋_GB2312" w:hAnsi="仿宋_GB2312" w:eastAsia="仿宋_GB2312"/>
          <w:b w:val="0"/>
          <w:sz w:val="32"/>
        </w:rPr>
        <w:t>六、《一般公共预算财政拨款基本支出决算表》</w:t>
      </w:r>
    </w:p>
    <w:p w14:paraId="642E1F77">
      <w:pPr>
        <w:spacing w:line="240" w:lineRule="auto"/>
        <w:ind w:firstLine="640"/>
        <w:jc w:val="both"/>
      </w:pPr>
      <w:r>
        <w:rPr>
          <w:rFonts w:ascii="仿宋_GB2312" w:hAnsi="仿宋_GB2312" w:eastAsia="仿宋_GB2312"/>
          <w:b w:val="0"/>
          <w:sz w:val="32"/>
        </w:rPr>
        <w:t>七、《政府性基金预算财政拨款收入支出决算表》</w:t>
      </w:r>
    </w:p>
    <w:p w14:paraId="20E4F258">
      <w:pPr>
        <w:spacing w:line="240" w:lineRule="auto"/>
        <w:ind w:firstLine="640"/>
        <w:jc w:val="both"/>
      </w:pPr>
      <w:r>
        <w:rPr>
          <w:rFonts w:ascii="仿宋_GB2312" w:hAnsi="仿宋_GB2312" w:eastAsia="仿宋_GB2312"/>
          <w:b w:val="0"/>
          <w:sz w:val="32"/>
        </w:rPr>
        <w:t>八、《国有资本经营预算财政拨款收入支出决算表》</w:t>
      </w:r>
    </w:p>
    <w:p w14:paraId="18CC62FC">
      <w:pPr>
        <w:spacing w:line="240" w:lineRule="auto"/>
        <w:ind w:firstLine="640"/>
        <w:jc w:val="both"/>
      </w:pPr>
      <w:r>
        <w:rPr>
          <w:rFonts w:ascii="仿宋_GB2312" w:hAnsi="仿宋_GB2312" w:eastAsia="仿宋_GB2312"/>
          <w:b w:val="0"/>
          <w:sz w:val="32"/>
        </w:rPr>
        <w:t>九、《财政拨款“三公”经费支出决算表》</w:t>
      </w:r>
    </w:p>
    <w:p w14:paraId="5329BDCD">
      <w:pPr>
        <w:spacing w:line="240" w:lineRule="auto"/>
        <w:ind w:firstLine="640"/>
        <w:jc w:val="both"/>
      </w:pPr>
    </w:p>
    <w:p w14:paraId="7E5E7F43">
      <w:pPr>
        <w:spacing w:line="240" w:lineRule="auto"/>
        <w:ind w:firstLine="640"/>
        <w:jc w:val="both"/>
      </w:pPr>
    </w:p>
    <w:p w14:paraId="4AA699C9">
      <w:pPr>
        <w:spacing w:line="240" w:lineRule="auto"/>
        <w:ind w:firstLine="640"/>
        <w:jc w:val="both"/>
      </w:pPr>
    </w:p>
    <w:p w14:paraId="5E07BFD5">
      <w:pPr>
        <w:spacing w:line="240" w:lineRule="auto"/>
        <w:ind w:firstLine="640"/>
        <w:jc w:val="both"/>
      </w:pPr>
    </w:p>
    <w:p w14:paraId="7F103A9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4BB4D2-1DB2-40B5-8495-EC1C5209AA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BCBB838-17A2-4E40-A99B-1A0E8E1931F1}"/>
  </w:font>
  <w:font w:name="方正小标宋_GBK">
    <w:panose1 w:val="02000000000000000000"/>
    <w:charset w:val="86"/>
    <w:family w:val="script"/>
    <w:pitch w:val="default"/>
    <w:sig w:usb0="A00002BF" w:usb1="38CF7CFA" w:usb2="00082016" w:usb3="00000000" w:csb0="00040001" w:csb1="00000000"/>
    <w:embedRegular r:id="rId3" w:fontKey="{C8839781-E0E6-4375-AFDF-51CEC9A19C50}"/>
  </w:font>
  <w:font w:name="楷体_GB2312">
    <w:altName w:val="楷体"/>
    <w:panose1 w:val="00000000000000000000"/>
    <w:charset w:val="00"/>
    <w:family w:val="auto"/>
    <w:pitch w:val="default"/>
    <w:sig w:usb0="00000000" w:usb1="00000000" w:usb2="00000000" w:usb3="00000000" w:csb0="00000000" w:csb1="00000000"/>
    <w:embedRegular r:id="rId4" w:fontKey="{E6660144-2024-4019-880F-F57E431BC091}"/>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366ED6"/>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4446</Words>
  <Characters>5052</Characters>
  <Lines>0</Lines>
  <Paragraphs>0</Paragraphs>
  <TotalTime>2</TotalTime>
  <ScaleCrop>false</ScaleCrop>
  <LinksUpToDate>false</LinksUpToDate>
  <CharactersWithSpaces>5061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2025-09-05T05:17:36Z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