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0ED8DF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喀什地区救助管理站</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853E326">
      <w:r>
        <w:br w:type="page"/>
      </w:r>
    </w:p>
    <w:p w14:paraId="5D422A2D">
      <w:pPr>
        <w:spacing w:line="640" w:lineRule="exact"/>
        <w:jc w:val="center"/>
        <w:outlineLvl w:val="1"/>
      </w:pPr>
      <w:r>
        <w:rPr>
          <w:rFonts w:ascii="黑体" w:hAnsi="黑体" w:eastAsia="黑体"/>
          <w:sz w:val="32"/>
        </w:rPr>
        <w:t>第一部分 部门概况</w:t>
      </w:r>
    </w:p>
    <w:p w14:paraId="3997BEC5">
      <w:pPr>
        <w:spacing w:line="640" w:lineRule="exact"/>
        <w:ind w:firstLine="640"/>
        <w:jc w:val="both"/>
        <w:outlineLvl w:val="2"/>
      </w:pPr>
      <w:r>
        <w:rPr>
          <w:rFonts w:ascii="黑体" w:hAnsi="黑体" w:eastAsia="黑体"/>
          <w:sz w:val="32"/>
        </w:rPr>
        <w:t>一、主要职能</w:t>
      </w:r>
    </w:p>
    <w:p w14:paraId="722156C7">
      <w:pPr>
        <w:spacing w:line="580" w:lineRule="exact"/>
        <w:ind w:firstLine="640"/>
        <w:jc w:val="both"/>
      </w:pPr>
      <w:r>
        <w:rPr>
          <w:rFonts w:ascii="仿宋_GB2312" w:hAnsi="仿宋_GB2312" w:eastAsia="仿宋_GB2312"/>
          <w:sz w:val="32"/>
        </w:rPr>
        <w:t>对城市生活无着的流浪乞讨救助人员实施救助，为受助人员提供符合食品卫生要求的食物、提供符合基本条件的住处、对站内突发疾病的及时送医救治，帮助其联系亲属返回其居住场所；对流浪未成年人实施救助、保护、生活、行为的管理教育和培训。</w:t>
      </w:r>
    </w:p>
    <w:p w14:paraId="1F4A91A2">
      <w:pPr>
        <w:spacing w:line="640" w:lineRule="exact"/>
        <w:ind w:firstLine="640"/>
        <w:jc w:val="both"/>
        <w:outlineLvl w:val="2"/>
      </w:pPr>
      <w:r>
        <w:rPr>
          <w:rFonts w:ascii="黑体" w:hAnsi="黑体" w:eastAsia="黑体"/>
          <w:sz w:val="32"/>
        </w:rPr>
        <w:t>二、机构设置及人员情况</w:t>
      </w:r>
    </w:p>
    <w:p w14:paraId="11C5488A">
      <w:pPr>
        <w:spacing w:line="580" w:lineRule="exact"/>
        <w:ind w:firstLine="640"/>
        <w:jc w:val="both"/>
      </w:pPr>
      <w:r>
        <w:rPr>
          <w:rFonts w:ascii="仿宋_GB2312" w:hAnsi="仿宋_GB2312" w:eastAsia="仿宋_GB2312"/>
          <w:sz w:val="32"/>
        </w:rPr>
        <w:t>喀什地区救助管理站2024年度，实有人数38人，其中：在职人员21人，增加4人；离休人员0人，增加0人；退休人员17人,增加0人。</w:t>
      </w:r>
    </w:p>
    <w:p w14:paraId="7B4DE8B6">
      <w:pPr>
        <w:spacing w:line="580" w:lineRule="exact"/>
        <w:ind w:firstLine="640"/>
        <w:jc w:val="both"/>
      </w:pPr>
      <w:r>
        <w:rPr>
          <w:rFonts w:ascii="仿宋_GB2312" w:hAnsi="仿宋_GB2312" w:eastAsia="仿宋_GB2312"/>
          <w:sz w:val="32"/>
        </w:rPr>
        <w:t>喀什地区救助管理站无下属预算单位，下设3个科室，分别是：办公室、成人救助业务室、流浪未成年人保护中心。</w:t>
      </w:r>
    </w:p>
    <w:p w14:paraId="65D91071">
      <w:r>
        <w:br w:type="page"/>
      </w:r>
    </w:p>
    <w:p w14:paraId="4DFD8821">
      <w:pPr>
        <w:spacing w:line="240" w:lineRule="auto"/>
        <w:jc w:val="center"/>
        <w:outlineLvl w:val="1"/>
      </w:pPr>
      <w:r>
        <w:rPr>
          <w:rFonts w:ascii="黑体" w:hAnsi="黑体" w:eastAsia="黑体"/>
          <w:sz w:val="32"/>
        </w:rPr>
        <w:t>第二部分 部门决算情况说明</w:t>
      </w:r>
    </w:p>
    <w:p w14:paraId="0B334F38">
      <w:pPr>
        <w:spacing w:line="640" w:lineRule="exact"/>
        <w:ind w:firstLine="640"/>
        <w:jc w:val="both"/>
        <w:outlineLvl w:val="2"/>
      </w:pPr>
      <w:r>
        <w:rPr>
          <w:rFonts w:ascii="黑体" w:hAnsi="黑体" w:eastAsia="黑体"/>
          <w:sz w:val="32"/>
        </w:rPr>
        <w:t>一、收入支出决算总体情况说明</w:t>
      </w:r>
    </w:p>
    <w:p w14:paraId="77D49EBB">
      <w:pPr>
        <w:spacing w:line="580" w:lineRule="exact"/>
        <w:ind w:firstLine="640"/>
        <w:jc w:val="both"/>
      </w:pPr>
      <w:r>
        <w:rPr>
          <w:rFonts w:ascii="仿宋_GB2312" w:hAnsi="仿宋_GB2312" w:eastAsia="仿宋_GB2312"/>
          <w:b/>
          <w:sz w:val="32"/>
        </w:rPr>
        <w:t>2024年度收入总计416.18万元，</w:t>
      </w:r>
      <w:r>
        <w:rPr>
          <w:rFonts w:ascii="仿宋_GB2312" w:hAnsi="仿宋_GB2312" w:eastAsia="仿宋_GB2312"/>
          <w:b w:val="0"/>
          <w:sz w:val="32"/>
        </w:rPr>
        <w:t>其中：本年收入合计407.27万元，使用非财政拨款结余（含专用结余）0.00万元，年初结转和结余8.91万元。</w:t>
      </w:r>
    </w:p>
    <w:p w14:paraId="6ACDED5C">
      <w:pPr>
        <w:spacing w:line="580" w:lineRule="exact"/>
        <w:ind w:firstLine="640"/>
        <w:jc w:val="both"/>
      </w:pPr>
      <w:r>
        <w:rPr>
          <w:rFonts w:ascii="仿宋_GB2312" w:hAnsi="仿宋_GB2312" w:eastAsia="仿宋_GB2312"/>
          <w:b/>
          <w:sz w:val="32"/>
        </w:rPr>
        <w:t>2024年度支出总计416.18万元，</w:t>
      </w:r>
      <w:r>
        <w:rPr>
          <w:rFonts w:ascii="仿宋_GB2312" w:hAnsi="仿宋_GB2312" w:eastAsia="仿宋_GB2312"/>
          <w:b w:val="0"/>
          <w:sz w:val="32"/>
        </w:rPr>
        <w:t>其中：本年支出合计407.27万元，结余分配0.00万元，年末结转和结余8.91万元。</w:t>
      </w:r>
    </w:p>
    <w:p w14:paraId="0AE0152C">
      <w:pPr>
        <w:spacing w:line="580" w:lineRule="exact"/>
        <w:ind w:firstLine="640"/>
        <w:jc w:val="both"/>
      </w:pPr>
      <w:r>
        <w:rPr>
          <w:rFonts w:ascii="仿宋_GB2312" w:hAnsi="仿宋_GB2312" w:eastAsia="仿宋_GB2312"/>
          <w:b w:val="0"/>
          <w:sz w:val="32"/>
        </w:rPr>
        <w:t>收入支出总体与上年相比，减少117.94万元，下降22.08%，主要原因是：本年减少安全风险维修改造项目资金</w:t>
      </w:r>
      <w:r>
        <w:rPr>
          <w:rFonts w:hint="eastAsia" w:ascii="仿宋_GB2312" w:hAnsi="仿宋_GB2312" w:eastAsia="仿宋_GB2312"/>
          <w:b w:val="0"/>
          <w:sz w:val="32"/>
          <w:lang w:eastAsia="zh-CN"/>
        </w:rPr>
        <w:t>，</w:t>
      </w:r>
      <w:r>
        <w:rPr>
          <w:rFonts w:ascii="仿宋_GB2312" w:hAnsi="仿宋_GB2312" w:eastAsia="仿宋_GB2312"/>
          <w:b w:val="0"/>
          <w:sz w:val="32"/>
        </w:rPr>
        <w:t>困难群众救助补助资金减少，死亡抚恤支出较上年减少。</w:t>
      </w:r>
    </w:p>
    <w:p w14:paraId="4A426FF7">
      <w:pPr>
        <w:spacing w:line="640" w:lineRule="exact"/>
        <w:ind w:firstLine="640"/>
        <w:jc w:val="both"/>
        <w:outlineLvl w:val="2"/>
      </w:pPr>
      <w:r>
        <w:rPr>
          <w:rFonts w:ascii="黑体" w:hAnsi="黑体" w:eastAsia="黑体"/>
          <w:sz w:val="32"/>
        </w:rPr>
        <w:t>二、收入决算情况说明</w:t>
      </w:r>
    </w:p>
    <w:p w14:paraId="4DE39578">
      <w:pPr>
        <w:spacing w:line="580" w:lineRule="exact"/>
        <w:ind w:firstLine="640"/>
        <w:jc w:val="both"/>
      </w:pPr>
      <w:r>
        <w:rPr>
          <w:rFonts w:ascii="仿宋_GB2312" w:hAnsi="仿宋_GB2312" w:eastAsia="仿宋_GB2312"/>
          <w:b/>
          <w:sz w:val="32"/>
        </w:rPr>
        <w:t>本年收入407.27万元，</w:t>
      </w:r>
      <w:r>
        <w:rPr>
          <w:rFonts w:ascii="仿宋_GB2312" w:hAnsi="仿宋_GB2312" w:eastAsia="仿宋_GB2312"/>
          <w:b w:val="0"/>
          <w:sz w:val="32"/>
        </w:rPr>
        <w:t>其中：财政拨款收入407.27万元，占100.00%；上级补助收入0.00万元，占0.00%；事业收入0.00万元，占0.00%；经营收入0.00万元，占0.00%；附属单位上缴收入0.00万元，占0.00%；其他收入0.00万元，占0.00%。</w:t>
      </w:r>
    </w:p>
    <w:p w14:paraId="586F9B7D">
      <w:pPr>
        <w:spacing w:line="640" w:lineRule="exact"/>
        <w:ind w:firstLine="640"/>
        <w:jc w:val="both"/>
        <w:outlineLvl w:val="2"/>
      </w:pPr>
      <w:r>
        <w:rPr>
          <w:rFonts w:ascii="黑体" w:hAnsi="黑体" w:eastAsia="黑体"/>
          <w:sz w:val="32"/>
        </w:rPr>
        <w:t>三、支出决算情况说明</w:t>
      </w:r>
    </w:p>
    <w:p w14:paraId="3C20811C">
      <w:pPr>
        <w:spacing w:line="580" w:lineRule="exact"/>
        <w:ind w:firstLine="640"/>
        <w:jc w:val="both"/>
      </w:pPr>
      <w:r>
        <w:rPr>
          <w:rFonts w:ascii="仿宋_GB2312" w:hAnsi="仿宋_GB2312" w:eastAsia="仿宋_GB2312"/>
          <w:b/>
          <w:sz w:val="32"/>
        </w:rPr>
        <w:t>本年支出407.27万元，</w:t>
      </w:r>
      <w:r>
        <w:rPr>
          <w:rFonts w:ascii="仿宋_GB2312" w:hAnsi="仿宋_GB2312" w:eastAsia="仿宋_GB2312"/>
          <w:b w:val="0"/>
          <w:sz w:val="32"/>
        </w:rPr>
        <w:t>其中：基本支出383.48万元，占94.16%；项目支出23.79万元，占5.84%；上缴上级支出0.00万元，占0.00%；经营支出0.00万元，占0.00%；对附属单位补助支出0.00万元，占0.00%。</w:t>
      </w:r>
    </w:p>
    <w:p w14:paraId="09FE29AA">
      <w:pPr>
        <w:spacing w:line="640" w:lineRule="exact"/>
        <w:ind w:firstLine="640"/>
        <w:jc w:val="both"/>
        <w:outlineLvl w:val="2"/>
      </w:pPr>
      <w:r>
        <w:rPr>
          <w:rFonts w:ascii="黑体" w:hAnsi="黑体" w:eastAsia="黑体"/>
          <w:sz w:val="32"/>
        </w:rPr>
        <w:t>四、财政拨款收入支出决算总体情况说明</w:t>
      </w:r>
    </w:p>
    <w:p w14:paraId="617A2048">
      <w:pPr>
        <w:spacing w:line="580" w:lineRule="exact"/>
        <w:ind w:firstLine="640"/>
        <w:jc w:val="both"/>
      </w:pPr>
      <w:r>
        <w:rPr>
          <w:rFonts w:ascii="仿宋_GB2312" w:hAnsi="仿宋_GB2312" w:eastAsia="仿宋_GB2312"/>
          <w:b/>
          <w:sz w:val="32"/>
        </w:rPr>
        <w:t>2024年度财政拨款收入总计407.27万元，</w:t>
      </w:r>
      <w:r>
        <w:rPr>
          <w:rFonts w:ascii="仿宋_GB2312" w:hAnsi="仿宋_GB2312" w:eastAsia="仿宋_GB2312"/>
          <w:b w:val="0"/>
          <w:sz w:val="32"/>
        </w:rPr>
        <w:t>其中：年初财政拨款结转和结余0.00万元，本年财政拨款收入407.27万元。</w:t>
      </w:r>
      <w:r>
        <w:rPr>
          <w:rFonts w:ascii="仿宋_GB2312" w:hAnsi="仿宋_GB2312" w:eastAsia="仿宋_GB2312"/>
          <w:b/>
          <w:sz w:val="32"/>
        </w:rPr>
        <w:t>财政拨款支出总计407.27万元，</w:t>
      </w:r>
      <w:r>
        <w:rPr>
          <w:rFonts w:ascii="仿宋_GB2312" w:hAnsi="仿宋_GB2312" w:eastAsia="仿宋_GB2312"/>
          <w:b w:val="0"/>
          <w:sz w:val="32"/>
        </w:rPr>
        <w:t>其中：年末财政拨款结转和结余0.00万元，本年财政拨款支出407.27万元。</w:t>
      </w:r>
    </w:p>
    <w:p w14:paraId="3C8B927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减少71.85万元，下降15.00%，主要原因是：本年减少安全风险维修改造项目资金</w:t>
      </w:r>
      <w:r>
        <w:rPr>
          <w:rFonts w:hint="eastAsia" w:ascii="仿宋_GB2312" w:hAnsi="仿宋_GB2312" w:eastAsia="仿宋_GB2312"/>
          <w:b w:val="0"/>
          <w:sz w:val="32"/>
          <w:lang w:eastAsia="zh-CN"/>
        </w:rPr>
        <w:t>，</w:t>
      </w:r>
      <w:r>
        <w:rPr>
          <w:rFonts w:ascii="仿宋_GB2312" w:hAnsi="仿宋_GB2312" w:eastAsia="仿宋_GB2312"/>
          <w:b w:val="0"/>
          <w:sz w:val="32"/>
        </w:rPr>
        <w:t>困难群众救助补助资金减少，死亡抚恤支出较上年减少。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年初预算数407.88万元，决算数407.27万元，预决算差异率-0.15%，主要原因是：严格落实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八项规定精神，厉行节约，减少不必要的开支。</w:t>
      </w:r>
    </w:p>
    <w:p w14:paraId="6907918C">
      <w:pPr>
        <w:spacing w:line="640" w:lineRule="exact"/>
        <w:ind w:firstLine="640"/>
        <w:jc w:val="both"/>
        <w:outlineLvl w:val="2"/>
      </w:pPr>
      <w:r>
        <w:rPr>
          <w:rFonts w:ascii="黑体" w:hAnsi="黑体" w:eastAsia="黑体"/>
          <w:sz w:val="32"/>
        </w:rPr>
        <w:t>五、一般公共预算财政拨款支出决算情况说明</w:t>
      </w:r>
    </w:p>
    <w:p w14:paraId="572CA90D">
      <w:pPr>
        <w:spacing w:line="640" w:lineRule="exact"/>
        <w:ind w:firstLine="640"/>
        <w:jc w:val="both"/>
        <w:outlineLvl w:val="3"/>
      </w:pPr>
      <w:r>
        <w:rPr>
          <w:rFonts w:ascii="楷体_GB2312" w:hAnsi="楷体_GB2312" w:eastAsia="楷体_GB2312"/>
          <w:b/>
          <w:sz w:val="32"/>
        </w:rPr>
        <w:t>（一）一般公共预算财政拨款支出决算总体情况</w:t>
      </w:r>
    </w:p>
    <w:p w14:paraId="66C61C57">
      <w:pPr>
        <w:spacing w:line="580" w:lineRule="exact"/>
        <w:ind w:firstLine="640"/>
        <w:jc w:val="both"/>
      </w:pPr>
      <w:r>
        <w:rPr>
          <w:rFonts w:ascii="仿宋_GB2312" w:hAnsi="仿宋_GB2312" w:eastAsia="仿宋_GB2312"/>
          <w:b/>
          <w:sz w:val="32"/>
        </w:rPr>
        <w:t>2024年度一般公共预算财政拨款支出407.27万元，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减少43.69万元，下降9.69%，主要原因是：本年困难群众救助补助资金减少，死亡抚恤支出较上年减少。</w:t>
      </w:r>
      <w:r>
        <w:rPr>
          <w:rFonts w:ascii="仿宋_GB2312" w:hAnsi="仿宋_GB2312" w:eastAsia="仿宋_GB2312"/>
          <w:b/>
          <w:sz w:val="32"/>
        </w:rPr>
        <w:t>与年初预算相比,</w:t>
      </w:r>
      <w:r>
        <w:rPr>
          <w:rFonts w:ascii="仿宋_GB2312" w:hAnsi="仿宋_GB2312" w:eastAsia="仿宋_GB2312"/>
          <w:b w:val="0"/>
          <w:sz w:val="32"/>
        </w:rPr>
        <w:t>年初预算数407.88万元，决算数407.27万元，预决算差异率-0.15%，主要原因是：严格落实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八项规定精神，厉行节约，减少不必要的开支。</w:t>
      </w:r>
    </w:p>
    <w:p w14:paraId="5BA79778">
      <w:pPr>
        <w:spacing w:line="640" w:lineRule="exact"/>
        <w:ind w:firstLine="640"/>
        <w:jc w:val="both"/>
        <w:outlineLvl w:val="3"/>
      </w:pPr>
      <w:r>
        <w:rPr>
          <w:rFonts w:ascii="楷体_GB2312" w:hAnsi="楷体_GB2312" w:eastAsia="楷体_GB2312"/>
          <w:b/>
          <w:sz w:val="32"/>
        </w:rPr>
        <w:t>（二）一般公共预算财政拨款支出决算结构情况</w:t>
      </w:r>
    </w:p>
    <w:p w14:paraId="0D49DA83">
      <w:pPr>
        <w:spacing w:line="580" w:lineRule="exact"/>
        <w:ind w:firstLine="640"/>
        <w:jc w:val="both"/>
      </w:pPr>
      <w:r>
        <w:rPr>
          <w:rFonts w:ascii="仿宋_GB2312" w:hAnsi="仿宋_GB2312" w:eastAsia="仿宋_GB2312"/>
          <w:b w:val="0"/>
          <w:sz w:val="32"/>
        </w:rPr>
        <w:t>1.社会保障和就业支出(类)368.15万元,占90.39%。</w:t>
      </w:r>
    </w:p>
    <w:p w14:paraId="475B7C54">
      <w:pPr>
        <w:spacing w:line="580" w:lineRule="exact"/>
        <w:ind w:firstLine="640"/>
        <w:jc w:val="both"/>
      </w:pPr>
      <w:r>
        <w:rPr>
          <w:rFonts w:ascii="仿宋_GB2312" w:hAnsi="仿宋_GB2312" w:eastAsia="仿宋_GB2312"/>
          <w:b w:val="0"/>
          <w:sz w:val="32"/>
        </w:rPr>
        <w:t>2.卫生健康支出(类)15.14万元,占3.72%。</w:t>
      </w:r>
    </w:p>
    <w:p w14:paraId="5B71DACE">
      <w:pPr>
        <w:spacing w:line="580" w:lineRule="exact"/>
        <w:ind w:firstLine="640"/>
        <w:jc w:val="both"/>
      </w:pPr>
      <w:r>
        <w:rPr>
          <w:rFonts w:ascii="仿宋_GB2312" w:hAnsi="仿宋_GB2312" w:eastAsia="仿宋_GB2312"/>
          <w:b w:val="0"/>
          <w:sz w:val="32"/>
        </w:rPr>
        <w:t>3.住房保障支出(类)23.98万元,占5.89%。</w:t>
      </w:r>
    </w:p>
    <w:p w14:paraId="0295329F">
      <w:pPr>
        <w:spacing w:line="640" w:lineRule="exact"/>
        <w:ind w:firstLine="640"/>
        <w:jc w:val="both"/>
        <w:outlineLvl w:val="3"/>
      </w:pPr>
      <w:r>
        <w:rPr>
          <w:rFonts w:ascii="楷体_GB2312" w:hAnsi="楷体_GB2312" w:eastAsia="楷体_GB2312"/>
          <w:b/>
          <w:sz w:val="32"/>
        </w:rPr>
        <w:t>（三）一般公共预算财政拨款支出决算具体情况</w:t>
      </w:r>
    </w:p>
    <w:p w14:paraId="6FDE75C0">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1.社会保障和就业支出(类)行政事业单位养老支出(款)行政单位离退休(项):支出决算数为23.58万元，比上年决算增加9.63万元，增长69.03%,主要原因是：本年增加退休人员基础绩效奖，退休费支出增加。</w:t>
      </w:r>
    </w:p>
    <w:p w14:paraId="27C9D7B4">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0.00万元，比上年决算减少3.15万元，下降100.00%,主要原因是：本年功能科目调整，事业单位离退休上年度单独列支，本年调整至主科目列支，导致经费较上年减少。</w:t>
      </w:r>
    </w:p>
    <w:p w14:paraId="1481E23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30.87万元，比上年决算增加3.99万元，增长14.84%,主要原因是：本年在职人员增加，养老保险缴费较上年增加。</w:t>
      </w:r>
    </w:p>
    <w:p w14:paraId="29ED2EDF">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4.社会保障和就业支出(类)行政事业单位养老支出(款)机关事业单位职业年金缴费支出(项):支出决算数为0.00万元，比上年决算减少18.83万元，下降100.00%,主要原因是：本年</w:t>
      </w:r>
      <w:r>
        <w:rPr>
          <w:rFonts w:hint="eastAsia" w:ascii="仿宋_GB2312" w:hAnsi="仿宋_GB2312" w:eastAsia="仿宋_GB2312"/>
          <w:b w:val="0"/>
          <w:sz w:val="32"/>
          <w:lang w:val="en-US" w:eastAsia="zh-CN"/>
        </w:rPr>
        <w:t>无新增退休人员，</w:t>
      </w:r>
      <w:r>
        <w:rPr>
          <w:rFonts w:ascii="仿宋_GB2312" w:hAnsi="仿宋_GB2312" w:eastAsia="仿宋_GB2312"/>
          <w:b w:val="0"/>
          <w:sz w:val="32"/>
        </w:rPr>
        <w:t>职业年金缴费减少。</w:t>
      </w:r>
    </w:p>
    <w:p w14:paraId="64872EFD">
      <w:pPr>
        <w:spacing w:line="580" w:lineRule="exact"/>
        <w:ind w:firstLine="640"/>
        <w:jc w:val="both"/>
      </w:pPr>
      <w:r>
        <w:rPr>
          <w:rFonts w:ascii="仿宋_GB2312" w:hAnsi="仿宋_GB2312" w:eastAsia="仿宋_GB2312"/>
          <w:b w:val="0"/>
          <w:sz w:val="32"/>
        </w:rPr>
        <w:t>5.社会保障和就业支出(类)抚恤(款)死亡抚恤(项):支出决算数为0.00万元，比上年决算减少22.20万元，下降100.00%,主要原因是：本年无新增死亡人员，死亡抚恤支出较上年减少。</w:t>
      </w:r>
    </w:p>
    <w:p w14:paraId="3000FC80">
      <w:pPr>
        <w:spacing w:line="580" w:lineRule="exact"/>
        <w:ind w:firstLine="640"/>
        <w:jc w:val="both"/>
      </w:pPr>
      <w:r>
        <w:rPr>
          <w:rFonts w:ascii="仿宋_GB2312" w:hAnsi="仿宋_GB2312" w:eastAsia="仿宋_GB2312"/>
          <w:b w:val="0"/>
          <w:sz w:val="32"/>
        </w:rPr>
        <w:t>6.社会保障和就业支出(类)临时救助(款)流浪乞讨人员救助支出(项):支出决算数为313.70万元，比上年决算减少15.26万元，下降4.64%,主要原因是：本年度困难群众救助补助资金项目支出减少。</w:t>
      </w:r>
    </w:p>
    <w:p w14:paraId="3D332F2C">
      <w:pPr>
        <w:spacing w:line="580" w:lineRule="exact"/>
        <w:ind w:firstLine="640"/>
        <w:jc w:val="both"/>
      </w:pPr>
      <w:r>
        <w:rPr>
          <w:rFonts w:ascii="仿宋_GB2312" w:hAnsi="仿宋_GB2312" w:eastAsia="仿宋_GB2312"/>
          <w:b w:val="0"/>
          <w:sz w:val="32"/>
        </w:rPr>
        <w:t>7.卫生健康支出(类)行政事业单位医疗(款)行政单位医疗(项):支出决算数为11.84万元，比上年决算增加0.41万元，增长3.59%,主要原因是：本年在职人员增加，基本医疗支出较上年增加。</w:t>
      </w:r>
    </w:p>
    <w:p w14:paraId="68DA61A9">
      <w:pPr>
        <w:spacing w:line="580" w:lineRule="exact"/>
        <w:ind w:firstLine="640"/>
        <w:jc w:val="both"/>
      </w:pPr>
      <w:r>
        <w:rPr>
          <w:rFonts w:ascii="仿宋_GB2312" w:hAnsi="仿宋_GB2312" w:eastAsia="仿宋_GB2312"/>
          <w:b w:val="0"/>
          <w:sz w:val="32"/>
        </w:rPr>
        <w:t>8.卫生健康支出(类)行政事业单位医疗(款)公务员医疗补助(项):支出决算数为3.29万元，比上年决算增加0.12万元，增长3.79%,主要原因是：本年在职人员增加，公务员医疗支出较上年增加。</w:t>
      </w:r>
    </w:p>
    <w:p w14:paraId="7AE9E818">
      <w:pPr>
        <w:spacing w:line="580" w:lineRule="exact"/>
        <w:ind w:firstLine="640"/>
        <w:jc w:val="both"/>
      </w:pPr>
      <w:r>
        <w:rPr>
          <w:rFonts w:ascii="仿宋_GB2312" w:hAnsi="仿宋_GB2312" w:eastAsia="仿宋_GB2312"/>
          <w:b w:val="0"/>
          <w:sz w:val="32"/>
        </w:rPr>
        <w:t>9.住房保障支出(类)住房改革支出(款)住房公积金(项):支出决算数为23.98万元，比上年决算增加1.59万元，增长7.10%,主要原因是：本年在职人员增加，住房公积金支出较上年增加。</w:t>
      </w:r>
    </w:p>
    <w:p w14:paraId="4AF2EA09">
      <w:pPr>
        <w:spacing w:line="640" w:lineRule="exact"/>
        <w:ind w:firstLine="640"/>
        <w:jc w:val="both"/>
        <w:outlineLvl w:val="2"/>
      </w:pPr>
      <w:r>
        <w:rPr>
          <w:rFonts w:ascii="黑体" w:hAnsi="黑体" w:eastAsia="黑体"/>
          <w:sz w:val="32"/>
        </w:rPr>
        <w:t>六、一般公共预算财政拨款基本支出决算情况说明</w:t>
      </w:r>
    </w:p>
    <w:p w14:paraId="5BD643F3">
      <w:pPr>
        <w:spacing w:line="580" w:lineRule="exact"/>
        <w:ind w:firstLine="640"/>
        <w:jc w:val="both"/>
      </w:pPr>
      <w:r>
        <w:rPr>
          <w:rFonts w:ascii="仿宋_GB2312" w:hAnsi="仿宋_GB2312" w:eastAsia="仿宋_GB2312"/>
          <w:b w:val="0"/>
          <w:sz w:val="32"/>
        </w:rPr>
        <w:t>2024年度一般公共预算财政拨款基本支出383.48万元，其中：</w:t>
      </w:r>
      <w:r>
        <w:rPr>
          <w:rFonts w:ascii="仿宋_GB2312" w:hAnsi="仿宋_GB2312" w:eastAsia="仿宋_GB2312"/>
          <w:b/>
          <w:sz w:val="32"/>
        </w:rPr>
        <w:t>人员经费358.06万元，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包括：基本工资、津贴补贴、奖金、机关事业单位基本养老保险缴费、职工基本医疗保险缴费、公务员医疗补助缴费、其他社会保障缴费、住房公积金、其他工资福利支出、退休费、生活补助、奖励金。</w:t>
      </w:r>
    </w:p>
    <w:p w14:paraId="063B855E">
      <w:pPr>
        <w:spacing w:line="580" w:lineRule="exact"/>
        <w:ind w:firstLine="640"/>
        <w:jc w:val="both"/>
      </w:pPr>
      <w:r>
        <w:rPr>
          <w:rFonts w:ascii="仿宋_GB2312" w:hAnsi="仿宋_GB2312" w:eastAsia="仿宋_GB2312"/>
          <w:b/>
          <w:sz w:val="32"/>
        </w:rPr>
        <w:t>公用经费25.43万元，</w:t>
      </w:r>
      <w:r>
        <w:rPr>
          <w:rFonts w:ascii="仿宋_GB2312" w:hAnsi="仿宋_GB2312" w:eastAsia="仿宋_GB2312"/>
          <w:b w:val="0"/>
          <w:sz w:val="32"/>
        </w:rPr>
        <w:t>包括：办公费、印刷费、手续费、水费、电费、邮电费、取暖费、差旅费、维修（护）费、专用材料费、工会经费、公务用车运行维护费、其他交通费用、其他商品和服务支出。</w:t>
      </w:r>
    </w:p>
    <w:p w14:paraId="7EF26C09">
      <w:pPr>
        <w:spacing w:line="640" w:lineRule="exact"/>
        <w:ind w:firstLine="640"/>
        <w:jc w:val="both"/>
        <w:outlineLvl w:val="2"/>
      </w:pPr>
      <w:r>
        <w:rPr>
          <w:rFonts w:ascii="黑体" w:hAnsi="黑体" w:eastAsia="黑体"/>
          <w:sz w:val="32"/>
        </w:rPr>
        <w:t>七、政府性基金预算财政拨款收入支出决算情况说明</w:t>
      </w:r>
    </w:p>
    <w:p w14:paraId="79AD14CE">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069E0B9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减少28.16万元，下降100.00%，主要原因是：本年减少安全风险维修改造项目资金。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年初预算数0.00万元，决算数0.00万元，预决算差异率0.00%，主要原因是：本年度未安排政府性基金财政拨款项目。</w:t>
      </w:r>
    </w:p>
    <w:p w14:paraId="15D114A0">
      <w:pPr>
        <w:spacing w:line="580" w:lineRule="exact"/>
        <w:ind w:firstLine="640"/>
        <w:jc w:val="both"/>
      </w:pPr>
      <w:r>
        <w:rPr>
          <w:rFonts w:ascii="仿宋_GB2312" w:hAnsi="仿宋_GB2312" w:eastAsia="仿宋_GB2312"/>
          <w:b w:val="0"/>
          <w:sz w:val="32"/>
        </w:rPr>
        <w:t>政府性基金预算财政拨款支出0.00万元。</w:t>
      </w:r>
    </w:p>
    <w:p w14:paraId="02278DF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1.其他支出(类)彩票公益金安排的支出(款)用于社会福利的彩票公益金支出(项):支出决算数为0.00万元，比上年决算减少28.16万元，下降100.00%,主要原因是：本年减少安全风险维修改造项目资金。</w:t>
      </w:r>
    </w:p>
    <w:p w14:paraId="2C6D718A">
      <w:pPr>
        <w:spacing w:line="640" w:lineRule="exact"/>
        <w:ind w:firstLine="640"/>
        <w:jc w:val="both"/>
        <w:outlineLvl w:val="2"/>
      </w:pPr>
      <w:r>
        <w:rPr>
          <w:rFonts w:ascii="黑体" w:hAnsi="黑体" w:eastAsia="黑体"/>
          <w:sz w:val="32"/>
        </w:rPr>
        <w:t>八、国有资本经营预算财政拨款收入支出决算情况说明</w:t>
      </w:r>
    </w:p>
    <w:p w14:paraId="2D1979A8">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638D0916">
      <w:pPr>
        <w:spacing w:line="640" w:lineRule="exact"/>
        <w:ind w:firstLine="640"/>
        <w:jc w:val="both"/>
        <w:outlineLvl w:val="2"/>
      </w:pPr>
      <w:r>
        <w:rPr>
          <w:rFonts w:ascii="黑体" w:hAnsi="黑体" w:eastAsia="黑体"/>
          <w:sz w:val="32"/>
        </w:rPr>
        <w:t>九、财政拨款“三公”经费支出决算情况说明</w:t>
      </w:r>
    </w:p>
    <w:p w14:paraId="284693A8">
      <w:pPr>
        <w:spacing w:line="580" w:lineRule="exact"/>
        <w:ind w:firstLine="640"/>
        <w:jc w:val="both"/>
      </w:pPr>
      <w:r>
        <w:rPr>
          <w:rFonts w:ascii="仿宋_GB2312" w:hAnsi="仿宋_GB2312" w:eastAsia="仿宋_GB2312"/>
          <w:b/>
          <w:sz w:val="32"/>
        </w:rPr>
        <w:t>2024年度财政拨款“三公”经费支出1.30万元，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1.30万元，占100.00%，比上年增加0.00万元，增长0.00%，主要原因是：</w:t>
      </w:r>
      <w:r>
        <w:rPr>
          <w:rFonts w:hint="eastAsia" w:ascii="仿宋_GB2312" w:hAnsi="仿宋_GB2312" w:eastAsia="仿宋_GB2312"/>
          <w:b w:val="0"/>
          <w:sz w:val="32"/>
          <w:lang w:val="en-US"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1A23316A">
      <w:pPr>
        <w:spacing w:line="580" w:lineRule="exact"/>
        <w:ind w:firstLine="640"/>
        <w:jc w:val="both"/>
      </w:pPr>
      <w:r>
        <w:rPr>
          <w:rFonts w:ascii="仿宋_GB2312" w:hAnsi="仿宋_GB2312" w:eastAsia="仿宋_GB2312"/>
          <w:b/>
          <w:sz w:val="32"/>
        </w:rPr>
        <w:t>具体情况如下：</w:t>
      </w:r>
    </w:p>
    <w:p w14:paraId="64CEC425">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85F9204">
      <w:pPr>
        <w:spacing w:line="580" w:lineRule="exact"/>
        <w:ind w:firstLine="640"/>
        <w:jc w:val="both"/>
      </w:pPr>
      <w:r>
        <w:rPr>
          <w:rFonts w:ascii="仿宋_GB2312" w:hAnsi="仿宋_GB2312" w:eastAsia="仿宋_GB2312"/>
          <w:b w:val="0"/>
          <w:sz w:val="32"/>
        </w:rPr>
        <w:t>公务用车购置及运行维护费1.30万元，其中：公务用车购置费0.00万元，公务用车运行维护费1.30万元。公务用车运行维护费开支内容包括车辆燃油费、保险费、过路费、维修费。公务用车购置数0辆，公务用车保有量1辆。国有资产占用情况中固定资产车辆1辆，与公务用车保有量差异原因是：本部门固定资产车辆与公务用车保有量一致无差异。</w:t>
      </w:r>
    </w:p>
    <w:p w14:paraId="5A55220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A1EBD5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1.30万元，决算数1.30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1.30万元，决算数1.30万元，预决算差异率0.00%，主要原因是：严格按照预算执行，预决算无差异。公务接待费全年预算数0.00万元，决算数0.00万元，预决算差异率0.00%，主要原因是：本部门无公务接待费。</w:t>
      </w:r>
    </w:p>
    <w:p w14:paraId="2879949E">
      <w:pPr>
        <w:spacing w:line="640" w:lineRule="exact"/>
        <w:ind w:firstLine="640"/>
        <w:jc w:val="both"/>
        <w:outlineLvl w:val="2"/>
      </w:pPr>
      <w:r>
        <w:rPr>
          <w:rFonts w:ascii="黑体" w:hAnsi="黑体" w:eastAsia="黑体"/>
          <w:sz w:val="32"/>
        </w:rPr>
        <w:t>十、其他重要事项的情况说明</w:t>
      </w:r>
    </w:p>
    <w:p w14:paraId="4DC74960">
      <w:pPr>
        <w:spacing w:line="640" w:lineRule="exact"/>
        <w:ind w:firstLine="640"/>
        <w:jc w:val="both"/>
        <w:outlineLvl w:val="3"/>
      </w:pPr>
      <w:r>
        <w:rPr>
          <w:rFonts w:ascii="楷体_GB2312" w:hAnsi="楷体_GB2312" w:eastAsia="楷体_GB2312"/>
          <w:b/>
          <w:sz w:val="32"/>
        </w:rPr>
        <w:t>（一）机关运行经费及公用经费支出情况</w:t>
      </w:r>
    </w:p>
    <w:p w14:paraId="4913B407">
      <w:pPr>
        <w:spacing w:line="580" w:lineRule="exact"/>
        <w:ind w:firstLine="640"/>
        <w:jc w:val="both"/>
      </w:pPr>
      <w:r>
        <w:rPr>
          <w:rFonts w:ascii="仿宋_GB2312" w:hAnsi="仿宋_GB2312" w:eastAsia="仿宋_GB2312"/>
          <w:b w:val="0"/>
          <w:sz w:val="32"/>
        </w:rPr>
        <w:t>2024年度喀什地区救助管理站（行政单位和参照公务员法管理事业单位）机关运行经费支出25.43万元，比上年增加2.85万元，增长12.62%，主要原因是：本年增加单位取暖费，导致</w:t>
      </w:r>
      <w:r>
        <w:rPr>
          <w:rFonts w:hint="eastAsia" w:ascii="仿宋_GB2312" w:hAnsi="仿宋_GB2312" w:eastAsia="仿宋_GB2312"/>
          <w:b w:val="0"/>
          <w:sz w:val="32"/>
          <w:lang w:val="en-US" w:eastAsia="zh-CN"/>
        </w:rPr>
        <w:t>机关运行</w:t>
      </w:r>
      <w:r>
        <w:rPr>
          <w:rFonts w:ascii="仿宋_GB2312" w:hAnsi="仿宋_GB2312" w:eastAsia="仿宋_GB2312"/>
          <w:b w:val="0"/>
          <w:sz w:val="32"/>
        </w:rPr>
        <w:t>经费增加。</w:t>
      </w:r>
    </w:p>
    <w:p w14:paraId="27127EC3">
      <w:pPr>
        <w:spacing w:line="640" w:lineRule="exact"/>
        <w:ind w:firstLine="640"/>
        <w:jc w:val="both"/>
        <w:outlineLvl w:val="3"/>
      </w:pPr>
      <w:r>
        <w:rPr>
          <w:rFonts w:ascii="楷体_GB2312" w:hAnsi="楷体_GB2312" w:eastAsia="楷体_GB2312"/>
          <w:b/>
          <w:sz w:val="32"/>
        </w:rPr>
        <w:t>（二）政府采购情况</w:t>
      </w:r>
    </w:p>
    <w:p w14:paraId="6E936203">
      <w:pPr>
        <w:spacing w:line="580" w:lineRule="exact"/>
        <w:ind w:firstLine="640"/>
        <w:jc w:val="both"/>
      </w:pPr>
      <w:r>
        <w:rPr>
          <w:rFonts w:ascii="仿宋_GB2312" w:hAnsi="仿宋_GB2312" w:eastAsia="仿宋_GB2312"/>
          <w:b w:val="0"/>
          <w:sz w:val="32"/>
        </w:rPr>
        <w:t>2024年度政府采购支出总额12.01万元，其中：政府采购货物支出10.07万元、政府采购工程支出0.00万元、政府采购服务支出1.94万元。</w:t>
      </w:r>
    </w:p>
    <w:p w14:paraId="14241DC7">
      <w:pPr>
        <w:spacing w:line="580" w:lineRule="exact"/>
        <w:ind w:firstLine="640"/>
        <w:jc w:val="both"/>
      </w:pPr>
      <w:r>
        <w:rPr>
          <w:rFonts w:ascii="仿宋_GB2312" w:hAnsi="仿宋_GB2312" w:eastAsia="仿宋_GB2312"/>
          <w:b w:val="0"/>
          <w:sz w:val="32"/>
        </w:rPr>
        <w:t>授予中小企业合同金额11.77万元，占政府采购支出总额的98.00%，其中：授予小微企业合同金额11.19万元，占政府采购支出总额的93.17%。</w:t>
      </w:r>
    </w:p>
    <w:p w14:paraId="000195D0">
      <w:pPr>
        <w:spacing w:line="640" w:lineRule="exact"/>
        <w:ind w:firstLine="640"/>
        <w:jc w:val="both"/>
        <w:outlineLvl w:val="3"/>
      </w:pPr>
      <w:r>
        <w:rPr>
          <w:rFonts w:ascii="楷体_GB2312" w:hAnsi="楷体_GB2312" w:eastAsia="楷体_GB2312"/>
          <w:b/>
          <w:sz w:val="32"/>
        </w:rPr>
        <w:t>（三）国有资产占用情况说明</w:t>
      </w:r>
    </w:p>
    <w:p w14:paraId="65D0B6D4">
      <w:pPr>
        <w:spacing w:line="580" w:lineRule="exact"/>
        <w:ind w:firstLine="640"/>
        <w:jc w:val="both"/>
      </w:pPr>
      <w:r>
        <w:rPr>
          <w:rFonts w:ascii="仿宋_GB2312" w:hAnsi="仿宋_GB2312" w:eastAsia="仿宋_GB2312"/>
          <w:b w:val="0"/>
          <w:sz w:val="32"/>
        </w:rPr>
        <w:t>截至2024年12月31日，房屋4,484.99平方米，价值535.05万元。车辆1辆，价值12.81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BF83671">
      <w:pPr>
        <w:spacing w:line="640" w:lineRule="exact"/>
        <w:ind w:firstLine="640"/>
        <w:jc w:val="both"/>
        <w:outlineLvl w:val="2"/>
      </w:pPr>
      <w:r>
        <w:rPr>
          <w:rFonts w:ascii="黑体" w:hAnsi="黑体" w:eastAsia="黑体"/>
          <w:sz w:val="32"/>
        </w:rPr>
        <w:t>十一、预算绩效的情况说明</w:t>
      </w:r>
    </w:p>
    <w:p w14:paraId="2255667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根据预算绩效管理要求，本部门2024年度预算绩效管理形成整体支出绩效自评表1个，全年预算总额457.57万元，实际执行总额407.27万元；预算绩效评价项目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74.09</w:t>
      </w:r>
      <w:r>
        <w:rPr>
          <w:rFonts w:ascii="仿宋_GB2312" w:hAnsi="仿宋_GB2312" w:eastAsia="仿宋_GB2312"/>
          <w:b w:val="0"/>
          <w:sz w:val="32"/>
        </w:rPr>
        <w:t>万元，全年执行数</w:t>
      </w:r>
      <w:r>
        <w:rPr>
          <w:rFonts w:hint="eastAsia" w:ascii="仿宋_GB2312" w:hAnsi="仿宋_GB2312" w:eastAsia="仿宋_GB2312"/>
          <w:b w:val="0"/>
          <w:sz w:val="32"/>
        </w:rPr>
        <w:t>23.79</w:t>
      </w:r>
      <w:r>
        <w:rPr>
          <w:rFonts w:ascii="仿宋_GB2312" w:hAnsi="仿宋_GB2312" w:eastAsia="仿宋_GB2312"/>
          <w:b w:val="0"/>
          <w:sz w:val="32"/>
        </w:rPr>
        <w:t>万元。预算绩效管理取得的成效：一是管理制度更加健全。坚持制度先行，建立健全绩效管理各环节的制度办法和工作规范；二是指标标准更加完善。高质量设置本部门项目定性、定量指标；三是促进资金使用更加规范，对日常工作加强监督，专款专用，严格执行相关管理办法，资金支付严格审批，确保了项目资金使用规范有效。发现的问题及原因：一是对各项指标和指标值要进一步优化、完善，主要在细化、量化上改进；二是切实提高财政自评工作，加强绩效目标管理，在客观性和公正性上说服力不强；三是绩效业务水平局限性，加强绩效业务人员的培训工作；四是现场评价的工作量少，后续效益评价具体措施和方法较少。下一步改进措施：一是更加细化实施方案，严格执行资金管理办法和财政资金管理制度，严格按照项目实施方案稳步推进工作；二是项目评价资料进一步完善。项目启动时同步做好档案的归纳与整理，及时整理、收集、汇总，健全档案资料；三是加强绩效业务人员的培训工作；四是提高现场评价的工作量，加强后续效益评价。具体附部门整体支出绩效自评表，项目支出绩效自评表和部门评价报告。</w:t>
      </w:r>
    </w:p>
    <w:p w14:paraId="5156923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0B10858">
        <w:tblPrEx>
          <w:tblCellMar>
            <w:top w:w="0" w:type="dxa"/>
            <w:left w:w="108" w:type="dxa"/>
            <w:bottom w:w="0" w:type="dxa"/>
            <w:right w:w="108" w:type="dxa"/>
          </w:tblCellMar>
        </w:tblPrEx>
        <w:tc>
          <w:tcPr>
            <w:tcW w:w="8847" w:type="dxa"/>
            <w:gridSpan w:val="9"/>
            <w:vAlign w:val="center"/>
          </w:tcPr>
          <w:p w14:paraId="11BC6F37">
            <w:pPr>
              <w:jc w:val="center"/>
            </w:pPr>
            <w:r>
              <w:rPr>
                <w:rFonts w:ascii="宋体" w:hAnsi="宋体" w:eastAsia="宋体"/>
                <w:sz w:val="24"/>
              </w:rPr>
              <w:t>部门整体支出绩效自评表</w:t>
            </w:r>
          </w:p>
        </w:tc>
      </w:tr>
      <w:tr w14:paraId="7F3C1CE4">
        <w:tblPrEx>
          <w:tblCellMar>
            <w:top w:w="0" w:type="dxa"/>
            <w:left w:w="108" w:type="dxa"/>
            <w:bottom w:w="0" w:type="dxa"/>
            <w:right w:w="108" w:type="dxa"/>
          </w:tblCellMar>
        </w:tblPrEx>
        <w:tc>
          <w:tcPr>
            <w:tcW w:w="8847" w:type="dxa"/>
            <w:gridSpan w:val="9"/>
            <w:vAlign w:val="center"/>
          </w:tcPr>
          <w:p w14:paraId="729F548E">
            <w:pPr>
              <w:jc w:val="center"/>
            </w:pPr>
            <w:r>
              <w:rPr>
                <w:rFonts w:ascii="宋体" w:hAnsi="宋体" w:eastAsia="宋体"/>
                <w:sz w:val="24"/>
              </w:rPr>
              <w:t>（2024年度）</w:t>
            </w:r>
          </w:p>
        </w:tc>
      </w:tr>
      <w:tr w14:paraId="39C42FE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ACC79">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E19BDE">
            <w:pPr>
              <w:jc w:val="center"/>
            </w:pPr>
            <w:r>
              <w:rPr>
                <w:rFonts w:ascii="宋体" w:hAnsi="宋体" w:eastAsia="宋体"/>
                <w:sz w:val="16"/>
              </w:rPr>
              <w:t>喀什地区救助管理站</w:t>
            </w:r>
          </w:p>
        </w:tc>
      </w:tr>
      <w:tr w14:paraId="2AA3D6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C38D4">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AD19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C09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30228">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91C0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DD41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2FC7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1E47A">
            <w:pPr>
              <w:jc w:val="center"/>
            </w:pPr>
            <w:r>
              <w:rPr>
                <w:rFonts w:ascii="宋体" w:hAnsi="宋体" w:eastAsia="宋体"/>
                <w:sz w:val="16"/>
              </w:rPr>
              <w:t>得分</w:t>
            </w:r>
          </w:p>
        </w:tc>
      </w:tr>
      <w:tr w14:paraId="411CF9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82DA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8DC7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03DCD">
            <w:pPr>
              <w:jc w:val="center"/>
            </w:pPr>
            <w:r>
              <w:rPr>
                <w:rFonts w:ascii="宋体" w:hAnsi="宋体" w:eastAsia="宋体"/>
                <w:sz w:val="16"/>
              </w:rPr>
              <w:t>416.70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B60F1">
            <w:pPr>
              <w:jc w:val="center"/>
            </w:pPr>
            <w:r>
              <w:rPr>
                <w:rFonts w:ascii="宋体" w:hAnsi="宋体" w:eastAsia="宋体"/>
                <w:sz w:val="16"/>
              </w:rPr>
              <w:t>457.57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663F2">
            <w:pPr>
              <w:jc w:val="center"/>
            </w:pPr>
            <w:r>
              <w:rPr>
                <w:rFonts w:ascii="宋体" w:hAnsi="宋体" w:eastAsia="宋体"/>
                <w:sz w:val="16"/>
              </w:rPr>
              <w:t>407.27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5A4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B6E4D">
            <w:pPr>
              <w:jc w:val="center"/>
            </w:pPr>
            <w:r>
              <w:rPr>
                <w:rFonts w:ascii="宋体" w:hAnsi="宋体" w:eastAsia="宋体"/>
                <w:sz w:val="16"/>
              </w:rPr>
              <w:t>89.01%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9CF3B">
            <w:pPr>
              <w:jc w:val="center"/>
            </w:pPr>
            <w:r>
              <w:rPr>
                <w:rFonts w:ascii="宋体" w:hAnsi="宋体" w:eastAsia="宋体"/>
                <w:sz w:val="16"/>
              </w:rPr>
              <w:t>8.9</w:t>
            </w:r>
          </w:p>
        </w:tc>
      </w:tr>
      <w:tr w14:paraId="7FE93D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5C5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31EA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781FE3">
            <w:pPr>
              <w:jc w:val="center"/>
            </w:pPr>
            <w:r>
              <w:rPr>
                <w:rFonts w:ascii="宋体" w:hAnsi="宋体" w:eastAsia="宋体"/>
                <w:sz w:val="16"/>
              </w:rPr>
              <w:t>44.00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A217B">
            <w:pPr>
              <w:jc w:val="center"/>
            </w:pPr>
            <w:r>
              <w:rPr>
                <w:rFonts w:ascii="宋体" w:hAnsi="宋体" w:eastAsia="宋体"/>
                <w:sz w:val="16"/>
              </w:rPr>
              <w:t>66.17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1553D">
            <w:pPr>
              <w:jc w:val="center"/>
            </w:pPr>
            <w:r>
              <w:rPr>
                <w:rFonts w:ascii="宋体" w:hAnsi="宋体" w:eastAsia="宋体"/>
                <w:sz w:val="16"/>
              </w:rPr>
              <w:t>25.47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9D1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E25E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2AAB4">
            <w:pPr>
              <w:jc w:val="center"/>
            </w:pPr>
            <w:r>
              <w:rPr>
                <w:rFonts w:ascii="宋体" w:hAnsi="宋体" w:eastAsia="宋体"/>
                <w:sz w:val="16"/>
              </w:rPr>
              <w:t>—</w:t>
            </w:r>
          </w:p>
        </w:tc>
      </w:tr>
      <w:tr w14:paraId="514B96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C075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305B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B5BDB">
            <w:pPr>
              <w:jc w:val="center"/>
            </w:pPr>
            <w:r>
              <w:rPr>
                <w:rFonts w:ascii="宋体" w:hAnsi="宋体" w:eastAsia="宋体"/>
                <w:sz w:val="16"/>
              </w:rPr>
              <w:t>363.90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4B399">
            <w:pPr>
              <w:jc w:val="center"/>
            </w:pPr>
            <w:r>
              <w:rPr>
                <w:rFonts w:ascii="宋体" w:hAnsi="宋体" w:eastAsia="宋体"/>
                <w:sz w:val="16"/>
              </w:rPr>
              <w:t>382.60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AD810">
            <w:pPr>
              <w:jc w:val="center"/>
            </w:pPr>
            <w:r>
              <w:rPr>
                <w:rFonts w:ascii="宋体" w:hAnsi="宋体" w:eastAsia="宋体"/>
                <w:sz w:val="16"/>
              </w:rPr>
              <w:t>381.80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56E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0372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66959">
            <w:pPr>
              <w:jc w:val="center"/>
            </w:pPr>
            <w:r>
              <w:rPr>
                <w:rFonts w:ascii="宋体" w:hAnsi="宋体" w:eastAsia="宋体"/>
                <w:sz w:val="16"/>
              </w:rPr>
              <w:t>—</w:t>
            </w:r>
          </w:p>
        </w:tc>
      </w:tr>
      <w:tr w14:paraId="75E633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003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4A57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70840">
            <w:pPr>
              <w:jc w:val="center"/>
            </w:pPr>
            <w:r>
              <w:rPr>
                <w:rFonts w:ascii="宋体" w:hAnsi="宋体" w:eastAsia="宋体"/>
                <w:sz w:val="16"/>
              </w:rPr>
              <w:t>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66492">
            <w:pPr>
              <w:jc w:val="center"/>
            </w:pPr>
            <w:r>
              <w:rPr>
                <w:rFonts w:ascii="宋体" w:hAnsi="宋体" w:eastAsia="宋体"/>
                <w:sz w:val="16"/>
              </w:rPr>
              <w:t>8.80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F01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29F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717C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D66E5">
            <w:pPr>
              <w:jc w:val="center"/>
            </w:pPr>
            <w:r>
              <w:rPr>
                <w:rFonts w:ascii="宋体" w:hAnsi="宋体" w:eastAsia="宋体"/>
                <w:sz w:val="16"/>
              </w:rPr>
              <w:t>—</w:t>
            </w:r>
          </w:p>
        </w:tc>
      </w:tr>
      <w:tr w14:paraId="4AE1B5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F0CC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A621C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EA70EA">
            <w:pPr>
              <w:jc w:val="center"/>
            </w:pPr>
            <w:r>
              <w:rPr>
                <w:rFonts w:ascii="宋体" w:hAnsi="宋体" w:eastAsia="宋体"/>
                <w:sz w:val="16"/>
              </w:rPr>
              <w:t>实际完成情况</w:t>
            </w:r>
          </w:p>
        </w:tc>
      </w:tr>
      <w:tr w14:paraId="79DAC8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98E39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11DE62">
            <w:pPr>
              <w:jc w:val="both"/>
            </w:pPr>
            <w:r>
              <w:rPr>
                <w:rFonts w:ascii="宋体" w:hAnsi="宋体" w:eastAsia="宋体"/>
                <w:sz w:val="16"/>
              </w:rPr>
              <w:t>2024年为切实保障流浪乞讨人员基本生存权，我站始终坚持以人为本，严格执行全年基本支出预算，保障部门正常运转。严格执行项目资金预算支出，充分履行地区救助管理站工作职能，为进一步提高救助服务能力计划购置环卫垃圾箱1个及业务专用设备1台，使救助人员保障率达到95%以上，提高流浪乞讨及未成年人救助保护服务能力，有效保障被救助人员基本权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BD8CF4">
            <w:pPr>
              <w:jc w:val="both"/>
            </w:pPr>
            <w:r>
              <w:rPr>
                <w:rFonts w:ascii="宋体" w:hAnsi="宋体" w:eastAsia="宋体"/>
                <w:sz w:val="16"/>
              </w:rPr>
              <w:t>根据2024年度工作计划中</w:t>
            </w:r>
            <w:r>
              <w:rPr>
                <w:rFonts w:hint="eastAsia" w:ascii="宋体" w:hAnsi="宋体"/>
                <w:sz w:val="16"/>
                <w:lang w:eastAsia="zh-CN"/>
              </w:rPr>
              <w:t>本部门</w:t>
            </w:r>
            <w:r>
              <w:rPr>
                <w:rFonts w:ascii="宋体" w:hAnsi="宋体" w:eastAsia="宋体"/>
                <w:sz w:val="16"/>
              </w:rPr>
              <w:t>中长期规划，</w:t>
            </w:r>
            <w:r>
              <w:rPr>
                <w:rFonts w:hint="eastAsia" w:ascii="宋体" w:hAnsi="宋体"/>
                <w:sz w:val="16"/>
                <w:lang w:eastAsia="zh-CN"/>
              </w:rPr>
              <w:t>本部门</w:t>
            </w:r>
            <w:r>
              <w:rPr>
                <w:rFonts w:ascii="宋体" w:hAnsi="宋体" w:eastAsia="宋体"/>
                <w:sz w:val="16"/>
              </w:rPr>
              <w:t>年度工作计划重点是严格贯彻执行有关部门文件精神，按照“自愿求助、无偿救助”的原则，全体干部职工全力以赴抓好对流浪乞讨人员的求助接待、管理服务、宣传教育、护送返乡、主动劝导救助等工作，计划完成救助人数大于150人。2024年度实际共接待和劝导救助人员213人，对符合救助条件的受助人员及时给予救助，受助人员都得到了妥善安置，未发生重大责任事故和安全事故。</w:t>
            </w:r>
          </w:p>
        </w:tc>
      </w:tr>
      <w:tr w14:paraId="42DAA7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9B3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BC1E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B7F8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57734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1E96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C2F7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BBCB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02C7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54154">
            <w:pPr>
              <w:jc w:val="center"/>
            </w:pPr>
            <w:r>
              <w:rPr>
                <w:rFonts w:ascii="宋体" w:hAnsi="宋体" w:eastAsia="宋体"/>
                <w:sz w:val="16"/>
              </w:rPr>
              <w:t>得分</w:t>
            </w:r>
          </w:p>
        </w:tc>
      </w:tr>
      <w:tr w14:paraId="219DAF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78FC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B42F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4F722">
            <w:pPr>
              <w:jc w:val="center"/>
            </w:pPr>
            <w:r>
              <w:rPr>
                <w:rFonts w:ascii="宋体" w:hAnsi="宋体" w:eastAsia="宋体"/>
                <w:sz w:val="16"/>
              </w:rPr>
              <w:t>困难群众救助人数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3D68F">
            <w:pPr>
              <w:jc w:val="center"/>
            </w:pPr>
            <w:r>
              <w:rPr>
                <w:rFonts w:ascii="宋体" w:hAnsi="宋体" w:eastAsia="宋体"/>
                <w:sz w:val="16"/>
              </w:rPr>
              <w:t>&gt;=150人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9E8C8">
            <w:pPr>
              <w:jc w:val="center"/>
            </w:pPr>
            <w:r>
              <w:rPr>
                <w:rFonts w:ascii="宋体" w:hAnsi="宋体" w:eastAsia="宋体"/>
                <w:sz w:val="16"/>
              </w:rPr>
              <w:t>民发</w:t>
            </w:r>
            <w:r>
              <w:rPr>
                <w:rFonts w:hint="eastAsia" w:ascii="宋体" w:hAnsi="宋体"/>
                <w:sz w:val="16"/>
                <w:lang w:eastAsia="zh-CN"/>
              </w:rPr>
              <w:t>〔2014〕132号</w:t>
            </w:r>
            <w:r>
              <w:rPr>
                <w:rFonts w:ascii="宋体" w:hAnsi="宋体" w:eastAsia="宋体"/>
                <w:sz w:val="16"/>
              </w:rPr>
              <w:t>民政部关于印发《生活无着的流浪乞讨人员救助管理机构工作规程的通知》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14AD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C4739">
            <w:pPr>
              <w:jc w:val="center"/>
            </w:pPr>
            <w:r>
              <w:rPr>
                <w:rFonts w:ascii="宋体" w:hAnsi="宋体" w:eastAsia="宋体"/>
                <w:sz w:val="16"/>
              </w:rPr>
              <w:t>213人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AA6D2">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310E5">
            <w:pPr>
              <w:jc w:val="center"/>
            </w:pPr>
            <w:r>
              <w:rPr>
                <w:rFonts w:ascii="宋体" w:hAnsi="宋体" w:eastAsia="宋体"/>
                <w:sz w:val="16"/>
              </w:rPr>
              <w:t>30</w:t>
            </w:r>
          </w:p>
        </w:tc>
      </w:tr>
      <w:tr w14:paraId="49B170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EE28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BD48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845A0">
            <w:pPr>
              <w:jc w:val="center"/>
            </w:pPr>
            <w:r>
              <w:rPr>
                <w:rFonts w:ascii="宋体" w:hAnsi="宋体" w:eastAsia="宋体"/>
                <w:sz w:val="16"/>
              </w:rPr>
              <w:t>购置环卫垃圾箱及业务专用设备数量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E6588">
            <w:pPr>
              <w:jc w:val="center"/>
            </w:pPr>
            <w:r>
              <w:rPr>
                <w:rFonts w:ascii="宋体" w:hAnsi="宋体" w:eastAsia="宋体"/>
                <w:sz w:val="16"/>
              </w:rPr>
              <w:t>&gt;=2个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EDB6C">
            <w:pPr>
              <w:jc w:val="center"/>
            </w:pPr>
            <w:r>
              <w:rPr>
                <w:rFonts w:ascii="宋体" w:hAnsi="宋体" w:eastAsia="宋体"/>
                <w:sz w:val="16"/>
              </w:rPr>
              <w:t>喀财专报</w:t>
            </w:r>
            <w:r>
              <w:rPr>
                <w:rFonts w:hint="eastAsia" w:ascii="宋体" w:hAnsi="宋体"/>
                <w:sz w:val="16"/>
                <w:lang w:eastAsia="zh-CN"/>
              </w:rPr>
              <w:t>〔2024〕482号</w:t>
            </w:r>
            <w:r>
              <w:rPr>
                <w:rFonts w:ascii="宋体" w:hAnsi="宋体" w:eastAsia="宋体"/>
                <w:sz w:val="16"/>
              </w:rPr>
              <w:t>关于申请新增项目资金预算报告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4623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C7B3B">
            <w:pPr>
              <w:jc w:val="center"/>
            </w:pPr>
            <w:r>
              <w:rPr>
                <w:rFonts w:ascii="宋体" w:hAnsi="宋体" w:eastAsia="宋体"/>
                <w:sz w:val="16"/>
              </w:rPr>
              <w:t>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2CE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3D4E8">
            <w:pPr>
              <w:jc w:val="center"/>
            </w:pPr>
            <w:r>
              <w:rPr>
                <w:rFonts w:ascii="宋体" w:hAnsi="宋体" w:eastAsia="宋体"/>
                <w:sz w:val="16"/>
              </w:rPr>
              <w:t>15</w:t>
            </w:r>
          </w:p>
        </w:tc>
      </w:tr>
      <w:tr w14:paraId="328BB8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ECE4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67F5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29938">
            <w:pPr>
              <w:jc w:val="center"/>
            </w:pPr>
            <w:r>
              <w:rPr>
                <w:rFonts w:ascii="宋体" w:hAnsi="宋体" w:eastAsia="宋体"/>
                <w:sz w:val="16"/>
              </w:rPr>
              <w:t>救助人员救助保障率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CEF6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7D8C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53B0B">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F78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A1C8E">
            <w:pPr>
              <w:jc w:val="center"/>
            </w:pPr>
            <w:r>
              <w:rPr>
                <w:rFonts w:ascii="宋体" w:hAnsi="宋体" w:eastAsia="宋体"/>
                <w:sz w:val="16"/>
              </w:rPr>
              <w:t>105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E1C0C">
            <w:pPr>
              <w:jc w:val="center"/>
            </w:pPr>
            <w:r>
              <w:rPr>
                <w:rFonts w:ascii="宋体" w:hAnsi="宋体" w:eastAsia="宋体"/>
                <w:sz w:val="16"/>
              </w:rPr>
              <w:t>15</w:t>
            </w:r>
          </w:p>
        </w:tc>
      </w:tr>
      <w:tr w14:paraId="2E48DB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20A54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F29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EB709">
            <w:pPr>
              <w:jc w:val="center"/>
            </w:pPr>
            <w:r>
              <w:rPr>
                <w:rFonts w:ascii="宋体" w:hAnsi="宋体" w:eastAsia="宋体"/>
                <w:sz w:val="16"/>
              </w:rPr>
              <w:t>流浪未成年人服务保障率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C841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B402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AC12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D58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C6E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AD1A2">
            <w:pPr>
              <w:jc w:val="center"/>
            </w:pPr>
            <w:r>
              <w:rPr>
                <w:rFonts w:ascii="宋体" w:hAnsi="宋体" w:eastAsia="宋体"/>
                <w:sz w:val="16"/>
              </w:rPr>
              <w:t>15</w:t>
            </w:r>
          </w:p>
        </w:tc>
      </w:tr>
      <w:tr w14:paraId="4704C7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D822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915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76C59">
            <w:pPr>
              <w:jc w:val="center"/>
            </w:pPr>
            <w:r>
              <w:rPr>
                <w:rFonts w:ascii="宋体" w:hAnsi="宋体" w:eastAsia="宋体"/>
                <w:sz w:val="16"/>
              </w:rPr>
              <w:t>流浪乞讨人员救助覆盖率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528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8CD0C">
            <w:pPr>
              <w:jc w:val="center"/>
            </w:pPr>
            <w:r>
              <w:rPr>
                <w:rFonts w:ascii="宋体" w:hAnsi="宋体" w:eastAsia="宋体"/>
                <w:sz w:val="16"/>
              </w:rPr>
              <w:t>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515BB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78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3F6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AD18C">
            <w:pPr>
              <w:jc w:val="center"/>
            </w:pPr>
            <w:r>
              <w:rPr>
                <w:rFonts w:ascii="宋体" w:hAnsi="宋体" w:eastAsia="宋体"/>
                <w:sz w:val="16"/>
              </w:rPr>
              <w:t>15</w:t>
            </w:r>
          </w:p>
        </w:tc>
      </w:tr>
    </w:tbl>
    <w:p w14:paraId="56731D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934CB3A">
        <w:tc>
          <w:tcPr>
            <w:tcW w:w="8848" w:type="dxa"/>
            <w:gridSpan w:val="14"/>
            <w:vAlign w:val="center"/>
          </w:tcPr>
          <w:p w14:paraId="68219D02">
            <w:pPr>
              <w:jc w:val="center"/>
            </w:pPr>
            <w:r>
              <w:rPr>
                <w:rFonts w:ascii="宋体" w:hAnsi="宋体" w:eastAsia="宋体"/>
                <w:sz w:val="24"/>
              </w:rPr>
              <w:t>项目支出绩效自评表</w:t>
            </w:r>
          </w:p>
        </w:tc>
      </w:tr>
      <w:tr w14:paraId="109D6BF0">
        <w:tblPrEx>
          <w:tblCellMar>
            <w:top w:w="0" w:type="dxa"/>
            <w:left w:w="108" w:type="dxa"/>
            <w:bottom w:w="0" w:type="dxa"/>
            <w:right w:w="108" w:type="dxa"/>
          </w:tblCellMar>
        </w:tblPrEx>
        <w:tc>
          <w:tcPr>
            <w:tcW w:w="8848" w:type="dxa"/>
            <w:gridSpan w:val="14"/>
            <w:vAlign w:val="center"/>
          </w:tcPr>
          <w:p w14:paraId="51560BF1">
            <w:pPr>
              <w:jc w:val="center"/>
            </w:pPr>
            <w:r>
              <w:rPr>
                <w:rFonts w:ascii="宋体" w:hAnsi="宋体" w:eastAsia="宋体"/>
                <w:sz w:val="24"/>
              </w:rPr>
              <w:t>(2024年度)</w:t>
            </w:r>
          </w:p>
        </w:tc>
      </w:tr>
      <w:tr w14:paraId="72BA6F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91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18F905">
            <w:pPr>
              <w:jc w:val="center"/>
            </w:pPr>
            <w:r>
              <w:rPr>
                <w:rFonts w:ascii="宋体" w:hAnsi="宋体" w:eastAsia="宋体"/>
                <w:sz w:val="16"/>
              </w:rPr>
              <w:t>广东援疆围墙等设施维修改造和天然气管网接入项目</w:t>
            </w:r>
          </w:p>
        </w:tc>
      </w:tr>
      <w:tr w14:paraId="3376D3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11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B6A90F">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7DA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D68B28">
            <w:pPr>
              <w:jc w:val="center"/>
            </w:pPr>
            <w:r>
              <w:rPr>
                <w:rFonts w:ascii="宋体" w:hAnsi="宋体" w:eastAsia="宋体"/>
                <w:sz w:val="16"/>
              </w:rPr>
              <w:t>喀什地区救助管理站</w:t>
            </w:r>
          </w:p>
        </w:tc>
      </w:tr>
      <w:tr w14:paraId="404DC7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A72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3B4C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76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F5F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97D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EC0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6E6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37EA3">
            <w:pPr>
              <w:jc w:val="center"/>
            </w:pPr>
            <w:r>
              <w:rPr>
                <w:rFonts w:ascii="宋体" w:hAnsi="宋体" w:eastAsia="宋体"/>
                <w:sz w:val="16"/>
              </w:rPr>
              <w:t>得分</w:t>
            </w:r>
          </w:p>
        </w:tc>
      </w:tr>
      <w:tr w14:paraId="0F7B8A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C35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7B04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2D057">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4866E">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294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6A3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8DE7C">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801B7">
            <w:pPr>
              <w:jc w:val="center"/>
            </w:pPr>
            <w:bookmarkStart w:id="0" w:name="_GoBack"/>
            <w:bookmarkEnd w:id="0"/>
            <w:r>
              <w:rPr>
                <w:rFonts w:ascii="宋体" w:hAnsi="宋体" w:eastAsia="宋体"/>
                <w:sz w:val="16"/>
              </w:rPr>
              <w:t>0.00分</w:t>
            </w:r>
          </w:p>
        </w:tc>
      </w:tr>
      <w:tr w14:paraId="2B3A1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9FF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5E9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6A1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A2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54D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875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4A4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01AD">
            <w:pPr>
              <w:jc w:val="center"/>
            </w:pPr>
            <w:r>
              <w:rPr>
                <w:rFonts w:ascii="宋体" w:hAnsi="宋体" w:eastAsia="宋体"/>
                <w:sz w:val="16"/>
              </w:rPr>
              <w:t>—</w:t>
            </w:r>
          </w:p>
        </w:tc>
      </w:tr>
      <w:tr w14:paraId="56B12F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7EF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469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CF795">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9AC5B">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4D9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8C6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F2A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D914">
            <w:pPr>
              <w:jc w:val="center"/>
            </w:pPr>
            <w:r>
              <w:rPr>
                <w:rFonts w:ascii="宋体" w:hAnsi="宋体" w:eastAsia="宋体"/>
                <w:sz w:val="16"/>
              </w:rPr>
              <w:t>—</w:t>
            </w:r>
          </w:p>
        </w:tc>
      </w:tr>
      <w:tr w14:paraId="15ACFA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883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613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10B962">
            <w:pPr>
              <w:jc w:val="center"/>
            </w:pPr>
            <w:r>
              <w:rPr>
                <w:rFonts w:ascii="宋体" w:hAnsi="宋体" w:eastAsia="宋体"/>
                <w:sz w:val="16"/>
              </w:rPr>
              <w:t>实际完成情况</w:t>
            </w:r>
          </w:p>
        </w:tc>
      </w:tr>
      <w:tr w14:paraId="0EF0E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5BEB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CAD5E9">
            <w:pPr>
              <w:jc w:val="both"/>
            </w:pPr>
            <w:r>
              <w:rPr>
                <w:rFonts w:ascii="宋体" w:hAnsi="宋体" w:eastAsia="宋体"/>
                <w:sz w:val="16"/>
              </w:rPr>
              <w:t>项目预算安排资金8.79万元，资金来源为援疆资金，主要用于拆除单位与曙光国际建材中心分区的原长300米濒临倒塌围墙，修筑3.3米高钢筋混凝土围墙，预计使用8.79万元。项目受益人数60人，项目的实施，有利于更好地为困难群众进行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406216">
            <w:pPr>
              <w:jc w:val="both"/>
            </w:pPr>
            <w:r>
              <w:rPr>
                <w:rFonts w:ascii="宋体" w:hAnsi="宋体" w:eastAsia="宋体"/>
                <w:sz w:val="16"/>
              </w:rPr>
              <w:t>本项目已于2023年完工，2024年度对结转资金8.79万元向有关部门申请变更用途继续使用，因未收到回复，2024年度零支出。</w:t>
            </w:r>
          </w:p>
        </w:tc>
      </w:tr>
      <w:tr w14:paraId="5BFBAC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E7B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B2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B63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D61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3D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B4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06B0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00B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916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5D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52E2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9C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5F33B">
            <w:pPr>
              <w:jc w:val="center"/>
            </w:pPr>
            <w:r>
              <w:rPr>
                <w:rFonts w:ascii="宋体" w:hAnsi="宋体" w:eastAsia="宋体"/>
                <w:sz w:val="16"/>
              </w:rPr>
              <w:t>偏差原因分析及改进措施</w:t>
            </w:r>
          </w:p>
        </w:tc>
      </w:tr>
      <w:tr w14:paraId="2ACC3A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EB7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3E6D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67B7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7A2A">
            <w:pPr>
              <w:jc w:val="center"/>
            </w:pPr>
            <w:r>
              <w:rPr>
                <w:rFonts w:ascii="宋体" w:hAnsi="宋体" w:eastAsia="宋体"/>
                <w:sz w:val="16"/>
              </w:rPr>
              <w:t>建设（改造、修缮）工程数量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5E2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242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DE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42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991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BA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DB5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5A1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88030">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79508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16D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22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27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26F5">
            <w:pPr>
              <w:jc w:val="center"/>
            </w:pPr>
            <w:r>
              <w:rPr>
                <w:rFonts w:ascii="宋体" w:hAnsi="宋体" w:eastAsia="宋体"/>
                <w:sz w:val="16"/>
              </w:rPr>
              <w:t>援疆纪念碑新建数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DB1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49A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C7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4C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61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94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22C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9A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66E54">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3AC297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5A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3E1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48F3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89B0">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27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87F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08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C0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B8EE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D0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BA2C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CE5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1E212">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1E633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FD8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85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589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BAC9">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BD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E19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CD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B95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648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FF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2D9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11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CA23D">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264BB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32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2B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FF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E25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F15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F0A8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9C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C880">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FD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FC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4BE9">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A3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C4F84">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3BE4D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7D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6F2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72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622F">
            <w:pPr>
              <w:jc w:val="center"/>
            </w:pPr>
            <w:r>
              <w:rPr>
                <w:rFonts w:ascii="宋体" w:hAnsi="宋体" w:eastAsia="宋体"/>
                <w:sz w:val="16"/>
              </w:rPr>
              <w:t>项目预算控制率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5CC6">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25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18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CA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ED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520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A92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5F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54CC2">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531D0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36A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3EC9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901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904C">
            <w:pPr>
              <w:jc w:val="center"/>
            </w:pPr>
            <w:r>
              <w:rPr>
                <w:rFonts w:ascii="宋体" w:hAnsi="宋体" w:eastAsia="宋体"/>
                <w:sz w:val="16"/>
              </w:rPr>
              <w:t>项目受益人数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3B58">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600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5EA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A0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1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9C0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2C880">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FB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DBA34">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61B02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F9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51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E6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8600">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A5B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3F5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0B3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FA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11F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D6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E3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B94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3612">
            <w:pPr>
              <w:jc w:val="center"/>
            </w:pPr>
            <w:r>
              <w:rPr>
                <w:rFonts w:ascii="宋体" w:hAnsi="宋体" w:eastAsia="宋体"/>
                <w:sz w:val="16"/>
              </w:rPr>
              <w:t>未完成指标原因：本项目已于2023年执行完毕，因项目实施中未做好项目规划和实施范围，致使项目存在结转结余资金，降低了专项项目资金使用率。</w:t>
            </w:r>
            <w:r>
              <w:rPr>
                <w:rFonts w:hint="eastAsia" w:ascii="宋体" w:hAnsi="宋体"/>
                <w:sz w:val="16"/>
                <w:lang w:eastAsia="zh-CN"/>
              </w:rPr>
              <w:t>整改措施</w:t>
            </w:r>
            <w:r>
              <w:rPr>
                <w:rFonts w:ascii="宋体" w:hAnsi="宋体" w:eastAsia="宋体"/>
                <w:sz w:val="16"/>
              </w:rPr>
              <w:t>：积极对接有关部门申请变更使用用途或缴回财政国库。</w:t>
            </w:r>
          </w:p>
        </w:tc>
      </w:tr>
      <w:tr w14:paraId="123DAB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7B6C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9CE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2F5A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D284">
            <w:pPr>
              <w:jc w:val="center"/>
            </w:pPr>
            <w:r>
              <w:rPr>
                <w:rFonts w:ascii="宋体" w:hAnsi="宋体" w:eastAsia="宋体"/>
                <w:sz w:val="16"/>
              </w:rPr>
              <w:t>10分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C63EB68"/>
        </w:tc>
      </w:tr>
    </w:tbl>
    <w:p w14:paraId="3A31F2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D593BC0">
        <w:tblPrEx>
          <w:tblCellMar>
            <w:top w:w="0" w:type="dxa"/>
            <w:left w:w="108" w:type="dxa"/>
            <w:bottom w:w="0" w:type="dxa"/>
            <w:right w:w="108" w:type="dxa"/>
          </w:tblCellMar>
        </w:tblPrEx>
        <w:tc>
          <w:tcPr>
            <w:tcW w:w="8848" w:type="dxa"/>
            <w:gridSpan w:val="14"/>
            <w:vAlign w:val="center"/>
          </w:tcPr>
          <w:p w14:paraId="7C238E7E">
            <w:pPr>
              <w:jc w:val="center"/>
            </w:pPr>
            <w:r>
              <w:rPr>
                <w:rFonts w:ascii="宋体" w:hAnsi="宋体" w:eastAsia="宋体"/>
                <w:sz w:val="24"/>
              </w:rPr>
              <w:t>项目支出绩效自评表</w:t>
            </w:r>
          </w:p>
        </w:tc>
      </w:tr>
      <w:tr w14:paraId="33EDC76B">
        <w:tblPrEx>
          <w:tblCellMar>
            <w:top w:w="0" w:type="dxa"/>
            <w:left w:w="108" w:type="dxa"/>
            <w:bottom w:w="0" w:type="dxa"/>
            <w:right w:w="108" w:type="dxa"/>
          </w:tblCellMar>
        </w:tblPrEx>
        <w:tc>
          <w:tcPr>
            <w:tcW w:w="8848" w:type="dxa"/>
            <w:gridSpan w:val="14"/>
            <w:vAlign w:val="center"/>
          </w:tcPr>
          <w:p w14:paraId="490E4882">
            <w:pPr>
              <w:jc w:val="center"/>
            </w:pPr>
            <w:r>
              <w:rPr>
                <w:rFonts w:ascii="宋体" w:hAnsi="宋体" w:eastAsia="宋体"/>
                <w:sz w:val="24"/>
              </w:rPr>
              <w:t>(2024年度)</w:t>
            </w:r>
          </w:p>
        </w:tc>
      </w:tr>
      <w:tr w14:paraId="5B9DCD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DF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413C38">
            <w:pPr>
              <w:jc w:val="center"/>
            </w:pPr>
            <w:r>
              <w:rPr>
                <w:rFonts w:ascii="宋体" w:hAnsi="宋体" w:eastAsia="宋体"/>
                <w:sz w:val="16"/>
              </w:rPr>
              <w:t>服务能力提升项目</w:t>
            </w:r>
          </w:p>
        </w:tc>
      </w:tr>
      <w:tr w14:paraId="48852E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7C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D5B406">
            <w:pPr>
              <w:jc w:val="center"/>
            </w:pPr>
            <w:r>
              <w:rPr>
                <w:rFonts w:ascii="宋体" w:hAnsi="宋体" w:eastAsia="宋体"/>
                <w:sz w:val="16"/>
              </w:rPr>
              <w:t>喀什地区民政局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E66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0279BE">
            <w:pPr>
              <w:jc w:val="center"/>
            </w:pPr>
            <w:r>
              <w:rPr>
                <w:rFonts w:ascii="宋体" w:hAnsi="宋体" w:eastAsia="宋体"/>
                <w:sz w:val="16"/>
              </w:rPr>
              <w:t>喀什地区救助管理站</w:t>
            </w:r>
          </w:p>
        </w:tc>
      </w:tr>
      <w:tr w14:paraId="6A653E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18E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093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A55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C7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392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D2D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AB5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598B5">
            <w:pPr>
              <w:jc w:val="center"/>
            </w:pPr>
            <w:r>
              <w:rPr>
                <w:rFonts w:ascii="宋体" w:hAnsi="宋体" w:eastAsia="宋体"/>
                <w:sz w:val="16"/>
              </w:rPr>
              <w:t>得分</w:t>
            </w:r>
          </w:p>
        </w:tc>
      </w:tr>
      <w:tr w14:paraId="1F86B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A4E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DA6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CDF72">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8F619">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85323">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EE1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831A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A86F">
            <w:pPr>
              <w:jc w:val="center"/>
            </w:pPr>
            <w:r>
              <w:rPr>
                <w:rFonts w:ascii="宋体" w:hAnsi="宋体" w:eastAsia="宋体"/>
                <w:sz w:val="16"/>
              </w:rPr>
              <w:t>10.00分</w:t>
            </w:r>
          </w:p>
        </w:tc>
      </w:tr>
      <w:tr w14:paraId="7A467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A40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E34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F8F83">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016C4">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60EB2">
            <w:pPr>
              <w:jc w:val="center"/>
            </w:pPr>
            <w:r>
              <w:rPr>
                <w:rFonts w:ascii="宋体" w:hAnsi="宋体" w:eastAsia="宋体"/>
                <w:sz w:val="16"/>
              </w:rPr>
              <w:t>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772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A82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C9A7">
            <w:pPr>
              <w:jc w:val="center"/>
            </w:pPr>
            <w:r>
              <w:rPr>
                <w:rFonts w:ascii="宋体" w:hAnsi="宋体" w:eastAsia="宋体"/>
                <w:sz w:val="16"/>
              </w:rPr>
              <w:t>—</w:t>
            </w:r>
          </w:p>
        </w:tc>
      </w:tr>
      <w:tr w14:paraId="4B8C1A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A54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161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77E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58A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F36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3B9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916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0AEA3">
            <w:pPr>
              <w:jc w:val="center"/>
            </w:pPr>
            <w:r>
              <w:rPr>
                <w:rFonts w:ascii="宋体" w:hAnsi="宋体" w:eastAsia="宋体"/>
                <w:sz w:val="16"/>
              </w:rPr>
              <w:t>—</w:t>
            </w:r>
          </w:p>
        </w:tc>
      </w:tr>
      <w:tr w14:paraId="60E486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714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ECB48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213D07">
            <w:pPr>
              <w:jc w:val="center"/>
            </w:pPr>
            <w:r>
              <w:rPr>
                <w:rFonts w:ascii="宋体" w:hAnsi="宋体" w:eastAsia="宋体"/>
                <w:sz w:val="16"/>
              </w:rPr>
              <w:t>实际完成情况</w:t>
            </w:r>
          </w:p>
        </w:tc>
      </w:tr>
      <w:tr w14:paraId="7640A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E9D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1C9948">
            <w:pPr>
              <w:jc w:val="both"/>
            </w:pPr>
            <w:r>
              <w:rPr>
                <w:rFonts w:ascii="宋体" w:hAnsi="宋体" w:eastAsia="宋体"/>
                <w:sz w:val="16"/>
              </w:rPr>
              <w:t>项目资金主要用于购置购买环卫垃圾箱1个、业务专用设备1台以及单位基础设施日常维修维护费三项服务能力提升相关支出，项目的实施改善了站内救助人员居住环境、提升了救助人员指纹等信息录入准确性和完整性、保障了单位基础设施安全性，综上，项目的实施</w:t>
            </w:r>
            <w:r>
              <w:rPr>
                <w:rFonts w:hint="eastAsia" w:ascii="宋体" w:hAnsi="宋体"/>
                <w:sz w:val="16"/>
                <w:lang w:eastAsia="zh-CN"/>
              </w:rPr>
              <w:t>使其</w:t>
            </w:r>
            <w:r>
              <w:rPr>
                <w:rFonts w:ascii="宋体" w:hAnsi="宋体" w:eastAsia="宋体"/>
                <w:sz w:val="16"/>
              </w:rPr>
              <w:t>整体服务能力得到很大提升。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B7E73F">
            <w:pPr>
              <w:jc w:val="both"/>
            </w:pPr>
            <w:r>
              <w:rPr>
                <w:rFonts w:ascii="宋体" w:hAnsi="宋体" w:eastAsia="宋体"/>
                <w:sz w:val="16"/>
              </w:rPr>
              <w:t>本项目实际完成购置环卫垃圾箱1台、业务专用设备指纹高拍仪1台以及单位基础设施日常维修维护费及消防维保协议支出，有效提升了站内救助环境质量、救助信息准确率及单位基础设施和消防设备质量。</w:t>
            </w:r>
          </w:p>
        </w:tc>
      </w:tr>
      <w:tr w14:paraId="1E9C80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B71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FDE3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F6B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1D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3EA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14AF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3C7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FE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5990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F8A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12B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8BB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33613">
            <w:pPr>
              <w:jc w:val="center"/>
            </w:pPr>
            <w:r>
              <w:rPr>
                <w:rFonts w:ascii="宋体" w:hAnsi="宋体" w:eastAsia="宋体"/>
                <w:sz w:val="16"/>
              </w:rPr>
              <w:t>偏差原因分析及改进措施</w:t>
            </w:r>
          </w:p>
        </w:tc>
      </w:tr>
      <w:tr w14:paraId="6C398B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0B51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E8E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A65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3FE6">
            <w:pPr>
              <w:jc w:val="center"/>
            </w:pPr>
            <w:r>
              <w:rPr>
                <w:rFonts w:ascii="宋体" w:hAnsi="宋体" w:eastAsia="宋体"/>
                <w:sz w:val="16"/>
              </w:rPr>
              <w:t>垃圾箱购置数量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B1D5">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C8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9D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4C9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234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F39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D69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7F00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EF295">
            <w:pPr>
              <w:jc w:val="center"/>
            </w:pPr>
          </w:p>
        </w:tc>
      </w:tr>
      <w:tr w14:paraId="43DDB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94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C5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0F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233F5">
            <w:pPr>
              <w:jc w:val="center"/>
            </w:pPr>
            <w:r>
              <w:rPr>
                <w:rFonts w:ascii="宋体" w:hAnsi="宋体" w:eastAsia="宋体"/>
                <w:sz w:val="16"/>
              </w:rPr>
              <w:t>业务专用设备购置数量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4FF25">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85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09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76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E00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1B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7F51">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DA9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6F0BE">
            <w:pPr>
              <w:jc w:val="center"/>
            </w:pPr>
          </w:p>
        </w:tc>
      </w:tr>
      <w:tr w14:paraId="13F2D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FB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9602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1AF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5560">
            <w:pPr>
              <w:jc w:val="center"/>
            </w:pPr>
            <w:r>
              <w:rPr>
                <w:rFonts w:ascii="宋体" w:hAnsi="宋体" w:eastAsia="宋体"/>
                <w:sz w:val="16"/>
              </w:rPr>
              <w:t>经费支出合规性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778E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2B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D6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A8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90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852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B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23A5">
            <w:pPr>
              <w:jc w:val="center"/>
            </w:pPr>
            <w:r>
              <w:rPr>
                <w:rFonts w:ascii="宋体" w:hAnsi="宋体" w:eastAsia="宋体"/>
                <w:sz w:val="16"/>
              </w:rPr>
              <w:t>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8FFBC">
            <w:pPr>
              <w:jc w:val="center"/>
            </w:pPr>
            <w:r>
              <w:rPr>
                <w:rFonts w:ascii="宋体" w:hAnsi="宋体" w:eastAsia="宋体"/>
                <w:sz w:val="16"/>
              </w:rPr>
              <w:t>偏差原因：“经费支出合规性”设置不精准；整改措施：结合工作计划进一步细化指标设置。</w:t>
            </w:r>
          </w:p>
        </w:tc>
      </w:tr>
      <w:tr w14:paraId="122BD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920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80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E7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B2142">
            <w:pPr>
              <w:jc w:val="center"/>
            </w:pPr>
            <w:r>
              <w:rPr>
                <w:rFonts w:ascii="宋体" w:hAnsi="宋体" w:eastAsia="宋体"/>
                <w:sz w:val="16"/>
              </w:rPr>
              <w:t>维修验收合格率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4754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6E01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A2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7E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09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FF8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78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8D8A">
            <w:pPr>
              <w:jc w:val="center"/>
            </w:pPr>
            <w:r>
              <w:rPr>
                <w:rFonts w:ascii="宋体" w:hAnsi="宋体" w:eastAsia="宋体"/>
                <w:sz w:val="16"/>
              </w:rPr>
              <w:t>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351D0">
            <w:pPr>
              <w:jc w:val="center"/>
            </w:pPr>
            <w:r>
              <w:rPr>
                <w:rFonts w:ascii="宋体" w:hAnsi="宋体" w:eastAsia="宋体"/>
                <w:sz w:val="16"/>
              </w:rPr>
              <w:t>偏差原因：“维修验收合格率”设置不精准；整改措施：结合工作计划进一步细化指标设置。</w:t>
            </w:r>
          </w:p>
        </w:tc>
      </w:tr>
      <w:tr w14:paraId="46390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37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970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D4A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51F7">
            <w:pPr>
              <w:jc w:val="center"/>
            </w:pPr>
            <w:r>
              <w:rPr>
                <w:rFonts w:ascii="宋体" w:hAnsi="宋体" w:eastAsia="宋体"/>
                <w:sz w:val="16"/>
              </w:rPr>
              <w:t>经费支出及时率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4D3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A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48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CF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AB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F5E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B7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6327">
            <w:pPr>
              <w:jc w:val="center"/>
            </w:pPr>
            <w:r>
              <w:rPr>
                <w:rFonts w:ascii="宋体" w:hAnsi="宋体" w:eastAsia="宋体"/>
                <w:sz w:val="16"/>
              </w:rPr>
              <w:t>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06557">
            <w:pPr>
              <w:jc w:val="center"/>
            </w:pPr>
            <w:r>
              <w:rPr>
                <w:rFonts w:ascii="宋体" w:hAnsi="宋体" w:eastAsia="宋体"/>
                <w:sz w:val="16"/>
              </w:rPr>
              <w:t>偏差原因：“经费支出及时率”设置不精准；整改措施：结合工作计划进一步细化指标设置。</w:t>
            </w:r>
          </w:p>
        </w:tc>
      </w:tr>
      <w:tr w14:paraId="70A75E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DB6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9C4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11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1FD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DBF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9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62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EB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FA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9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A4DAD">
            <w:pPr>
              <w:jc w:val="center"/>
            </w:pPr>
            <w:r>
              <w:rPr>
                <w:rFonts w:ascii="宋体" w:hAnsi="宋体" w:eastAsia="宋体"/>
                <w:sz w:val="16"/>
              </w:rPr>
              <w:t>=2024年10月24日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04E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C69C6">
            <w:pPr>
              <w:jc w:val="center"/>
            </w:pPr>
          </w:p>
        </w:tc>
      </w:tr>
      <w:tr w14:paraId="0E3BA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76E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A1E03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00A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08C7">
            <w:pPr>
              <w:jc w:val="center"/>
            </w:pPr>
            <w:r>
              <w:rPr>
                <w:rFonts w:ascii="宋体" w:hAnsi="宋体" w:eastAsia="宋体"/>
                <w:sz w:val="16"/>
              </w:rPr>
              <w:t>购置环卫垃圾箱成本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744E">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56F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00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0C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44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BC3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DC0B">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5F4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D53C7">
            <w:pPr>
              <w:jc w:val="center"/>
            </w:pPr>
          </w:p>
        </w:tc>
      </w:tr>
      <w:tr w14:paraId="76F7F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92A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E69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7CB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66A2">
            <w:pPr>
              <w:jc w:val="center"/>
            </w:pPr>
            <w:r>
              <w:rPr>
                <w:rFonts w:ascii="宋体" w:hAnsi="宋体" w:eastAsia="宋体"/>
                <w:sz w:val="16"/>
              </w:rPr>
              <w:t>购置业务专用设备成本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2819">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45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5D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001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BB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56E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C539">
            <w:pPr>
              <w:jc w:val="center"/>
            </w:pPr>
            <w:r>
              <w:rPr>
                <w:rFonts w:ascii="宋体" w:hAnsi="宋体" w:eastAsia="宋体"/>
                <w:sz w:val="16"/>
              </w:rPr>
              <w:t>=0.599万元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26E74">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5013B">
            <w:pPr>
              <w:jc w:val="center"/>
            </w:pPr>
            <w:r>
              <w:rPr>
                <w:rFonts w:ascii="宋体" w:hAnsi="宋体" w:eastAsia="宋体"/>
                <w:sz w:val="16"/>
              </w:rPr>
              <w:t>偏差原因：“购置业务专用设备成本”设置不精准；整改措施：结合工作计划进一步细化指标设置。</w:t>
            </w:r>
          </w:p>
        </w:tc>
      </w:tr>
      <w:tr w14:paraId="521F1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D4D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D5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1E6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AAB6C">
            <w:pPr>
              <w:jc w:val="center"/>
            </w:pPr>
            <w:r>
              <w:rPr>
                <w:rFonts w:ascii="宋体" w:hAnsi="宋体" w:eastAsia="宋体"/>
                <w:sz w:val="16"/>
              </w:rPr>
              <w:t>单位基础设施维修维护费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F120">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1B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4C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27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1A9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7A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C31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A13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5E671">
            <w:pPr>
              <w:jc w:val="center"/>
            </w:pPr>
          </w:p>
        </w:tc>
      </w:tr>
      <w:tr w14:paraId="658C3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ED3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5F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10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E59B6">
            <w:pPr>
              <w:jc w:val="center"/>
            </w:pPr>
            <w:r>
              <w:rPr>
                <w:rFonts w:ascii="宋体" w:hAnsi="宋体" w:eastAsia="宋体"/>
                <w:sz w:val="16"/>
              </w:rPr>
              <w:t>进一步完善站内基础设施及消防安全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920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8C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2D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1B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D0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FF1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683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EF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9908">
            <w:pPr>
              <w:jc w:val="center"/>
            </w:pPr>
          </w:p>
        </w:tc>
      </w:tr>
      <w:tr w14:paraId="32216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23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D6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49A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092D">
            <w:pPr>
              <w:jc w:val="center"/>
            </w:pPr>
            <w:r>
              <w:rPr>
                <w:rFonts w:ascii="宋体" w:hAnsi="宋体" w:eastAsia="宋体"/>
                <w:sz w:val="16"/>
              </w:rPr>
              <w:t>在站救助人员满意度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AA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F0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CF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E26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C63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9D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1C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D7C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78FC9">
            <w:pPr>
              <w:jc w:val="center"/>
            </w:pPr>
            <w:r>
              <w:rPr>
                <w:rFonts w:ascii="宋体" w:hAnsi="宋体" w:eastAsia="宋体"/>
                <w:sz w:val="16"/>
              </w:rPr>
              <w:t>偏差原因：完成情况较好，导致完成率超过预期值</w:t>
            </w:r>
          </w:p>
        </w:tc>
      </w:tr>
      <w:tr w14:paraId="16AF8F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09CF2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9AD8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BF4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649C">
            <w:pPr>
              <w:jc w:val="center"/>
            </w:pPr>
            <w:r>
              <w:rPr>
                <w:rFonts w:ascii="宋体" w:hAnsi="宋体" w:eastAsia="宋体"/>
                <w:sz w:val="16"/>
              </w:rPr>
              <w:t>97.64分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713182"/>
        </w:tc>
      </w:tr>
    </w:tbl>
    <w:p w14:paraId="3F04EC42">
      <w:r>
        <w:br w:type="page"/>
      </w:r>
    </w:p>
    <w:p w14:paraId="3A791C7C">
      <w:pPr>
        <w:spacing w:line="640" w:lineRule="exact"/>
        <w:ind w:firstLine="640"/>
        <w:jc w:val="both"/>
        <w:outlineLvl w:val="2"/>
      </w:pPr>
      <w:r>
        <w:rPr>
          <w:rFonts w:ascii="黑体" w:hAnsi="黑体" w:eastAsia="黑体"/>
          <w:sz w:val="32"/>
        </w:rPr>
        <w:t>十二、其他需说明的事项</w:t>
      </w:r>
    </w:p>
    <w:p w14:paraId="602E31FF">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项目4个，全年预算数62.60万元，全年执行数21.09万元。</w:t>
      </w:r>
    </w:p>
    <w:p w14:paraId="51A823CC">
      <w:r>
        <w:br w:type="page"/>
      </w:r>
    </w:p>
    <w:p w14:paraId="2424CF49">
      <w:pPr>
        <w:spacing w:line="240" w:lineRule="auto"/>
        <w:jc w:val="center"/>
        <w:outlineLvl w:val="1"/>
      </w:pPr>
      <w:r>
        <w:rPr>
          <w:rFonts w:ascii="黑体" w:hAnsi="黑体" w:eastAsia="黑体"/>
          <w:sz w:val="32"/>
        </w:rPr>
        <w:t>第三部分 专业名词解释</w:t>
      </w:r>
    </w:p>
    <w:p w14:paraId="073C328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794821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6EE0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0D3270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7E2373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2B49EF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508D05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3C3A5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E7B68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809C0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D9B80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9C7B04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DC2B7A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19F08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96CCF76">
      <w:r>
        <w:br w:type="page"/>
      </w:r>
    </w:p>
    <w:p w14:paraId="156FDE96">
      <w:pPr>
        <w:spacing w:line="240" w:lineRule="auto"/>
        <w:jc w:val="center"/>
        <w:outlineLvl w:val="1"/>
      </w:pPr>
      <w:r>
        <w:rPr>
          <w:rFonts w:ascii="黑体" w:hAnsi="黑体" w:eastAsia="黑体"/>
          <w:sz w:val="32"/>
        </w:rPr>
        <w:t>第四部分 部门决算报表（见附表）</w:t>
      </w:r>
    </w:p>
    <w:p w14:paraId="66448836">
      <w:pPr>
        <w:spacing w:line="240" w:lineRule="auto"/>
        <w:ind w:firstLine="640"/>
        <w:jc w:val="both"/>
      </w:pPr>
      <w:r>
        <w:rPr>
          <w:rFonts w:ascii="仿宋_GB2312" w:hAnsi="仿宋_GB2312" w:eastAsia="仿宋_GB2312"/>
          <w:b w:val="0"/>
          <w:sz w:val="32"/>
        </w:rPr>
        <w:t>一、《收入支出决算总表》</w:t>
      </w:r>
    </w:p>
    <w:p w14:paraId="2C03E18B">
      <w:pPr>
        <w:spacing w:line="240" w:lineRule="auto"/>
        <w:ind w:firstLine="640"/>
        <w:jc w:val="both"/>
      </w:pPr>
      <w:r>
        <w:rPr>
          <w:rFonts w:ascii="仿宋_GB2312" w:hAnsi="仿宋_GB2312" w:eastAsia="仿宋_GB2312"/>
          <w:b w:val="0"/>
          <w:sz w:val="32"/>
        </w:rPr>
        <w:t>二、《收入决算表》</w:t>
      </w:r>
    </w:p>
    <w:p w14:paraId="60684157">
      <w:pPr>
        <w:spacing w:line="240" w:lineRule="auto"/>
        <w:ind w:firstLine="640"/>
        <w:jc w:val="both"/>
      </w:pPr>
      <w:r>
        <w:rPr>
          <w:rFonts w:ascii="仿宋_GB2312" w:hAnsi="仿宋_GB2312" w:eastAsia="仿宋_GB2312"/>
          <w:b w:val="0"/>
          <w:sz w:val="32"/>
        </w:rPr>
        <w:t>三、《支出决算表》</w:t>
      </w:r>
    </w:p>
    <w:p w14:paraId="3C827BBC">
      <w:pPr>
        <w:spacing w:line="240" w:lineRule="auto"/>
        <w:ind w:firstLine="640"/>
        <w:jc w:val="both"/>
      </w:pPr>
      <w:r>
        <w:rPr>
          <w:rFonts w:ascii="仿宋_GB2312" w:hAnsi="仿宋_GB2312" w:eastAsia="仿宋_GB2312"/>
          <w:b w:val="0"/>
          <w:sz w:val="32"/>
        </w:rPr>
        <w:t>四、《财政拨款收入支出决算总表》</w:t>
      </w:r>
    </w:p>
    <w:p w14:paraId="5C72B604">
      <w:pPr>
        <w:spacing w:line="240" w:lineRule="auto"/>
        <w:ind w:firstLine="640"/>
        <w:jc w:val="both"/>
      </w:pPr>
      <w:r>
        <w:rPr>
          <w:rFonts w:ascii="仿宋_GB2312" w:hAnsi="仿宋_GB2312" w:eastAsia="仿宋_GB2312"/>
          <w:b w:val="0"/>
          <w:sz w:val="32"/>
        </w:rPr>
        <w:t>五、《一般公共预算财政拨款支出决算表》</w:t>
      </w:r>
    </w:p>
    <w:p w14:paraId="08EE307F">
      <w:pPr>
        <w:spacing w:line="240" w:lineRule="auto"/>
        <w:ind w:firstLine="640"/>
        <w:jc w:val="both"/>
      </w:pPr>
      <w:r>
        <w:rPr>
          <w:rFonts w:ascii="仿宋_GB2312" w:hAnsi="仿宋_GB2312" w:eastAsia="仿宋_GB2312"/>
          <w:b w:val="0"/>
          <w:sz w:val="32"/>
        </w:rPr>
        <w:t>六、《一般公共预算财政拨款基本支出决算表》</w:t>
      </w:r>
    </w:p>
    <w:p w14:paraId="785E38EE">
      <w:pPr>
        <w:spacing w:line="240" w:lineRule="auto"/>
        <w:ind w:firstLine="640"/>
        <w:jc w:val="both"/>
      </w:pPr>
      <w:r>
        <w:rPr>
          <w:rFonts w:ascii="仿宋_GB2312" w:hAnsi="仿宋_GB2312" w:eastAsia="仿宋_GB2312"/>
          <w:b w:val="0"/>
          <w:sz w:val="32"/>
        </w:rPr>
        <w:t>七、《政府性基金预算财政拨款收入支出决算表》</w:t>
      </w:r>
    </w:p>
    <w:p w14:paraId="4633D6E0">
      <w:pPr>
        <w:spacing w:line="240" w:lineRule="auto"/>
        <w:ind w:firstLine="640"/>
        <w:jc w:val="both"/>
      </w:pPr>
      <w:r>
        <w:rPr>
          <w:rFonts w:ascii="仿宋_GB2312" w:hAnsi="仿宋_GB2312" w:eastAsia="仿宋_GB2312"/>
          <w:b w:val="0"/>
          <w:sz w:val="32"/>
        </w:rPr>
        <w:t>八、《国有资本经营预算财政拨款收入支出决算表》</w:t>
      </w:r>
    </w:p>
    <w:p w14:paraId="47627308">
      <w:pPr>
        <w:spacing w:line="240" w:lineRule="auto"/>
        <w:ind w:firstLine="640"/>
        <w:jc w:val="both"/>
      </w:pPr>
      <w:r>
        <w:rPr>
          <w:rFonts w:ascii="仿宋_GB2312" w:hAnsi="仿宋_GB2312" w:eastAsia="仿宋_GB2312"/>
          <w:b w:val="0"/>
          <w:sz w:val="32"/>
        </w:rPr>
        <w:t>九、《财政拨款“三公”经费支出决算表》</w:t>
      </w:r>
    </w:p>
    <w:p w14:paraId="3DD2DFB1">
      <w:pPr>
        <w:spacing w:line="240" w:lineRule="auto"/>
        <w:ind w:firstLine="640"/>
        <w:jc w:val="both"/>
      </w:pPr>
    </w:p>
    <w:p w14:paraId="205FC765">
      <w:pPr>
        <w:spacing w:line="240" w:lineRule="auto"/>
        <w:ind w:firstLine="640"/>
        <w:jc w:val="both"/>
      </w:pPr>
    </w:p>
    <w:p w14:paraId="6764148E">
      <w:pPr>
        <w:spacing w:line="240" w:lineRule="auto"/>
        <w:ind w:firstLine="640"/>
        <w:jc w:val="both"/>
      </w:pPr>
    </w:p>
    <w:p w14:paraId="66A5AE45">
      <w:pPr>
        <w:spacing w:line="240" w:lineRule="auto"/>
        <w:ind w:firstLine="640"/>
        <w:jc w:val="both"/>
      </w:pPr>
    </w:p>
    <w:p w14:paraId="060962A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A526A87-A193-434B-A465-B5083E564C2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5B94A374-980A-4157-B74F-464CA543E765}"/>
  </w:font>
  <w:font w:name="仿宋_GB2312">
    <w:panose1 w:val="02010609030101010101"/>
    <w:charset w:val="86"/>
    <w:family w:val="modern"/>
    <w:pitch w:val="default"/>
    <w:sig w:usb0="00000001" w:usb1="080E0000" w:usb2="00000000" w:usb3="00000000" w:csb0="00040000" w:csb1="00000000"/>
    <w:embedRegular r:id="rId3" w:fontKey="{EB20A955-F118-4671-9978-31A528BB7057}"/>
  </w:font>
  <w:font w:name="楷体_GB2312">
    <w:altName w:val="楷体"/>
    <w:panose1 w:val="02010609030101010101"/>
    <w:charset w:val="86"/>
    <w:family w:val="auto"/>
    <w:pitch w:val="default"/>
    <w:sig w:usb0="00000000" w:usb1="00000000" w:usb2="00000000" w:usb3="00000000" w:csb0="00040000" w:csb1="00000000"/>
    <w:embedRegular r:id="rId4" w:fontKey="{953EB597-C019-4124-9264-3969E2BEB872}"/>
  </w:font>
  <w:font w:name="楷体">
    <w:panose1 w:val="02010609060101010101"/>
    <w:charset w:val="86"/>
    <w:family w:val="auto"/>
    <w:pitch w:val="default"/>
    <w:sig w:usb0="800002BF" w:usb1="38CF7CFA" w:usb2="00000016" w:usb3="00000000" w:csb0="00040001" w:csb1="00000000"/>
  </w:font>
  <w:font w:name="WPSEMBED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A94CF6"/>
    <w:rsid w:val="23BC04D2"/>
    <w:rsid w:val="25275618"/>
    <w:rsid w:val="27CE017C"/>
    <w:rsid w:val="27CF2642"/>
    <w:rsid w:val="282459E2"/>
    <w:rsid w:val="29116777"/>
    <w:rsid w:val="2A053397"/>
    <w:rsid w:val="2A444FB1"/>
    <w:rsid w:val="2A6064E2"/>
    <w:rsid w:val="2C1965E9"/>
    <w:rsid w:val="2D1136DF"/>
    <w:rsid w:val="2DAE0E44"/>
    <w:rsid w:val="2EE24020"/>
    <w:rsid w:val="2FD27414"/>
    <w:rsid w:val="313F1D52"/>
    <w:rsid w:val="318029AB"/>
    <w:rsid w:val="31C63837"/>
    <w:rsid w:val="326F0A17"/>
    <w:rsid w:val="3277581B"/>
    <w:rsid w:val="3298636E"/>
    <w:rsid w:val="38006E2C"/>
    <w:rsid w:val="3914510A"/>
    <w:rsid w:val="3B1220C9"/>
    <w:rsid w:val="3D5275AC"/>
    <w:rsid w:val="3EA7725F"/>
    <w:rsid w:val="3EC014A1"/>
    <w:rsid w:val="3ED7775E"/>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AB733B"/>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4843</Words>
  <Characters>5559</Characters>
  <Lines>0</Lines>
  <Paragraphs>0</Paragraphs>
  <TotalTime>14</TotalTime>
  <ScaleCrop>false</ScaleCrop>
  <LinksUpToDate>false</LinksUpToDate>
  <CharactersWithSpaces>5567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2025-11-11T07:32:22Z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