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94ABB1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新疆维吾尔自治区喀什军用饮食供应站</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6695B5">
      <w:r>
        <w:br w:type="page"/>
      </w:r>
    </w:p>
    <w:p w14:paraId="1633ECD4">
      <w:pPr>
        <w:spacing w:line="640" w:lineRule="exact"/>
        <w:jc w:val="center"/>
        <w:outlineLvl w:val="1"/>
      </w:pPr>
      <w:r>
        <w:rPr>
          <w:rFonts w:ascii="黑体" w:hAnsi="黑体" w:eastAsia="黑体"/>
          <w:sz w:val="32"/>
        </w:rPr>
        <w:t>第一部分 部门概况</w:t>
      </w:r>
    </w:p>
    <w:p w14:paraId="695FA28E">
      <w:pPr>
        <w:spacing w:line="640" w:lineRule="exact"/>
        <w:ind w:firstLine="640"/>
        <w:jc w:val="both"/>
        <w:outlineLvl w:val="2"/>
      </w:pPr>
      <w:r>
        <w:rPr>
          <w:rFonts w:ascii="黑体" w:hAnsi="黑体" w:eastAsia="黑体"/>
          <w:sz w:val="32"/>
        </w:rPr>
        <w:t>一、主要职能</w:t>
      </w:r>
    </w:p>
    <w:p w14:paraId="7E5D73A4">
      <w:pPr>
        <w:spacing w:line="580" w:lineRule="exact"/>
        <w:ind w:firstLine="640"/>
        <w:jc w:val="both"/>
      </w:pPr>
      <w:r>
        <w:rPr>
          <w:rFonts w:ascii="仿宋_GB2312" w:hAnsi="仿宋_GB2312" w:eastAsia="仿宋_GB2312"/>
          <w:sz w:val="32"/>
        </w:rPr>
        <w:t>根据喀编办发</w:t>
      </w:r>
      <w:r>
        <w:rPr>
          <w:rFonts w:hint="eastAsia" w:ascii="仿宋_GB2312" w:hAnsi="仿宋_GB2312" w:eastAsia="仿宋_GB2312"/>
          <w:sz w:val="32"/>
          <w:lang w:eastAsia="zh-CN"/>
        </w:rPr>
        <w:t>〔2015〕61号</w:t>
      </w:r>
      <w:r>
        <w:rPr>
          <w:rFonts w:ascii="仿宋_GB2312" w:hAnsi="仿宋_GB2312" w:eastAsia="仿宋_GB2312"/>
          <w:sz w:val="32"/>
        </w:rPr>
        <w:t>文件规定，喀什军用饮食供应站主要职责是：保障南疆铁路沿线喀什站过往部队（包括军马、军犬）的饮食供应。</w:t>
      </w:r>
    </w:p>
    <w:p w14:paraId="199C913D">
      <w:pPr>
        <w:spacing w:line="640" w:lineRule="exact"/>
        <w:ind w:firstLine="640"/>
        <w:jc w:val="both"/>
        <w:outlineLvl w:val="2"/>
      </w:pPr>
      <w:r>
        <w:rPr>
          <w:rFonts w:ascii="黑体" w:hAnsi="黑体" w:eastAsia="黑体"/>
          <w:sz w:val="32"/>
        </w:rPr>
        <w:t>二、机构设置及人员情况</w:t>
      </w:r>
    </w:p>
    <w:p w14:paraId="2B444F79">
      <w:pPr>
        <w:spacing w:line="580" w:lineRule="exact"/>
        <w:ind w:firstLine="640"/>
        <w:jc w:val="both"/>
      </w:pPr>
      <w:r>
        <w:rPr>
          <w:rFonts w:ascii="仿宋_GB2312" w:hAnsi="仿宋_GB2312" w:eastAsia="仿宋_GB2312"/>
          <w:sz w:val="32"/>
        </w:rPr>
        <w:t>新疆维吾尔自治区喀什军用饮食供应站2024年度，实有人数9人，其中：在职人员8人，增加2人；离休人员0人，增加0人；退休人员1人,增加0人。</w:t>
      </w:r>
    </w:p>
    <w:p w14:paraId="20F5CCEF">
      <w:pPr>
        <w:spacing w:line="580" w:lineRule="exact"/>
        <w:ind w:firstLine="640"/>
        <w:jc w:val="both"/>
      </w:pPr>
      <w:r>
        <w:rPr>
          <w:rFonts w:ascii="仿宋_GB2312" w:hAnsi="仿宋_GB2312" w:eastAsia="仿宋_GB2312"/>
          <w:sz w:val="32"/>
        </w:rPr>
        <w:t>新疆维吾尔自治区喀什军用饮食供应站无下属预算单位，下设</w:t>
      </w:r>
      <w:r>
        <w:rPr>
          <w:rFonts w:hint="eastAsia" w:ascii="仿宋_GB2312" w:hAnsi="仿宋_GB2312" w:eastAsia="仿宋_GB2312"/>
          <w:sz w:val="32"/>
          <w:lang w:val="en-US" w:eastAsia="zh-CN"/>
        </w:rPr>
        <w:t>0</w:t>
      </w:r>
      <w:r>
        <w:rPr>
          <w:rFonts w:ascii="仿宋_GB2312" w:hAnsi="仿宋_GB2312" w:eastAsia="仿宋_GB2312"/>
          <w:sz w:val="32"/>
        </w:rPr>
        <w:t>个科室，分别是：本部门</w:t>
      </w:r>
      <w:r>
        <w:rPr>
          <w:rFonts w:hint="eastAsia" w:ascii="仿宋_GB2312" w:hAnsi="仿宋_GB2312" w:eastAsia="仿宋_GB2312"/>
          <w:sz w:val="32"/>
        </w:rPr>
        <w:t>无下设</w:t>
      </w:r>
      <w:r>
        <w:rPr>
          <w:rFonts w:hint="eastAsia" w:ascii="仿宋_GB2312" w:hAnsi="仿宋_GB2312" w:eastAsia="仿宋_GB2312"/>
          <w:sz w:val="32"/>
          <w:lang w:val="en-US" w:eastAsia="zh-CN"/>
        </w:rPr>
        <w:t>科室</w:t>
      </w:r>
      <w:r>
        <w:rPr>
          <w:rFonts w:ascii="仿宋_GB2312" w:hAnsi="仿宋_GB2312" w:eastAsia="仿宋_GB2312"/>
          <w:sz w:val="32"/>
        </w:rPr>
        <w:t>。</w:t>
      </w:r>
    </w:p>
    <w:p w14:paraId="0E6B9FE8">
      <w:r>
        <w:br w:type="page"/>
      </w:r>
    </w:p>
    <w:p w14:paraId="611F9ABF">
      <w:pPr>
        <w:spacing w:line="240" w:lineRule="auto"/>
        <w:jc w:val="center"/>
        <w:outlineLvl w:val="1"/>
      </w:pPr>
      <w:r>
        <w:rPr>
          <w:rFonts w:ascii="黑体" w:hAnsi="黑体" w:eastAsia="黑体"/>
          <w:sz w:val="32"/>
        </w:rPr>
        <w:t>第二部分 部门决算情况说明</w:t>
      </w:r>
    </w:p>
    <w:p w14:paraId="62AE9E88">
      <w:pPr>
        <w:spacing w:line="640" w:lineRule="exact"/>
        <w:ind w:firstLine="640"/>
        <w:jc w:val="both"/>
        <w:outlineLvl w:val="2"/>
      </w:pPr>
      <w:r>
        <w:rPr>
          <w:rFonts w:ascii="黑体" w:hAnsi="黑体" w:eastAsia="黑体"/>
          <w:sz w:val="32"/>
        </w:rPr>
        <w:t>一、收入支出决算总体情况说明</w:t>
      </w:r>
    </w:p>
    <w:p w14:paraId="1D4B2149">
      <w:pPr>
        <w:spacing w:line="580" w:lineRule="exact"/>
        <w:ind w:firstLine="640"/>
        <w:jc w:val="both"/>
      </w:pPr>
      <w:r>
        <w:rPr>
          <w:rFonts w:ascii="仿宋_GB2312" w:hAnsi="仿宋_GB2312" w:eastAsia="仿宋_GB2312"/>
          <w:b/>
          <w:sz w:val="32"/>
        </w:rPr>
        <w:t>2024年度收入总计248.13万元，</w:t>
      </w:r>
      <w:r>
        <w:rPr>
          <w:rFonts w:ascii="仿宋_GB2312" w:hAnsi="仿宋_GB2312" w:eastAsia="仿宋_GB2312"/>
          <w:b w:val="0"/>
          <w:sz w:val="32"/>
        </w:rPr>
        <w:t>其中：本年收入合计248.13万元，使用非财政拨款结余（含专用结余）0.00万元，年初结转和结余0.00万元。</w:t>
      </w:r>
    </w:p>
    <w:p w14:paraId="1DD9B6AB">
      <w:pPr>
        <w:spacing w:line="580" w:lineRule="exact"/>
        <w:ind w:firstLine="640"/>
        <w:jc w:val="both"/>
      </w:pPr>
      <w:r>
        <w:rPr>
          <w:rFonts w:ascii="仿宋_GB2312" w:hAnsi="仿宋_GB2312" w:eastAsia="仿宋_GB2312"/>
          <w:b/>
          <w:sz w:val="32"/>
        </w:rPr>
        <w:t>2024年度支出总计248.13万元，</w:t>
      </w:r>
      <w:r>
        <w:rPr>
          <w:rFonts w:ascii="仿宋_GB2312" w:hAnsi="仿宋_GB2312" w:eastAsia="仿宋_GB2312"/>
          <w:b w:val="0"/>
          <w:sz w:val="32"/>
        </w:rPr>
        <w:t>其中：本年支出合计217.13万元，结余分配0.00万元，年末结转和结余31.00万元。</w:t>
      </w:r>
    </w:p>
    <w:p w14:paraId="6FC67612">
      <w:pPr>
        <w:spacing w:line="580" w:lineRule="exact"/>
        <w:ind w:firstLine="640"/>
        <w:jc w:val="both"/>
      </w:pPr>
      <w:r>
        <w:rPr>
          <w:rFonts w:ascii="仿宋_GB2312" w:hAnsi="仿宋_GB2312" w:eastAsia="仿宋_GB2312"/>
          <w:b w:val="0"/>
          <w:sz w:val="32"/>
        </w:rPr>
        <w:t>收入支出总体与上年相比，增加70.68万元，增长39.83%，主要原因是：一是本年在职人员增加，在职人员工资调增、社保、公积金基数调增，人员经费增加；二是本年新增2024年中央优抚事业补助项目，导致经费较上年增加。</w:t>
      </w:r>
    </w:p>
    <w:p w14:paraId="1F33B4C5">
      <w:pPr>
        <w:spacing w:line="640" w:lineRule="exact"/>
        <w:ind w:firstLine="640"/>
        <w:jc w:val="both"/>
        <w:outlineLvl w:val="2"/>
      </w:pPr>
      <w:r>
        <w:rPr>
          <w:rFonts w:ascii="黑体" w:hAnsi="黑体" w:eastAsia="黑体"/>
          <w:sz w:val="32"/>
        </w:rPr>
        <w:t>二、收入决算情况说明</w:t>
      </w:r>
    </w:p>
    <w:p w14:paraId="1E0A3FF1">
      <w:pPr>
        <w:spacing w:line="580" w:lineRule="exact"/>
        <w:ind w:firstLine="640"/>
        <w:jc w:val="both"/>
      </w:pPr>
      <w:r>
        <w:rPr>
          <w:rFonts w:ascii="仿宋_GB2312" w:hAnsi="仿宋_GB2312" w:eastAsia="仿宋_GB2312"/>
          <w:b/>
          <w:sz w:val="32"/>
        </w:rPr>
        <w:t>本年收入248.13万元，</w:t>
      </w:r>
      <w:r>
        <w:rPr>
          <w:rFonts w:ascii="仿宋_GB2312" w:hAnsi="仿宋_GB2312" w:eastAsia="仿宋_GB2312"/>
          <w:b w:val="0"/>
          <w:sz w:val="32"/>
        </w:rPr>
        <w:t>其中：财政拨款收入217.13万元，占87.51%；上级补助收入0.00万元，占0.00%；事业收入0.00万元，占0.00%；经营收入0.00万元，占0.00%；附属单位上缴收入0.00万元，占0.00%；其他收入31.00万元，占12.49%。</w:t>
      </w:r>
    </w:p>
    <w:p w14:paraId="0934E3F5">
      <w:pPr>
        <w:spacing w:line="640" w:lineRule="exact"/>
        <w:ind w:firstLine="640"/>
        <w:jc w:val="both"/>
        <w:outlineLvl w:val="2"/>
      </w:pPr>
      <w:r>
        <w:rPr>
          <w:rFonts w:ascii="黑体" w:hAnsi="黑体" w:eastAsia="黑体"/>
          <w:sz w:val="32"/>
        </w:rPr>
        <w:t>三、支出决算情况说明</w:t>
      </w:r>
    </w:p>
    <w:p w14:paraId="6D21260E">
      <w:pPr>
        <w:spacing w:line="580" w:lineRule="exact"/>
        <w:ind w:firstLine="640"/>
        <w:jc w:val="both"/>
      </w:pPr>
      <w:r>
        <w:rPr>
          <w:rFonts w:ascii="仿宋_GB2312" w:hAnsi="仿宋_GB2312" w:eastAsia="仿宋_GB2312"/>
          <w:b/>
          <w:sz w:val="32"/>
        </w:rPr>
        <w:t>本年支出217.13万元，</w:t>
      </w:r>
      <w:r>
        <w:rPr>
          <w:rFonts w:ascii="仿宋_GB2312" w:hAnsi="仿宋_GB2312" w:eastAsia="仿宋_GB2312"/>
          <w:b w:val="0"/>
          <w:sz w:val="32"/>
        </w:rPr>
        <w:t>其中：基本支出129.78万元，占59.77%；项目支出87.35万元，占40.23%；上缴上级支出0.00万元，占0.00%；经营支出0.00万元，占0.00%；对附属单位补助支出0.00万元，占0.00%。</w:t>
      </w:r>
    </w:p>
    <w:p w14:paraId="0D6159E1">
      <w:pPr>
        <w:spacing w:line="640" w:lineRule="exact"/>
        <w:ind w:firstLine="640"/>
        <w:jc w:val="both"/>
        <w:outlineLvl w:val="2"/>
      </w:pPr>
      <w:r>
        <w:rPr>
          <w:rFonts w:ascii="黑体" w:hAnsi="黑体" w:eastAsia="黑体"/>
          <w:sz w:val="32"/>
        </w:rPr>
        <w:t>四、财政拨款收入支出决算总体情况说明</w:t>
      </w:r>
    </w:p>
    <w:p w14:paraId="54408B2B">
      <w:pPr>
        <w:spacing w:line="580" w:lineRule="exact"/>
        <w:ind w:firstLine="640"/>
        <w:jc w:val="both"/>
      </w:pPr>
      <w:r>
        <w:rPr>
          <w:rFonts w:ascii="仿宋_GB2312" w:hAnsi="仿宋_GB2312" w:eastAsia="仿宋_GB2312"/>
          <w:b/>
          <w:sz w:val="32"/>
        </w:rPr>
        <w:t>2024年度财政拨款收入总计217.13万元，</w:t>
      </w:r>
      <w:r>
        <w:rPr>
          <w:rFonts w:ascii="仿宋_GB2312" w:hAnsi="仿宋_GB2312" w:eastAsia="仿宋_GB2312"/>
          <w:b w:val="0"/>
          <w:sz w:val="32"/>
        </w:rPr>
        <w:t>其中：年初财政拨款结转和结余0.00万元，本年财政拨款收入217.13万元。</w:t>
      </w:r>
      <w:r>
        <w:rPr>
          <w:rFonts w:ascii="仿宋_GB2312" w:hAnsi="仿宋_GB2312" w:eastAsia="仿宋_GB2312"/>
          <w:b/>
          <w:sz w:val="32"/>
        </w:rPr>
        <w:t>财政拨款支出总计217.13万元，</w:t>
      </w:r>
      <w:r>
        <w:rPr>
          <w:rFonts w:ascii="仿宋_GB2312" w:hAnsi="仿宋_GB2312" w:eastAsia="仿宋_GB2312"/>
          <w:b w:val="0"/>
          <w:sz w:val="32"/>
        </w:rPr>
        <w:t>其中：年末财政拨款结转和结余0.00万元，本年财政拨款支出217.13万元。</w:t>
      </w:r>
    </w:p>
    <w:p w14:paraId="57D71D6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增加39.68万元，增长22.36%，主要原因是：一是本年在职人员增加，在职人员工资调增、社保、公积金基数调增，人员经费增加；二是本年新增2024年中央优抚事业补助项目，导致经费较上年增加。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年初预算数207.04万元，决算数217.13万元，预决算差异率4.87%，主要原因是：年中追加人员工资、社保、公积金基数调增部分资金，导致预决算存在差异。</w:t>
      </w:r>
    </w:p>
    <w:p w14:paraId="332F8DF6">
      <w:pPr>
        <w:spacing w:line="640" w:lineRule="exact"/>
        <w:ind w:firstLine="640"/>
        <w:jc w:val="both"/>
        <w:outlineLvl w:val="2"/>
      </w:pPr>
      <w:r>
        <w:rPr>
          <w:rFonts w:ascii="黑体" w:hAnsi="黑体" w:eastAsia="黑体"/>
          <w:sz w:val="32"/>
        </w:rPr>
        <w:t>五、一般公共预算财政拨款支出决算情况说明</w:t>
      </w:r>
    </w:p>
    <w:p w14:paraId="1268AA5E">
      <w:pPr>
        <w:spacing w:line="640" w:lineRule="exact"/>
        <w:ind w:firstLine="640"/>
        <w:jc w:val="both"/>
        <w:outlineLvl w:val="3"/>
      </w:pPr>
      <w:r>
        <w:rPr>
          <w:rFonts w:ascii="楷体_GB2312" w:hAnsi="楷体_GB2312" w:eastAsia="楷体_GB2312"/>
          <w:b/>
          <w:sz w:val="32"/>
        </w:rPr>
        <w:t>（一）一般公共预算财政拨款支出决算总体情况</w:t>
      </w:r>
    </w:p>
    <w:p w14:paraId="05F15D8E">
      <w:pPr>
        <w:spacing w:line="580" w:lineRule="exact"/>
        <w:ind w:firstLine="640"/>
        <w:jc w:val="both"/>
      </w:pPr>
      <w:r>
        <w:rPr>
          <w:rFonts w:ascii="仿宋_GB2312" w:hAnsi="仿宋_GB2312" w:eastAsia="仿宋_GB2312"/>
          <w:b/>
          <w:sz w:val="32"/>
        </w:rPr>
        <w:t>2024年度一般公共预算财政拨款支出217.13万元，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增加39.68万元，增长22.36%，主要原因是：一是本年在职人员增加，在职人员工资调增、社保、公积金基数调增，人员经费增加；二是本年新增2024年中央优抚事业补助项目，导致经费较上年增加。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年初预算数207.04万元，决算数217.13万元，预决算差异率4.87%，主要原因是：年中追加人员工资、社保、公积金基数调增部分资金，导致预决算存在差异。</w:t>
      </w:r>
    </w:p>
    <w:p w14:paraId="4B0A6ECF">
      <w:pPr>
        <w:spacing w:line="640" w:lineRule="exact"/>
        <w:ind w:firstLine="640"/>
        <w:jc w:val="both"/>
        <w:outlineLvl w:val="3"/>
      </w:pPr>
      <w:r>
        <w:rPr>
          <w:rFonts w:ascii="楷体_GB2312" w:hAnsi="楷体_GB2312" w:eastAsia="楷体_GB2312"/>
          <w:b/>
          <w:sz w:val="32"/>
        </w:rPr>
        <w:t>（二）一般公共预算财政拨款支出决算结构情况</w:t>
      </w:r>
    </w:p>
    <w:p w14:paraId="2ECA4698">
      <w:pPr>
        <w:spacing w:line="580" w:lineRule="exact"/>
        <w:ind w:firstLine="640"/>
        <w:jc w:val="both"/>
      </w:pPr>
      <w:r>
        <w:rPr>
          <w:rFonts w:ascii="仿宋_GB2312" w:hAnsi="仿宋_GB2312" w:eastAsia="仿宋_GB2312"/>
          <w:b w:val="0"/>
          <w:sz w:val="32"/>
        </w:rPr>
        <w:t>1.社会保障和就业支出(类)203.25万元,占93.61%。</w:t>
      </w:r>
    </w:p>
    <w:p w14:paraId="7A689184">
      <w:pPr>
        <w:spacing w:line="580" w:lineRule="exact"/>
        <w:ind w:firstLine="640"/>
        <w:jc w:val="both"/>
      </w:pPr>
      <w:r>
        <w:rPr>
          <w:rFonts w:ascii="仿宋_GB2312" w:hAnsi="仿宋_GB2312" w:eastAsia="仿宋_GB2312"/>
          <w:b w:val="0"/>
          <w:sz w:val="32"/>
        </w:rPr>
        <w:t>2.卫生健康支出(类)4.65万元,占2.14%。</w:t>
      </w:r>
    </w:p>
    <w:p w14:paraId="198C28D9">
      <w:pPr>
        <w:spacing w:line="580" w:lineRule="exact"/>
        <w:ind w:firstLine="640"/>
        <w:jc w:val="both"/>
      </w:pPr>
      <w:r>
        <w:rPr>
          <w:rFonts w:ascii="仿宋_GB2312" w:hAnsi="仿宋_GB2312" w:eastAsia="仿宋_GB2312"/>
          <w:b w:val="0"/>
          <w:sz w:val="32"/>
        </w:rPr>
        <w:t>3.住房保障支出(类)9.24万元,占4.26%。</w:t>
      </w:r>
    </w:p>
    <w:p w14:paraId="7E764908">
      <w:pPr>
        <w:spacing w:line="640" w:lineRule="exact"/>
        <w:ind w:firstLine="640"/>
        <w:jc w:val="both"/>
        <w:outlineLvl w:val="3"/>
      </w:pPr>
      <w:r>
        <w:rPr>
          <w:rFonts w:ascii="楷体_GB2312" w:hAnsi="楷体_GB2312" w:eastAsia="楷体_GB2312"/>
          <w:b/>
          <w:sz w:val="32"/>
        </w:rPr>
        <w:t>（三）一般公共预算财政拨款支出决算具体情况</w:t>
      </w:r>
    </w:p>
    <w:p w14:paraId="79E4D2E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1.社会保障和就业支出(类)行政事业单位养老支出(款)事业单位离退休(项):支出决算数为1.32万元，比上年决算增加0.24万元，增长22.22%,主要原因是：本年补发退休人员基础绩效奖，导致退休费较上年增加。</w:t>
      </w:r>
    </w:p>
    <w:p w14:paraId="064D330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10.94万元，比上年决算增加2.15万元，增长24.46%,主要原因是：本年在职人员增加，养老保险缴费较上年增加。</w:t>
      </w:r>
    </w:p>
    <w:p w14:paraId="67DC28AB">
      <w:pPr>
        <w:spacing w:line="580" w:lineRule="exact"/>
        <w:ind w:firstLine="640"/>
        <w:jc w:val="both"/>
      </w:pPr>
      <w:r>
        <w:rPr>
          <w:rFonts w:ascii="仿宋_GB2312" w:hAnsi="仿宋_GB2312" w:eastAsia="仿宋_GB2312"/>
          <w:b w:val="0"/>
          <w:sz w:val="32"/>
        </w:rPr>
        <w:t>3.社会保障和就业支出(类)退役军人管理事务(款)军供保障(项):支出决算数为190.99万元，比上年决算增加34.55万元，增长22.09%,主要原因是：本年增加2024年中央优抚事业补助项目经费，导致经费较上年增加。</w:t>
      </w:r>
    </w:p>
    <w:p w14:paraId="424E2485">
      <w:pPr>
        <w:spacing w:line="580" w:lineRule="exact"/>
        <w:ind w:firstLine="640"/>
        <w:jc w:val="both"/>
      </w:pPr>
      <w:r>
        <w:rPr>
          <w:rFonts w:ascii="仿宋_GB2312" w:hAnsi="仿宋_GB2312" w:eastAsia="仿宋_GB2312"/>
          <w:b w:val="0"/>
          <w:sz w:val="32"/>
        </w:rPr>
        <w:t>4.卫生健康支出(类)行政事业单位医疗(款)事业单位医疗(项):支出决算数为4.65万元，比上年决算增加0.91万元，增长24.33%,主要原因是：本年在职人员增加，事业单位医疗支出较上年增加。</w:t>
      </w:r>
    </w:p>
    <w:p w14:paraId="3895539D">
      <w:pPr>
        <w:spacing w:line="580" w:lineRule="exact"/>
        <w:ind w:firstLine="640"/>
        <w:jc w:val="both"/>
      </w:pPr>
      <w:r>
        <w:rPr>
          <w:rFonts w:ascii="仿宋_GB2312" w:hAnsi="仿宋_GB2312" w:eastAsia="仿宋_GB2312"/>
          <w:b w:val="0"/>
          <w:sz w:val="32"/>
        </w:rPr>
        <w:t>5.住房保障支出(类)住房改革支出(款)住房公积金(项):支出决算数为9.24万元，比上年决算增加1.84万元，增长24.86%,主要原因是：本年在职人员增加，住房公积金支出较上年增加。</w:t>
      </w:r>
    </w:p>
    <w:p w14:paraId="2319184B">
      <w:pPr>
        <w:spacing w:line="640" w:lineRule="exact"/>
        <w:ind w:firstLine="640"/>
        <w:jc w:val="both"/>
        <w:outlineLvl w:val="2"/>
      </w:pPr>
      <w:r>
        <w:rPr>
          <w:rFonts w:ascii="黑体" w:hAnsi="黑体" w:eastAsia="黑体"/>
          <w:sz w:val="32"/>
        </w:rPr>
        <w:t>六、一般公共预算财政拨款基本支出决算情况说明</w:t>
      </w:r>
    </w:p>
    <w:p w14:paraId="7BFD2C7D">
      <w:pPr>
        <w:spacing w:line="580" w:lineRule="exact"/>
        <w:ind w:firstLine="640"/>
        <w:jc w:val="both"/>
      </w:pPr>
      <w:r>
        <w:rPr>
          <w:rFonts w:ascii="仿宋_GB2312" w:hAnsi="仿宋_GB2312" w:eastAsia="仿宋_GB2312"/>
          <w:b w:val="0"/>
          <w:sz w:val="32"/>
        </w:rPr>
        <w:t>2024年度一般公共预算财政拨款基本支出129.78万元，其中：</w:t>
      </w:r>
      <w:r>
        <w:rPr>
          <w:rFonts w:ascii="仿宋_GB2312" w:hAnsi="仿宋_GB2312" w:eastAsia="仿宋_GB2312"/>
          <w:b/>
          <w:sz w:val="32"/>
        </w:rPr>
        <w:t>人员经费123.41万元，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包括：基本工资、津贴补贴、奖金、绩效工资、机关事业单位基本养老保险缴费、职工基本医疗保险缴费、其他社会保障缴费、住房公积金、其他工资福利支出、退休费、奖励金。</w:t>
      </w:r>
    </w:p>
    <w:p w14:paraId="1846F028">
      <w:pPr>
        <w:spacing w:line="580" w:lineRule="exact"/>
        <w:ind w:firstLine="640"/>
        <w:jc w:val="both"/>
      </w:pPr>
      <w:r>
        <w:rPr>
          <w:rFonts w:ascii="仿宋_GB2312" w:hAnsi="仿宋_GB2312" w:eastAsia="仿宋_GB2312"/>
          <w:b/>
          <w:sz w:val="32"/>
        </w:rPr>
        <w:t>公用经费6.37万元，</w:t>
      </w:r>
      <w:r>
        <w:rPr>
          <w:rFonts w:ascii="仿宋_GB2312" w:hAnsi="仿宋_GB2312" w:eastAsia="仿宋_GB2312"/>
          <w:b w:val="0"/>
          <w:sz w:val="32"/>
        </w:rPr>
        <w:t>包括：办公费、手续费、水费、电费、邮电费、取暖费、差旅费、专用材料费、工会经费、公务用车运行维护费、其他商品和服务支出。</w:t>
      </w:r>
    </w:p>
    <w:p w14:paraId="37453A9C">
      <w:pPr>
        <w:spacing w:line="640" w:lineRule="exact"/>
        <w:ind w:firstLine="640"/>
        <w:jc w:val="both"/>
        <w:outlineLvl w:val="2"/>
      </w:pPr>
      <w:r>
        <w:rPr>
          <w:rFonts w:ascii="黑体" w:hAnsi="黑体" w:eastAsia="黑体"/>
          <w:sz w:val="32"/>
        </w:rPr>
        <w:t>七、政府性基金预算财政拨款收入支出决算情况说明</w:t>
      </w:r>
    </w:p>
    <w:p w14:paraId="2B66961E">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878F380">
      <w:pPr>
        <w:spacing w:line="640" w:lineRule="exact"/>
        <w:ind w:firstLine="640"/>
        <w:jc w:val="both"/>
        <w:outlineLvl w:val="2"/>
      </w:pPr>
      <w:r>
        <w:rPr>
          <w:rFonts w:ascii="黑体" w:hAnsi="黑体" w:eastAsia="黑体"/>
          <w:sz w:val="32"/>
        </w:rPr>
        <w:t>八、国有资本经营预算财政拨款收入支出决算情况说明</w:t>
      </w:r>
    </w:p>
    <w:p w14:paraId="2D6B4B8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CAAAEAB">
      <w:pPr>
        <w:spacing w:line="640" w:lineRule="exact"/>
        <w:ind w:firstLine="640"/>
        <w:jc w:val="both"/>
        <w:outlineLvl w:val="2"/>
      </w:pPr>
      <w:r>
        <w:rPr>
          <w:rFonts w:ascii="黑体" w:hAnsi="黑体" w:eastAsia="黑体"/>
          <w:sz w:val="32"/>
        </w:rPr>
        <w:t>九、财政拨款“三公”经费支出决算情况说明</w:t>
      </w:r>
    </w:p>
    <w:p w14:paraId="607C3832">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1.30万元，占100.00%，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3C8280BF">
      <w:pPr>
        <w:spacing w:line="580" w:lineRule="exact"/>
        <w:ind w:firstLine="640"/>
        <w:jc w:val="both"/>
      </w:pPr>
      <w:r>
        <w:rPr>
          <w:rFonts w:ascii="仿宋_GB2312" w:hAnsi="仿宋_GB2312" w:eastAsia="仿宋_GB2312"/>
          <w:b/>
          <w:sz w:val="32"/>
        </w:rPr>
        <w:t>具体情况如下：</w:t>
      </w:r>
    </w:p>
    <w:p w14:paraId="79133BCE">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E3A06CA">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保险费、维修维护费、车辆燃油费。公务用车购置数0辆，公务用车保有量1辆。国有资产占用情况中固定资产车辆1辆，与公务用车保有量差异原因是：本部门固定资产车辆与公务用车保有量一致无差异。</w:t>
      </w:r>
    </w:p>
    <w:p w14:paraId="760053E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BE51D0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20D13759">
      <w:pPr>
        <w:spacing w:line="640" w:lineRule="exact"/>
        <w:ind w:firstLine="640"/>
        <w:jc w:val="both"/>
        <w:outlineLvl w:val="2"/>
      </w:pPr>
      <w:r>
        <w:rPr>
          <w:rFonts w:ascii="黑体" w:hAnsi="黑体" w:eastAsia="黑体"/>
          <w:sz w:val="32"/>
        </w:rPr>
        <w:t>十、其他重要事项的情况说明</w:t>
      </w:r>
    </w:p>
    <w:p w14:paraId="1B541793">
      <w:pPr>
        <w:spacing w:line="640" w:lineRule="exact"/>
        <w:ind w:firstLine="640"/>
        <w:jc w:val="both"/>
        <w:outlineLvl w:val="3"/>
      </w:pPr>
      <w:r>
        <w:rPr>
          <w:rFonts w:ascii="楷体_GB2312" w:hAnsi="楷体_GB2312" w:eastAsia="楷体_GB2312"/>
          <w:b/>
          <w:sz w:val="32"/>
        </w:rPr>
        <w:t>（一）机关运行经费及公用经费支出情况</w:t>
      </w:r>
    </w:p>
    <w:p w14:paraId="470D88B2">
      <w:pPr>
        <w:spacing w:line="580" w:lineRule="exact"/>
        <w:ind w:firstLine="640"/>
        <w:jc w:val="both"/>
      </w:pPr>
      <w:r>
        <w:rPr>
          <w:rFonts w:ascii="仿宋_GB2312" w:hAnsi="仿宋_GB2312" w:eastAsia="仿宋_GB2312"/>
          <w:b w:val="0"/>
          <w:sz w:val="32"/>
        </w:rPr>
        <w:t>2024年度新疆维吾尔自治区喀什军用饮食供应站（事业单位）公用经费支出6.37万元，比上年增加0.19万元，增长3.07%，主要原因是：本年增加水费、电费、办公用房取暖费等公用经费支出，导致经费较上年增加。</w:t>
      </w:r>
    </w:p>
    <w:p w14:paraId="2D549EFA">
      <w:pPr>
        <w:spacing w:line="640" w:lineRule="exact"/>
        <w:ind w:firstLine="640"/>
        <w:jc w:val="both"/>
        <w:outlineLvl w:val="3"/>
      </w:pPr>
      <w:r>
        <w:rPr>
          <w:rFonts w:ascii="楷体_GB2312" w:hAnsi="楷体_GB2312" w:eastAsia="楷体_GB2312"/>
          <w:b/>
          <w:sz w:val="32"/>
        </w:rPr>
        <w:t>（二）政府采购情况</w:t>
      </w:r>
    </w:p>
    <w:p w14:paraId="35240A84">
      <w:pPr>
        <w:spacing w:line="580" w:lineRule="exact"/>
        <w:ind w:firstLine="640"/>
        <w:jc w:val="both"/>
      </w:pPr>
      <w:r>
        <w:rPr>
          <w:rFonts w:ascii="仿宋_GB2312" w:hAnsi="仿宋_GB2312" w:eastAsia="仿宋_GB2312"/>
          <w:b w:val="0"/>
          <w:sz w:val="32"/>
        </w:rPr>
        <w:t>2024年度政府采购支出总额2.49万元，其中：政府采购货物支出0.45万元、政府采购工程支出0.00万元、政府采购服务支出2.04万元。</w:t>
      </w:r>
    </w:p>
    <w:p w14:paraId="6FAE192C">
      <w:pPr>
        <w:spacing w:line="580" w:lineRule="exact"/>
        <w:ind w:firstLine="640"/>
        <w:jc w:val="both"/>
      </w:pPr>
      <w:r>
        <w:rPr>
          <w:rFonts w:ascii="仿宋_GB2312" w:hAnsi="仿宋_GB2312" w:eastAsia="仿宋_GB2312"/>
          <w:b w:val="0"/>
          <w:sz w:val="32"/>
        </w:rPr>
        <w:t>授予中小企业合同金额2.49万元，占政府采购支出总额的100.00%，其中：授予小微企业合同金额2.49万元，占政府采购支出总额的100.00%。</w:t>
      </w:r>
    </w:p>
    <w:p w14:paraId="1076AD2C">
      <w:pPr>
        <w:spacing w:line="640" w:lineRule="exact"/>
        <w:ind w:firstLine="640"/>
        <w:jc w:val="both"/>
        <w:outlineLvl w:val="3"/>
      </w:pPr>
      <w:r>
        <w:rPr>
          <w:rFonts w:ascii="楷体_GB2312" w:hAnsi="楷体_GB2312" w:eastAsia="楷体_GB2312"/>
          <w:b/>
          <w:sz w:val="32"/>
        </w:rPr>
        <w:t>（三）国有资产占用情况说明</w:t>
      </w:r>
    </w:p>
    <w:p w14:paraId="5E9B0616">
      <w:pPr>
        <w:spacing w:line="580" w:lineRule="exact"/>
        <w:ind w:firstLine="640"/>
        <w:jc w:val="both"/>
      </w:pPr>
      <w:r>
        <w:rPr>
          <w:rFonts w:ascii="仿宋_GB2312" w:hAnsi="仿宋_GB2312" w:eastAsia="仿宋_GB2312"/>
          <w:b w:val="0"/>
          <w:sz w:val="32"/>
        </w:rPr>
        <w:t>截至2024年12月31日，房屋312.19平方米，价值182.01万元。车辆1辆，价值6.53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757C201">
      <w:pPr>
        <w:spacing w:line="640" w:lineRule="exact"/>
        <w:ind w:firstLine="640"/>
        <w:jc w:val="both"/>
        <w:outlineLvl w:val="2"/>
      </w:pPr>
      <w:r>
        <w:rPr>
          <w:rFonts w:ascii="黑体" w:hAnsi="黑体" w:eastAsia="黑体"/>
          <w:sz w:val="32"/>
        </w:rPr>
        <w:t>十一、预算绩效的情况说明</w:t>
      </w:r>
    </w:p>
    <w:p w14:paraId="12E80EE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根据预算绩效管理要求，本部门2024年度预算绩效管理形成整体支出绩效自评表1个，全年预算总额252.67万元，实际执行总额217.13万元；预算绩效评价项目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个，全年预算数91.9</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万元，全年执行数87.45万元。预算绩效管理取得的成效：</w:t>
      </w:r>
      <w:r>
        <w:rPr>
          <w:rFonts w:hint="eastAsia" w:ascii="仿宋_GB2312" w:hAnsi="仿宋_GB2312" w:eastAsia="仿宋_GB2312"/>
          <w:b w:val="0"/>
          <w:sz w:val="32"/>
          <w:lang w:val="en-US"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w:t>
      </w:r>
      <w:r>
        <w:rPr>
          <w:rFonts w:hint="eastAsia" w:ascii="仿宋_GB2312" w:hAnsi="仿宋_GB2312" w:eastAsia="仿宋_GB2312"/>
          <w:b w:val="0"/>
          <w:sz w:val="32"/>
          <w:lang w:val="en-US"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w:t>
      </w:r>
      <w:r>
        <w:rPr>
          <w:rFonts w:hint="eastAsia" w:ascii="仿宋_GB2312" w:hAnsi="仿宋_GB2312" w:eastAsia="仿宋_GB2312"/>
          <w:b w:val="0"/>
          <w:sz w:val="32"/>
          <w:lang w:val="en-US"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不予公开。具体附部门整体支出绩效自评表。</w:t>
      </w:r>
    </w:p>
    <w:p w14:paraId="4F3DE1F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4C2B5E0">
        <w:tblPrEx>
          <w:tblCellMar>
            <w:top w:w="0" w:type="dxa"/>
            <w:left w:w="108" w:type="dxa"/>
            <w:bottom w:w="0" w:type="dxa"/>
            <w:right w:w="108" w:type="dxa"/>
          </w:tblCellMar>
        </w:tblPrEx>
        <w:tc>
          <w:tcPr>
            <w:tcW w:w="8847" w:type="dxa"/>
            <w:gridSpan w:val="9"/>
            <w:vAlign w:val="center"/>
          </w:tcPr>
          <w:p w14:paraId="07E0F74F">
            <w:pPr>
              <w:jc w:val="center"/>
            </w:pPr>
            <w:r>
              <w:rPr>
                <w:rFonts w:ascii="宋体" w:hAnsi="宋体" w:eastAsia="宋体"/>
                <w:sz w:val="24"/>
              </w:rPr>
              <w:t>部门整体支出绩效自评表</w:t>
            </w:r>
          </w:p>
        </w:tc>
      </w:tr>
      <w:tr w14:paraId="3855DE7B">
        <w:tblPrEx>
          <w:tblCellMar>
            <w:top w:w="0" w:type="dxa"/>
            <w:left w:w="108" w:type="dxa"/>
            <w:bottom w:w="0" w:type="dxa"/>
            <w:right w:w="108" w:type="dxa"/>
          </w:tblCellMar>
        </w:tblPrEx>
        <w:tc>
          <w:tcPr>
            <w:tcW w:w="8847" w:type="dxa"/>
            <w:gridSpan w:val="9"/>
            <w:vAlign w:val="center"/>
          </w:tcPr>
          <w:p w14:paraId="16CCE30F">
            <w:pPr>
              <w:jc w:val="center"/>
            </w:pPr>
            <w:r>
              <w:rPr>
                <w:rFonts w:ascii="宋体" w:hAnsi="宋体" w:eastAsia="宋体"/>
                <w:sz w:val="24"/>
              </w:rPr>
              <w:t>（2024年度）</w:t>
            </w:r>
          </w:p>
        </w:tc>
      </w:tr>
      <w:tr w14:paraId="5A1D02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CEF0D">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B37DCC">
            <w:pPr>
              <w:jc w:val="center"/>
            </w:pPr>
            <w:r>
              <w:rPr>
                <w:rFonts w:ascii="宋体" w:hAnsi="宋体" w:eastAsia="宋体"/>
                <w:sz w:val="16"/>
              </w:rPr>
              <w:t>新疆维吾尔自治区喀什军用饮食供应站</w:t>
            </w:r>
          </w:p>
        </w:tc>
      </w:tr>
      <w:tr w14:paraId="2FD276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9CA5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E39C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A35B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A712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642E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1E70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D8E2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158A6">
            <w:pPr>
              <w:jc w:val="center"/>
            </w:pPr>
            <w:r>
              <w:rPr>
                <w:rFonts w:ascii="宋体" w:hAnsi="宋体" w:eastAsia="宋体"/>
                <w:sz w:val="16"/>
              </w:rPr>
              <w:t>得分</w:t>
            </w:r>
          </w:p>
        </w:tc>
      </w:tr>
      <w:tr w14:paraId="77525C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6A02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16B9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FE11C">
            <w:pPr>
              <w:jc w:val="center"/>
            </w:pPr>
            <w:r>
              <w:rPr>
                <w:rFonts w:ascii="宋体" w:hAnsi="宋体" w:eastAsia="宋体"/>
                <w:sz w:val="16"/>
              </w:rPr>
              <w:t>207.04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12BCE">
            <w:pPr>
              <w:jc w:val="center"/>
            </w:pPr>
            <w:r>
              <w:rPr>
                <w:rFonts w:ascii="宋体" w:hAnsi="宋体" w:eastAsia="宋体"/>
                <w:sz w:val="16"/>
              </w:rPr>
              <w:t>252.67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B3D42">
            <w:pPr>
              <w:jc w:val="center"/>
            </w:pPr>
            <w:r>
              <w:rPr>
                <w:rFonts w:ascii="宋体" w:hAnsi="宋体" w:eastAsia="宋体"/>
                <w:sz w:val="16"/>
              </w:rPr>
              <w:t>217.13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FB4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39F5C">
            <w:pPr>
              <w:jc w:val="center"/>
            </w:pPr>
            <w:r>
              <w:rPr>
                <w:rFonts w:ascii="宋体" w:hAnsi="宋体" w:eastAsia="宋体"/>
                <w:sz w:val="16"/>
              </w:rPr>
              <w:t>85.93%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6CB19">
            <w:pPr>
              <w:jc w:val="center"/>
            </w:pPr>
            <w:r>
              <w:rPr>
                <w:rFonts w:ascii="宋体" w:hAnsi="宋体" w:eastAsia="宋体"/>
                <w:sz w:val="16"/>
              </w:rPr>
              <w:t>8.59</w:t>
            </w:r>
          </w:p>
        </w:tc>
      </w:tr>
      <w:tr w14:paraId="674C8C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6D4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05D2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D405D">
            <w:pPr>
              <w:jc w:val="center"/>
            </w:pPr>
            <w:r>
              <w:rPr>
                <w:rFonts w:ascii="宋体" w:hAnsi="宋体" w:eastAsia="宋体"/>
                <w:sz w:val="16"/>
              </w:rPr>
              <w:t>88.22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1AC79">
            <w:pPr>
              <w:jc w:val="center"/>
            </w:pPr>
            <w:r>
              <w:rPr>
                <w:rFonts w:ascii="宋体" w:hAnsi="宋体" w:eastAsia="宋体"/>
                <w:sz w:val="16"/>
              </w:rPr>
              <w:t>88.22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49ADD">
            <w:pPr>
              <w:jc w:val="center"/>
            </w:pPr>
            <w:r>
              <w:rPr>
                <w:rFonts w:ascii="宋体" w:hAnsi="宋体" w:eastAsia="宋体"/>
                <w:sz w:val="16"/>
              </w:rPr>
              <w:t>83.67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753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417A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4ECF8">
            <w:pPr>
              <w:jc w:val="center"/>
            </w:pPr>
            <w:r>
              <w:rPr>
                <w:rFonts w:ascii="宋体" w:hAnsi="宋体" w:eastAsia="宋体"/>
                <w:sz w:val="16"/>
              </w:rPr>
              <w:t>—</w:t>
            </w:r>
          </w:p>
        </w:tc>
      </w:tr>
      <w:tr w14:paraId="7C669C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1B1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FB6C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24908">
            <w:pPr>
              <w:jc w:val="center"/>
            </w:pPr>
            <w:r>
              <w:rPr>
                <w:rFonts w:ascii="宋体" w:hAnsi="宋体" w:eastAsia="宋体"/>
                <w:sz w:val="16"/>
              </w:rPr>
              <w:t>118.82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FAED4">
            <w:pPr>
              <w:jc w:val="center"/>
            </w:pPr>
            <w:r>
              <w:rPr>
                <w:rFonts w:ascii="宋体" w:hAnsi="宋体" w:eastAsia="宋体"/>
                <w:sz w:val="16"/>
              </w:rPr>
              <w:t>133.45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6AB3E">
            <w:pPr>
              <w:jc w:val="center"/>
            </w:pPr>
            <w:r>
              <w:rPr>
                <w:rFonts w:ascii="宋体" w:hAnsi="宋体" w:eastAsia="宋体"/>
                <w:sz w:val="16"/>
              </w:rPr>
              <w:t>133.46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0AA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C9EE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556AE">
            <w:pPr>
              <w:jc w:val="center"/>
            </w:pPr>
            <w:r>
              <w:rPr>
                <w:rFonts w:ascii="宋体" w:hAnsi="宋体" w:eastAsia="宋体"/>
                <w:sz w:val="16"/>
              </w:rPr>
              <w:t>—</w:t>
            </w:r>
          </w:p>
        </w:tc>
      </w:tr>
      <w:tr w14:paraId="24ABE8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4E2F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10E2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6D1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B52C2">
            <w:pPr>
              <w:jc w:val="center"/>
            </w:pPr>
            <w:r>
              <w:rPr>
                <w:rFonts w:ascii="宋体" w:hAnsi="宋体" w:eastAsia="宋体"/>
                <w:sz w:val="16"/>
              </w:rPr>
              <w:t>31.00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816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3E9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DB1D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48F77">
            <w:pPr>
              <w:jc w:val="center"/>
            </w:pPr>
            <w:r>
              <w:rPr>
                <w:rFonts w:ascii="宋体" w:hAnsi="宋体" w:eastAsia="宋体"/>
                <w:sz w:val="16"/>
              </w:rPr>
              <w:t>—</w:t>
            </w:r>
          </w:p>
        </w:tc>
      </w:tr>
      <w:tr w14:paraId="4FCE63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8190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FBF16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4C905">
            <w:pPr>
              <w:jc w:val="center"/>
            </w:pPr>
            <w:r>
              <w:rPr>
                <w:rFonts w:ascii="宋体" w:hAnsi="宋体" w:eastAsia="宋体"/>
                <w:sz w:val="16"/>
              </w:rPr>
              <w:t>实际完成情况</w:t>
            </w:r>
          </w:p>
        </w:tc>
      </w:tr>
      <w:tr w14:paraId="357432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4854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E18021">
            <w:pPr>
              <w:jc w:val="both"/>
            </w:pPr>
            <w:r>
              <w:rPr>
                <w:rFonts w:ascii="宋体" w:hAnsi="宋体" w:eastAsia="宋体"/>
                <w:sz w:val="16"/>
              </w:rPr>
              <w:t>喀什军用饮食供应站紧紧围绕社会长治久安总目标，坚定坚决贯彻自治区党委、地委系列决策部署，本着“为国防建设服务、为部队服务”宗旨，以完成军用饮食供应任务为中心，以提高军用饮食供应保障能力为重点，全力做好戍边部队训练、调访、新兵入伍、老兵退伍等供餐饮食饮水服务后勤保障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CB9D6C">
            <w:pPr>
              <w:jc w:val="both"/>
            </w:pPr>
            <w:r>
              <w:rPr>
                <w:rFonts w:ascii="宋体" w:hAnsi="宋体" w:eastAsia="宋体"/>
                <w:sz w:val="16"/>
              </w:rPr>
              <w:t>喀什军用饮食供应站紧紧围绕社会长治久安总目标，坚定坚决贯彻自治区党委、地委系列决策部署，本着“为国防建设服务、为部队服务”宗旨，以完成军用饮食供应任务为中心，以提高军用饮食供应保障能力为重点，全力做好戍边部队训练、调访、新兵入伍、老兵退伍等供餐饮食饮水服务后勤保障工作,完成8名工作人员的工资和社保正常发放，保障了单位正常运转。</w:t>
            </w:r>
            <w:r>
              <w:rPr>
                <w:rFonts w:hint="eastAsia" w:ascii="宋体" w:hAnsi="宋体"/>
                <w:sz w:val="16"/>
                <w:lang w:eastAsia="zh-CN"/>
              </w:rPr>
              <w:t>本部门</w:t>
            </w:r>
            <w:r>
              <w:rPr>
                <w:rFonts w:ascii="宋体" w:hAnsi="宋体" w:eastAsia="宋体"/>
                <w:sz w:val="16"/>
              </w:rPr>
              <w:t>今年完成接待军供保障任务次数1次；过往部队饮食安全合格率达到100%；军供服务保障落实率达到100%；军供伙食高效情况达到100%；落实军供站现代化建设各项标准及要求达到100%。</w:t>
            </w:r>
          </w:p>
        </w:tc>
      </w:tr>
      <w:tr w14:paraId="3A51CA4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AF74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7E1E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16EB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49D0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8BDB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A0D2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D221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B8BB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FD996">
            <w:pPr>
              <w:jc w:val="center"/>
            </w:pPr>
            <w:r>
              <w:rPr>
                <w:rFonts w:ascii="宋体" w:hAnsi="宋体" w:eastAsia="宋体"/>
                <w:sz w:val="16"/>
              </w:rPr>
              <w:t>得分</w:t>
            </w:r>
          </w:p>
        </w:tc>
      </w:tr>
      <w:tr w14:paraId="7D491D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229D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1108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A6E8E">
            <w:pPr>
              <w:jc w:val="center"/>
            </w:pPr>
            <w:r>
              <w:rPr>
                <w:rFonts w:ascii="宋体" w:hAnsi="宋体" w:eastAsia="宋体"/>
                <w:sz w:val="16"/>
              </w:rPr>
              <w:t>接待军供保障任务次数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9360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49E2E">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0775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AAC8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8A8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3919D">
            <w:pPr>
              <w:jc w:val="center"/>
            </w:pPr>
            <w:r>
              <w:rPr>
                <w:rFonts w:ascii="宋体" w:hAnsi="宋体" w:eastAsia="宋体"/>
                <w:sz w:val="16"/>
              </w:rPr>
              <w:t>20</w:t>
            </w:r>
          </w:p>
        </w:tc>
      </w:tr>
      <w:tr w14:paraId="6F3442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0633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718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CD397">
            <w:pPr>
              <w:jc w:val="center"/>
            </w:pPr>
            <w:r>
              <w:rPr>
                <w:rFonts w:ascii="宋体" w:hAnsi="宋体" w:eastAsia="宋体"/>
                <w:sz w:val="16"/>
              </w:rPr>
              <w:t>过往部队饮食安全合格率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DAA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F0852">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D08D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BF3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216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F6085">
            <w:pPr>
              <w:jc w:val="center"/>
            </w:pPr>
            <w:r>
              <w:rPr>
                <w:rFonts w:ascii="宋体" w:hAnsi="宋体" w:eastAsia="宋体"/>
                <w:sz w:val="16"/>
              </w:rPr>
              <w:t>20</w:t>
            </w:r>
          </w:p>
        </w:tc>
      </w:tr>
      <w:tr w14:paraId="57E84B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AF9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67A8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22451">
            <w:pPr>
              <w:jc w:val="center"/>
            </w:pPr>
            <w:r>
              <w:rPr>
                <w:rFonts w:ascii="宋体" w:hAnsi="宋体" w:eastAsia="宋体"/>
                <w:sz w:val="16"/>
              </w:rPr>
              <w:t>军供服务保障落实率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F3B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1AF2F">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576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A2F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86C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84E54">
            <w:pPr>
              <w:jc w:val="center"/>
            </w:pPr>
            <w:r>
              <w:rPr>
                <w:rFonts w:ascii="宋体" w:hAnsi="宋体" w:eastAsia="宋体"/>
                <w:sz w:val="16"/>
              </w:rPr>
              <w:t>20</w:t>
            </w:r>
          </w:p>
        </w:tc>
      </w:tr>
      <w:tr w14:paraId="5DCEC7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093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63F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48DD5">
            <w:pPr>
              <w:jc w:val="center"/>
            </w:pPr>
            <w:r>
              <w:rPr>
                <w:rFonts w:ascii="宋体" w:hAnsi="宋体" w:eastAsia="宋体"/>
                <w:sz w:val="16"/>
              </w:rPr>
              <w:t>军供伙食高效情况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CED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7A66C">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069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7EB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840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8618F">
            <w:pPr>
              <w:jc w:val="center"/>
            </w:pPr>
            <w:r>
              <w:rPr>
                <w:rFonts w:ascii="宋体" w:hAnsi="宋体" w:eastAsia="宋体"/>
                <w:sz w:val="16"/>
              </w:rPr>
              <w:t>20</w:t>
            </w:r>
          </w:p>
        </w:tc>
      </w:tr>
      <w:tr w14:paraId="24FCB5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CFE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FB0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26C50">
            <w:pPr>
              <w:jc w:val="center"/>
            </w:pPr>
            <w:r>
              <w:rPr>
                <w:rFonts w:ascii="宋体" w:hAnsi="宋体" w:eastAsia="宋体"/>
                <w:sz w:val="16"/>
              </w:rPr>
              <w:t>落实军供站现代化建设各项标准及要求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C40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E7BC2">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93F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C36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D80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CA619">
            <w:pPr>
              <w:jc w:val="center"/>
            </w:pPr>
            <w:r>
              <w:rPr>
                <w:rFonts w:ascii="宋体" w:hAnsi="宋体" w:eastAsia="宋体"/>
                <w:sz w:val="16"/>
              </w:rPr>
              <w:t>10</w:t>
            </w:r>
          </w:p>
        </w:tc>
      </w:tr>
    </w:tbl>
    <w:p w14:paraId="19F517A4">
      <w:r>
        <w:br w:type="page"/>
      </w:r>
    </w:p>
    <w:p w14:paraId="78899D0B">
      <w:pPr>
        <w:spacing w:line="640" w:lineRule="exact"/>
        <w:ind w:firstLine="640"/>
        <w:jc w:val="both"/>
        <w:outlineLvl w:val="2"/>
      </w:pPr>
      <w:r>
        <w:rPr>
          <w:rFonts w:ascii="黑体" w:hAnsi="黑体" w:eastAsia="黑体"/>
          <w:sz w:val="32"/>
        </w:rPr>
        <w:t>十二、其他需说明的事项</w:t>
      </w:r>
    </w:p>
    <w:p w14:paraId="42B48174">
      <w:pPr>
        <w:spacing w:line="580" w:lineRule="exact"/>
        <w:ind w:firstLine="640"/>
        <w:jc w:val="both"/>
      </w:pPr>
      <w:r>
        <w:rPr>
          <w:rFonts w:ascii="仿宋_GB2312" w:hAnsi="仿宋_GB2312" w:eastAsia="仿宋_GB2312"/>
          <w:b w:val="0"/>
          <w:sz w:val="32"/>
        </w:rPr>
        <w:t>本年</w:t>
      </w:r>
      <w:r>
        <w:rPr>
          <w:rFonts w:hint="eastAsia" w:ascii="仿宋_GB2312" w:hAnsi="仿宋_GB2312" w:eastAsia="仿宋_GB2312"/>
          <w:b w:val="0"/>
          <w:sz w:val="32"/>
          <w:lang w:val="en-US" w:eastAsia="zh-CN"/>
        </w:rPr>
        <w:t>涉密</w:t>
      </w:r>
      <w:r>
        <w:rPr>
          <w:rFonts w:ascii="仿宋_GB2312" w:hAnsi="仿宋_GB2312" w:eastAsia="仿宋_GB2312"/>
          <w:b w:val="0"/>
          <w:sz w:val="32"/>
        </w:rPr>
        <w:t>项目3个，全年预算数91.9</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万元，全年执行数87.45万元。</w:t>
      </w:r>
    </w:p>
    <w:p w14:paraId="716560D5">
      <w:r>
        <w:br w:type="page"/>
      </w:r>
      <w:bookmarkStart w:id="0" w:name="_GoBack"/>
      <w:bookmarkEnd w:id="0"/>
    </w:p>
    <w:p w14:paraId="0C96ABAB">
      <w:pPr>
        <w:spacing w:line="240" w:lineRule="auto"/>
        <w:jc w:val="center"/>
        <w:outlineLvl w:val="1"/>
      </w:pPr>
      <w:r>
        <w:rPr>
          <w:rFonts w:ascii="黑体" w:hAnsi="黑体" w:eastAsia="黑体"/>
          <w:sz w:val="32"/>
        </w:rPr>
        <w:t>第三部分 专业名词解释</w:t>
      </w:r>
    </w:p>
    <w:p w14:paraId="684FA4D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F5080D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CB66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71D4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F0D99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C0AF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E8E13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A509F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4DD35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1794B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A3F9B4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5B627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87F0F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8CBDC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D615743">
      <w:r>
        <w:br w:type="page"/>
      </w:r>
    </w:p>
    <w:p w14:paraId="1CEF7092">
      <w:pPr>
        <w:spacing w:line="240" w:lineRule="auto"/>
        <w:jc w:val="center"/>
        <w:outlineLvl w:val="1"/>
      </w:pPr>
      <w:r>
        <w:rPr>
          <w:rFonts w:ascii="黑体" w:hAnsi="黑体" w:eastAsia="黑体"/>
          <w:sz w:val="32"/>
        </w:rPr>
        <w:t>第四部分 部门决算报表（见附表）</w:t>
      </w:r>
    </w:p>
    <w:p w14:paraId="6B2C8352">
      <w:pPr>
        <w:spacing w:line="240" w:lineRule="auto"/>
        <w:ind w:firstLine="640"/>
        <w:jc w:val="both"/>
      </w:pPr>
      <w:r>
        <w:rPr>
          <w:rFonts w:ascii="仿宋_GB2312" w:hAnsi="仿宋_GB2312" w:eastAsia="仿宋_GB2312"/>
          <w:b w:val="0"/>
          <w:sz w:val="32"/>
        </w:rPr>
        <w:t>一、《收入支出决算总表》</w:t>
      </w:r>
    </w:p>
    <w:p w14:paraId="6273D1B2">
      <w:pPr>
        <w:spacing w:line="240" w:lineRule="auto"/>
        <w:ind w:firstLine="640"/>
        <w:jc w:val="both"/>
      </w:pPr>
      <w:r>
        <w:rPr>
          <w:rFonts w:ascii="仿宋_GB2312" w:hAnsi="仿宋_GB2312" w:eastAsia="仿宋_GB2312"/>
          <w:b w:val="0"/>
          <w:sz w:val="32"/>
        </w:rPr>
        <w:t>二、《收入决算表》</w:t>
      </w:r>
    </w:p>
    <w:p w14:paraId="56313334">
      <w:pPr>
        <w:spacing w:line="240" w:lineRule="auto"/>
        <w:ind w:firstLine="640"/>
        <w:jc w:val="both"/>
      </w:pPr>
      <w:r>
        <w:rPr>
          <w:rFonts w:ascii="仿宋_GB2312" w:hAnsi="仿宋_GB2312" w:eastAsia="仿宋_GB2312"/>
          <w:b w:val="0"/>
          <w:sz w:val="32"/>
        </w:rPr>
        <w:t>三、《支出决算表》</w:t>
      </w:r>
    </w:p>
    <w:p w14:paraId="77F5DE7D">
      <w:pPr>
        <w:spacing w:line="240" w:lineRule="auto"/>
        <w:ind w:firstLine="640"/>
        <w:jc w:val="both"/>
      </w:pPr>
      <w:r>
        <w:rPr>
          <w:rFonts w:ascii="仿宋_GB2312" w:hAnsi="仿宋_GB2312" w:eastAsia="仿宋_GB2312"/>
          <w:b w:val="0"/>
          <w:sz w:val="32"/>
        </w:rPr>
        <w:t>四、《财政拨款收入支出决算总表》</w:t>
      </w:r>
    </w:p>
    <w:p w14:paraId="1D882DCC">
      <w:pPr>
        <w:spacing w:line="240" w:lineRule="auto"/>
        <w:ind w:firstLine="640"/>
        <w:jc w:val="both"/>
      </w:pPr>
      <w:r>
        <w:rPr>
          <w:rFonts w:ascii="仿宋_GB2312" w:hAnsi="仿宋_GB2312" w:eastAsia="仿宋_GB2312"/>
          <w:b w:val="0"/>
          <w:sz w:val="32"/>
        </w:rPr>
        <w:t>五、《一般公共预算财政拨款支出决算表》</w:t>
      </w:r>
    </w:p>
    <w:p w14:paraId="4D532593">
      <w:pPr>
        <w:spacing w:line="240" w:lineRule="auto"/>
        <w:ind w:firstLine="640"/>
        <w:jc w:val="both"/>
      </w:pPr>
      <w:r>
        <w:rPr>
          <w:rFonts w:ascii="仿宋_GB2312" w:hAnsi="仿宋_GB2312" w:eastAsia="仿宋_GB2312"/>
          <w:b w:val="0"/>
          <w:sz w:val="32"/>
        </w:rPr>
        <w:t>六、《一般公共预算财政拨款基本支出决算表》</w:t>
      </w:r>
    </w:p>
    <w:p w14:paraId="6FD28A5A">
      <w:pPr>
        <w:spacing w:line="240" w:lineRule="auto"/>
        <w:ind w:firstLine="640"/>
        <w:jc w:val="both"/>
      </w:pPr>
      <w:r>
        <w:rPr>
          <w:rFonts w:ascii="仿宋_GB2312" w:hAnsi="仿宋_GB2312" w:eastAsia="仿宋_GB2312"/>
          <w:b w:val="0"/>
          <w:sz w:val="32"/>
        </w:rPr>
        <w:t>七、《政府性基金预算财政拨款收入支出决算表》</w:t>
      </w:r>
    </w:p>
    <w:p w14:paraId="4307C73E">
      <w:pPr>
        <w:spacing w:line="240" w:lineRule="auto"/>
        <w:ind w:firstLine="640"/>
        <w:jc w:val="both"/>
      </w:pPr>
      <w:r>
        <w:rPr>
          <w:rFonts w:ascii="仿宋_GB2312" w:hAnsi="仿宋_GB2312" w:eastAsia="仿宋_GB2312"/>
          <w:b w:val="0"/>
          <w:sz w:val="32"/>
        </w:rPr>
        <w:t>八、《国有资本经营预算财政拨款收入支出决算表》</w:t>
      </w:r>
    </w:p>
    <w:p w14:paraId="3889DE1C">
      <w:pPr>
        <w:spacing w:line="240" w:lineRule="auto"/>
        <w:ind w:firstLine="640"/>
        <w:jc w:val="both"/>
      </w:pPr>
      <w:r>
        <w:rPr>
          <w:rFonts w:ascii="仿宋_GB2312" w:hAnsi="仿宋_GB2312" w:eastAsia="仿宋_GB2312"/>
          <w:b w:val="0"/>
          <w:sz w:val="32"/>
        </w:rPr>
        <w:t>九、《财政拨款“三公”经费支出决算表》</w:t>
      </w:r>
    </w:p>
    <w:p w14:paraId="11ABEB71">
      <w:pPr>
        <w:spacing w:line="240" w:lineRule="auto"/>
        <w:ind w:firstLine="640"/>
        <w:jc w:val="both"/>
      </w:pPr>
    </w:p>
    <w:p w14:paraId="5CB9C3C2">
      <w:pPr>
        <w:spacing w:line="240" w:lineRule="auto"/>
        <w:ind w:firstLine="640"/>
        <w:jc w:val="both"/>
      </w:pPr>
    </w:p>
    <w:p w14:paraId="23ACC032">
      <w:pPr>
        <w:spacing w:line="240" w:lineRule="auto"/>
        <w:ind w:firstLine="640"/>
        <w:jc w:val="both"/>
      </w:pPr>
    </w:p>
    <w:p w14:paraId="49DE9B63">
      <w:pPr>
        <w:spacing w:line="240" w:lineRule="auto"/>
        <w:ind w:firstLine="640"/>
        <w:jc w:val="both"/>
      </w:pPr>
    </w:p>
    <w:p w14:paraId="4CE83C8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1F1F06-B551-40F6-BE95-401E9B96FA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30656DA-983A-4D24-A2A2-01E737B22CFD}"/>
  </w:font>
  <w:font w:name="方正小标宋_GBK">
    <w:panose1 w:val="02000000000000000000"/>
    <w:charset w:val="86"/>
    <w:family w:val="script"/>
    <w:pitch w:val="default"/>
    <w:sig w:usb0="A00002BF" w:usb1="38CF7CFA" w:usb2="00082016" w:usb3="00000000" w:csb0="00040001" w:csb1="00000000"/>
    <w:embedRegular r:id="rId3" w:fontKey="{BCCFB8CF-020A-4EAC-9534-CF200701DD6C}"/>
  </w:font>
  <w:font w:name="楷体_GB2312">
    <w:altName w:val="楷体"/>
    <w:panose1 w:val="02010609030101010101"/>
    <w:charset w:val="86"/>
    <w:family w:val="auto"/>
    <w:pitch w:val="default"/>
    <w:sig w:usb0="00000000" w:usb1="00000000" w:usb2="00000000" w:usb3="00000000" w:csb0="00040000" w:csb1="00000000"/>
    <w:embedRegular r:id="rId4" w:fontKey="{324ADFF5-4CB3-455D-88D9-7FDAB2EA311C}"/>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717BE6"/>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5974D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22041E"/>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5622</Words>
  <Characters>6372</Characters>
  <Lines>0</Lines>
  <Paragraphs>0</Paragraphs>
  <TotalTime>0</TotalTime>
  <ScaleCrop>false</ScaleCrop>
  <LinksUpToDate>false</LinksUpToDate>
  <CharactersWithSpaces>6382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2025-09-29T04:08:33Z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