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9670FB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新疆维吾尔自治区喀什地区中心血站</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DA8648">
      <w:r>
        <w:br w:type="page"/>
      </w:r>
    </w:p>
    <w:p w14:paraId="3F769825">
      <w:pPr>
        <w:spacing w:line="640" w:lineRule="exact"/>
        <w:jc w:val="center"/>
        <w:outlineLvl w:val="1"/>
      </w:pPr>
      <w:r>
        <w:rPr>
          <w:rFonts w:ascii="黑体" w:hAnsi="黑体" w:eastAsia="黑体"/>
          <w:sz w:val="32"/>
        </w:rPr>
        <w:t>第一部分 部门概况</w:t>
      </w:r>
    </w:p>
    <w:p w14:paraId="33EFC0FE">
      <w:pPr>
        <w:spacing w:line="640" w:lineRule="exact"/>
        <w:ind w:firstLine="640"/>
        <w:jc w:val="both"/>
        <w:outlineLvl w:val="2"/>
      </w:pPr>
      <w:r>
        <w:rPr>
          <w:rFonts w:ascii="黑体" w:hAnsi="黑体" w:eastAsia="黑体"/>
          <w:sz w:val="32"/>
        </w:rPr>
        <w:t>一、主要职能</w:t>
      </w:r>
    </w:p>
    <w:p w14:paraId="700FED6B">
      <w:pPr>
        <w:spacing w:line="580" w:lineRule="exact"/>
        <w:ind w:firstLine="640"/>
        <w:jc w:val="both"/>
      </w:pPr>
      <w:r>
        <w:rPr>
          <w:rFonts w:ascii="仿宋_GB2312" w:hAnsi="仿宋_GB2312" w:eastAsia="仿宋_GB2312"/>
          <w:sz w:val="32"/>
        </w:rPr>
        <w:t>无偿献血者招募、血液的采集与制备、临床用血供应及医疗用血业务指导。</w:t>
      </w:r>
    </w:p>
    <w:p w14:paraId="253AD1D9">
      <w:pPr>
        <w:spacing w:line="640" w:lineRule="exact"/>
        <w:ind w:firstLine="640"/>
        <w:jc w:val="both"/>
        <w:outlineLvl w:val="2"/>
      </w:pPr>
      <w:r>
        <w:rPr>
          <w:rFonts w:ascii="黑体" w:hAnsi="黑体" w:eastAsia="黑体"/>
          <w:sz w:val="32"/>
        </w:rPr>
        <w:t>二、机构设置及人员情况</w:t>
      </w:r>
    </w:p>
    <w:p w14:paraId="3EAF79A0">
      <w:pPr>
        <w:spacing w:line="580" w:lineRule="exact"/>
        <w:ind w:firstLine="640"/>
        <w:jc w:val="both"/>
      </w:pPr>
      <w:r>
        <w:rPr>
          <w:rFonts w:ascii="仿宋_GB2312" w:hAnsi="仿宋_GB2312" w:eastAsia="仿宋_GB2312"/>
          <w:sz w:val="32"/>
        </w:rPr>
        <w:t>新疆维吾尔自治区喀什地区中心血站2024年度，实有人数50人，其中：在职人员33人，增加1人；离休人员0人，增加0人；退休人员17人,增加2人。</w:t>
      </w:r>
    </w:p>
    <w:p w14:paraId="7DE515BF">
      <w:pPr>
        <w:spacing w:line="580" w:lineRule="exact"/>
        <w:ind w:firstLine="640"/>
        <w:jc w:val="both"/>
      </w:pPr>
      <w:r>
        <w:rPr>
          <w:rFonts w:ascii="仿宋_GB2312" w:hAnsi="仿宋_GB2312" w:eastAsia="仿宋_GB2312"/>
          <w:sz w:val="32"/>
        </w:rPr>
        <w:t>新疆维吾尔自治区喀什地区中心血站无下属预算单位，下设7个科室，分别是：行政办公室、财务科、献血服务科、供血服务科、质控科、检验科、莎车分站综合科。</w:t>
      </w:r>
    </w:p>
    <w:p w14:paraId="667ED7EE">
      <w:r>
        <w:br w:type="page"/>
      </w:r>
    </w:p>
    <w:p w14:paraId="0A546DBE">
      <w:pPr>
        <w:spacing w:line="240" w:lineRule="auto"/>
        <w:jc w:val="center"/>
        <w:outlineLvl w:val="1"/>
      </w:pPr>
      <w:r>
        <w:rPr>
          <w:rFonts w:ascii="黑体" w:hAnsi="黑体" w:eastAsia="黑体"/>
          <w:sz w:val="32"/>
        </w:rPr>
        <w:t>第二部分 部门决算情况说明</w:t>
      </w:r>
    </w:p>
    <w:p w14:paraId="42C11076">
      <w:pPr>
        <w:spacing w:line="640" w:lineRule="exact"/>
        <w:ind w:firstLine="640"/>
        <w:jc w:val="both"/>
        <w:outlineLvl w:val="2"/>
      </w:pPr>
      <w:r>
        <w:rPr>
          <w:rFonts w:ascii="黑体" w:hAnsi="黑体" w:eastAsia="黑体"/>
          <w:sz w:val="32"/>
        </w:rPr>
        <w:t>一、收入支出决算总体情况说明</w:t>
      </w:r>
    </w:p>
    <w:p w14:paraId="4DEB47AB">
      <w:pPr>
        <w:spacing w:line="580" w:lineRule="exact"/>
        <w:ind w:firstLine="640"/>
        <w:jc w:val="both"/>
      </w:pPr>
      <w:r>
        <w:rPr>
          <w:rFonts w:ascii="仿宋_GB2312" w:hAnsi="仿宋_GB2312" w:eastAsia="仿宋_GB2312"/>
          <w:b/>
          <w:sz w:val="32"/>
        </w:rPr>
        <w:t>2024年度收入总计2,769.24万元，</w:t>
      </w:r>
      <w:r>
        <w:rPr>
          <w:rFonts w:ascii="仿宋_GB2312" w:hAnsi="仿宋_GB2312" w:eastAsia="仿宋_GB2312"/>
          <w:b w:val="0"/>
          <w:sz w:val="32"/>
        </w:rPr>
        <w:t>其中：本年收入合计2,769.24万元，使用非财政拨款结余（含专用结余）0.00万元，年初结转和结余0.00万元。</w:t>
      </w:r>
    </w:p>
    <w:p w14:paraId="1AFBE130">
      <w:pPr>
        <w:spacing w:line="580" w:lineRule="exact"/>
        <w:ind w:firstLine="640"/>
        <w:jc w:val="both"/>
      </w:pPr>
      <w:r>
        <w:rPr>
          <w:rFonts w:ascii="仿宋_GB2312" w:hAnsi="仿宋_GB2312" w:eastAsia="仿宋_GB2312"/>
          <w:b/>
          <w:sz w:val="32"/>
        </w:rPr>
        <w:t>2024年度支出总计2,769.24万元，</w:t>
      </w:r>
      <w:r>
        <w:rPr>
          <w:rFonts w:ascii="仿宋_GB2312" w:hAnsi="仿宋_GB2312" w:eastAsia="仿宋_GB2312"/>
          <w:b w:val="0"/>
          <w:sz w:val="32"/>
        </w:rPr>
        <w:t>其中：本年支出合计2,769.24万元，结余分配0.00万元，年末结转和结余0.00万元。</w:t>
      </w:r>
    </w:p>
    <w:p w14:paraId="435403B1">
      <w:pPr>
        <w:spacing w:line="580" w:lineRule="exact"/>
        <w:ind w:firstLine="640"/>
        <w:jc w:val="both"/>
      </w:pPr>
      <w:r>
        <w:rPr>
          <w:rFonts w:ascii="仿宋_GB2312" w:hAnsi="仿宋_GB2312" w:eastAsia="仿宋_GB2312"/>
          <w:b w:val="0"/>
          <w:sz w:val="32"/>
        </w:rPr>
        <w:t>收入支出总体与上年相比，增加32.87万元，增长1.20%，主要原因是：本年在职人员增加，在职人员工资调增、社保、公积金基数调增，人员经费支出增加，增加军地无偿献血信息互联互通等项目经费，导致相关经费增加。</w:t>
      </w:r>
    </w:p>
    <w:p w14:paraId="68D9CEFF">
      <w:pPr>
        <w:spacing w:line="640" w:lineRule="exact"/>
        <w:ind w:firstLine="640"/>
        <w:jc w:val="both"/>
        <w:outlineLvl w:val="2"/>
      </w:pPr>
      <w:r>
        <w:rPr>
          <w:rFonts w:ascii="黑体" w:hAnsi="黑体" w:eastAsia="黑体"/>
          <w:sz w:val="32"/>
        </w:rPr>
        <w:t>二、收入决算情况说明</w:t>
      </w:r>
    </w:p>
    <w:p w14:paraId="0DB91C6B">
      <w:pPr>
        <w:spacing w:line="580" w:lineRule="exact"/>
        <w:ind w:firstLine="640"/>
        <w:jc w:val="both"/>
      </w:pPr>
      <w:r>
        <w:rPr>
          <w:rFonts w:ascii="仿宋_GB2312" w:hAnsi="仿宋_GB2312" w:eastAsia="仿宋_GB2312"/>
          <w:b/>
          <w:sz w:val="32"/>
        </w:rPr>
        <w:t>本年收入2,769.24万元，</w:t>
      </w:r>
      <w:r>
        <w:rPr>
          <w:rFonts w:ascii="仿宋_GB2312" w:hAnsi="仿宋_GB2312" w:eastAsia="仿宋_GB2312"/>
          <w:b w:val="0"/>
          <w:sz w:val="32"/>
        </w:rPr>
        <w:t>其中：财政拨款收入2,769.24万元，占100.00%；上级补助收入0.00万元，占0.00%；事业收入0.00万元，占0.00%；经营收入0.00万元，占0.00%；附属单位上缴收入0.00万元，占0.00%；其他收入0.00万元，占0.00%。</w:t>
      </w:r>
    </w:p>
    <w:p w14:paraId="1A9B0747">
      <w:pPr>
        <w:spacing w:line="640" w:lineRule="exact"/>
        <w:ind w:firstLine="640"/>
        <w:jc w:val="both"/>
        <w:outlineLvl w:val="2"/>
      </w:pPr>
      <w:r>
        <w:rPr>
          <w:rFonts w:ascii="黑体" w:hAnsi="黑体" w:eastAsia="黑体"/>
          <w:sz w:val="32"/>
        </w:rPr>
        <w:t>三、支出决算情况说明</w:t>
      </w:r>
    </w:p>
    <w:p w14:paraId="28B78C64">
      <w:pPr>
        <w:spacing w:line="580" w:lineRule="exact"/>
        <w:ind w:firstLine="640"/>
        <w:jc w:val="both"/>
      </w:pPr>
      <w:r>
        <w:rPr>
          <w:rFonts w:ascii="仿宋_GB2312" w:hAnsi="仿宋_GB2312" w:eastAsia="仿宋_GB2312"/>
          <w:b/>
          <w:sz w:val="32"/>
        </w:rPr>
        <w:t>本年支出2,769.24万元，</w:t>
      </w:r>
      <w:r>
        <w:rPr>
          <w:rFonts w:ascii="仿宋_GB2312" w:hAnsi="仿宋_GB2312" w:eastAsia="仿宋_GB2312"/>
          <w:b w:val="0"/>
          <w:sz w:val="32"/>
        </w:rPr>
        <w:t>其中：基本支出952.88万元，占34.41%；项目支出1,816.36万元，占65.59%；上缴上级支出0.00万元，占0.00%；经营支出0.00万元，占0.00%；对附属单位补助支出0.00万元，占0.00%。</w:t>
      </w:r>
    </w:p>
    <w:p w14:paraId="2DD8F1AC">
      <w:pPr>
        <w:spacing w:line="640" w:lineRule="exact"/>
        <w:ind w:firstLine="640"/>
        <w:jc w:val="both"/>
        <w:outlineLvl w:val="2"/>
      </w:pPr>
      <w:r>
        <w:rPr>
          <w:rFonts w:ascii="黑体" w:hAnsi="黑体" w:eastAsia="黑体"/>
          <w:sz w:val="32"/>
        </w:rPr>
        <w:t>四、财政拨款收入支出决算总体情况说明</w:t>
      </w:r>
    </w:p>
    <w:p w14:paraId="20ABACB8">
      <w:pPr>
        <w:spacing w:line="580" w:lineRule="exact"/>
        <w:ind w:firstLine="640"/>
        <w:jc w:val="both"/>
      </w:pPr>
      <w:r>
        <w:rPr>
          <w:rFonts w:ascii="仿宋_GB2312" w:hAnsi="仿宋_GB2312" w:eastAsia="仿宋_GB2312"/>
          <w:b/>
          <w:sz w:val="32"/>
        </w:rPr>
        <w:t>2024年度财政拨款收入总计2,769.24万元，</w:t>
      </w:r>
      <w:r>
        <w:rPr>
          <w:rFonts w:ascii="仿宋_GB2312" w:hAnsi="仿宋_GB2312" w:eastAsia="仿宋_GB2312"/>
          <w:b w:val="0"/>
          <w:sz w:val="32"/>
        </w:rPr>
        <w:t>其中：年初财政拨款结转和结余0.00万元，本年财政拨款收入2,769.24万元。</w:t>
      </w:r>
      <w:r>
        <w:rPr>
          <w:rFonts w:ascii="仿宋_GB2312" w:hAnsi="仿宋_GB2312" w:eastAsia="仿宋_GB2312"/>
          <w:b/>
          <w:sz w:val="32"/>
        </w:rPr>
        <w:t>财政拨款支出总计2,769.24万元，</w:t>
      </w:r>
      <w:r>
        <w:rPr>
          <w:rFonts w:ascii="仿宋_GB2312" w:hAnsi="仿宋_GB2312" w:eastAsia="仿宋_GB2312"/>
          <w:b w:val="0"/>
          <w:sz w:val="32"/>
        </w:rPr>
        <w:t>其中：年末财政拨款结转和结余0.00万元，本年财政拨款支出2,769.24万元。</w:t>
      </w:r>
    </w:p>
    <w:p w14:paraId="37322CB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增加32.87万元，增长1.20%，主要原因是：本年在职人员增加，在职人员工资调增、社保、公积金基数调增，人员经费支出增加，增加军地无偿献血信息互联互通等项目经费，导致相关经费增加。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2,694.40万元，决算数2,769.24万元，预决算差异率2.78%，主要原因是：本年在职人员增加，年中追加人员经费及人员工资、社保、公积金基数调增部分资金，年中追加军地无偿献血信息互联互通项目资金，导致预决算存在差异。</w:t>
      </w:r>
    </w:p>
    <w:p w14:paraId="1F2B9F17">
      <w:pPr>
        <w:spacing w:line="640" w:lineRule="exact"/>
        <w:ind w:firstLine="640"/>
        <w:jc w:val="both"/>
        <w:outlineLvl w:val="2"/>
      </w:pPr>
      <w:r>
        <w:rPr>
          <w:rFonts w:ascii="黑体" w:hAnsi="黑体" w:eastAsia="黑体"/>
          <w:sz w:val="32"/>
        </w:rPr>
        <w:t>五、一般公共预算财政拨款支出决算情况说明</w:t>
      </w:r>
    </w:p>
    <w:p w14:paraId="1E8CA1DE">
      <w:pPr>
        <w:spacing w:line="640" w:lineRule="exact"/>
        <w:ind w:firstLine="640"/>
        <w:jc w:val="both"/>
        <w:outlineLvl w:val="3"/>
      </w:pPr>
      <w:r>
        <w:rPr>
          <w:rFonts w:ascii="楷体_GB2312" w:hAnsi="楷体_GB2312" w:eastAsia="楷体_GB2312"/>
          <w:b/>
          <w:sz w:val="32"/>
        </w:rPr>
        <w:t>（一）一般公共预算财政拨款支出决算总体情况</w:t>
      </w:r>
    </w:p>
    <w:p w14:paraId="0DD92336">
      <w:pPr>
        <w:spacing w:line="580" w:lineRule="exact"/>
        <w:ind w:firstLine="640"/>
        <w:jc w:val="both"/>
      </w:pPr>
      <w:r>
        <w:rPr>
          <w:rFonts w:ascii="仿宋_GB2312" w:hAnsi="仿宋_GB2312" w:eastAsia="仿宋_GB2312"/>
          <w:b/>
          <w:sz w:val="32"/>
        </w:rPr>
        <w:t>2024年度一般公共预算财政拨款支出2,769.24万元，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增加32.87万元，增长1.20%，主要原因是：本年在职人员增加，在职人员工资调增、社保、公积金基数调增，人员经费支出增加，增加军地无偿献血信息互联互通等项目经费，导致相关经费增加。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2,694.40万元，决算数2,769.24万元，预决算差异率2.78%，主要原因是：本年在职人员增加，年中追加人员经费及人员工资、社保、公积金基数调增部分资金，年中追加军地无偿献血信息互联互通项目资金，导致预决算存在差异。</w:t>
      </w:r>
    </w:p>
    <w:p w14:paraId="4422D856">
      <w:pPr>
        <w:spacing w:line="640" w:lineRule="exact"/>
        <w:ind w:firstLine="640"/>
        <w:jc w:val="both"/>
        <w:outlineLvl w:val="3"/>
      </w:pPr>
      <w:r>
        <w:rPr>
          <w:rFonts w:ascii="楷体_GB2312" w:hAnsi="楷体_GB2312" w:eastAsia="楷体_GB2312"/>
          <w:b/>
          <w:sz w:val="32"/>
        </w:rPr>
        <w:t>（二）一般公共预算财政拨款支出决算结构情况</w:t>
      </w:r>
    </w:p>
    <w:p w14:paraId="197319FF">
      <w:pPr>
        <w:spacing w:line="580" w:lineRule="exact"/>
        <w:ind w:firstLine="640"/>
        <w:jc w:val="both"/>
      </w:pPr>
      <w:r>
        <w:rPr>
          <w:rFonts w:ascii="仿宋_GB2312" w:hAnsi="仿宋_GB2312" w:eastAsia="仿宋_GB2312"/>
          <w:b w:val="0"/>
          <w:sz w:val="32"/>
        </w:rPr>
        <w:t>1.社会保障和就业支出(类)102.89万元,占3.72%。</w:t>
      </w:r>
    </w:p>
    <w:p w14:paraId="62A6A5C6">
      <w:pPr>
        <w:spacing w:line="580" w:lineRule="exact"/>
        <w:ind w:firstLine="640"/>
        <w:jc w:val="both"/>
      </w:pPr>
      <w:r>
        <w:rPr>
          <w:rFonts w:ascii="仿宋_GB2312" w:hAnsi="仿宋_GB2312" w:eastAsia="仿宋_GB2312"/>
          <w:b w:val="0"/>
          <w:sz w:val="32"/>
        </w:rPr>
        <w:t>2.卫生健康支出(类)2,617.70万元,占94.53%。</w:t>
      </w:r>
    </w:p>
    <w:p w14:paraId="2815C09A">
      <w:pPr>
        <w:spacing w:line="580" w:lineRule="exact"/>
        <w:ind w:firstLine="640"/>
        <w:jc w:val="both"/>
      </w:pPr>
      <w:r>
        <w:rPr>
          <w:rFonts w:ascii="仿宋_GB2312" w:hAnsi="仿宋_GB2312" w:eastAsia="仿宋_GB2312"/>
          <w:b w:val="0"/>
          <w:sz w:val="32"/>
        </w:rPr>
        <w:t>3.住房保障支出(类)48.64万元,占1.76%。</w:t>
      </w:r>
    </w:p>
    <w:p w14:paraId="783A62A5">
      <w:pPr>
        <w:spacing w:line="640" w:lineRule="exact"/>
        <w:ind w:firstLine="640"/>
        <w:jc w:val="both"/>
        <w:outlineLvl w:val="3"/>
      </w:pPr>
      <w:r>
        <w:rPr>
          <w:rFonts w:ascii="楷体_GB2312" w:hAnsi="楷体_GB2312" w:eastAsia="楷体_GB2312"/>
          <w:b/>
          <w:sz w:val="32"/>
        </w:rPr>
        <w:t>（三）一般公共预算财政拨款支出决算具体情况</w:t>
      </w:r>
    </w:p>
    <w:p w14:paraId="12C7594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1.社会保障和就业支出(类)行政事业单位养老支出(款)事业单位离退休(项):支出决算数为22.70万元，比上年决算增加7.78万元，增长52.14%,主要原因是：本年退休人员增加，退休费支出增加。</w:t>
      </w:r>
    </w:p>
    <w:p w14:paraId="0F42E78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56.73万元，比上年决算增加2.43万元，增长4.48%,主要原因是：本年在职人员增加，在职人员工资基数调增，养老缴费基数上涨，相应支出增加。</w:t>
      </w:r>
    </w:p>
    <w:p w14:paraId="2FCF66E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23.46万元，比上年决算增加4.58万元，增长24.26%,主要原因是：本年新增退休人员较上年增加，职业年金缴费支出增加。</w:t>
      </w:r>
    </w:p>
    <w:p w14:paraId="2111E910">
      <w:pPr>
        <w:spacing w:line="580" w:lineRule="exact"/>
        <w:ind w:firstLine="640"/>
        <w:jc w:val="both"/>
      </w:pPr>
      <w:r>
        <w:rPr>
          <w:rFonts w:ascii="仿宋_GB2312" w:hAnsi="仿宋_GB2312" w:eastAsia="仿宋_GB2312"/>
          <w:b w:val="0"/>
          <w:sz w:val="32"/>
        </w:rPr>
        <w:t>4.卫生健康支出(类)公共卫生(款)采供血机构(项):支出决算数为1,021.23万元，比上年决算增加226.43万元，增长28.49%,主要原因是：本年功能科目调整，重大传染病防控项目经费上年在重大卫生服务科目列支，本年调整至采供血机构列支，导致相关经费</w:t>
      </w:r>
      <w:r>
        <w:rPr>
          <w:rFonts w:hint="eastAsia" w:ascii="仿宋_GB2312" w:hAnsi="仿宋_GB2312" w:eastAsia="仿宋_GB2312"/>
          <w:b w:val="0"/>
          <w:sz w:val="32"/>
          <w:lang w:val="en-US" w:eastAsia="zh-CN"/>
        </w:rPr>
        <w:t>增加</w:t>
      </w:r>
      <w:r>
        <w:rPr>
          <w:rFonts w:ascii="仿宋_GB2312" w:hAnsi="仿宋_GB2312" w:eastAsia="仿宋_GB2312"/>
          <w:b w:val="0"/>
          <w:sz w:val="32"/>
        </w:rPr>
        <w:t>，本年在职人员增加，人员工资支出增加。</w:t>
      </w:r>
    </w:p>
    <w:p w14:paraId="57961196">
      <w:pPr>
        <w:spacing w:line="580" w:lineRule="exact"/>
        <w:ind w:firstLine="640"/>
        <w:jc w:val="both"/>
      </w:pPr>
      <w:r>
        <w:rPr>
          <w:rFonts w:ascii="仿宋_GB2312" w:hAnsi="仿宋_GB2312" w:eastAsia="仿宋_GB2312"/>
          <w:b w:val="0"/>
          <w:sz w:val="32"/>
        </w:rPr>
        <w:t>5.卫生健康支出(类)公共卫生(款)重大公共卫生服务(项):支出决算数为0.00万元，比上年决算减少165.00万元，下降100.00%,主要原因是：本年功能科目调整，重大传染病防控项目经费上年在重大卫生服务科目列支，本年调整至采供血机构列支，导致相关经费减少。</w:t>
      </w:r>
    </w:p>
    <w:p w14:paraId="7992187F">
      <w:pPr>
        <w:spacing w:line="580" w:lineRule="exact"/>
        <w:ind w:firstLine="640"/>
        <w:jc w:val="both"/>
      </w:pPr>
      <w:r>
        <w:rPr>
          <w:rFonts w:ascii="仿宋_GB2312" w:hAnsi="仿宋_GB2312" w:eastAsia="仿宋_GB2312"/>
          <w:b w:val="0"/>
          <w:sz w:val="32"/>
        </w:rPr>
        <w:t>6.卫生健康支出(类)公共卫生(款)突发公共卫生事件应急处理(项):支出决算数为0.00万元，比上年决算减少19.74万元，下降100.00%,主要原因是：本年减少2023年喀什地区本级医务人员临时性工作补助项目、2023年自治区医务人员临时性工作补助项目，导致相关经费减少。</w:t>
      </w:r>
    </w:p>
    <w:p w14:paraId="1DC1C981">
      <w:pPr>
        <w:spacing w:line="580" w:lineRule="exact"/>
        <w:ind w:firstLine="640"/>
        <w:jc w:val="both"/>
      </w:pPr>
      <w:r>
        <w:rPr>
          <w:rFonts w:ascii="仿宋_GB2312" w:hAnsi="仿宋_GB2312" w:eastAsia="仿宋_GB2312"/>
          <w:b w:val="0"/>
          <w:sz w:val="32"/>
        </w:rPr>
        <w:t>7.卫生健康支出(类)行政事业单位医疗(款)事业单位医疗(项):支出决算数为24.11万元，比上年决算减少0.50万元，下降2.03%,主要原因是：本年退休人员增加，因退休人员医疗保险制度改革，退休人员基本医疗不再由单位缴纳，导致经费较上年减少。</w:t>
      </w:r>
    </w:p>
    <w:p w14:paraId="2AD4D1CF">
      <w:pPr>
        <w:spacing w:line="580" w:lineRule="exact"/>
        <w:ind w:firstLine="640"/>
        <w:jc w:val="both"/>
      </w:pPr>
      <w:r>
        <w:rPr>
          <w:rFonts w:ascii="仿宋_GB2312" w:hAnsi="仿宋_GB2312" w:eastAsia="仿宋_GB2312"/>
          <w:b w:val="0"/>
          <w:sz w:val="32"/>
        </w:rPr>
        <w:t>8.卫生健康支出(类)行政事业单位医疗(款)公务员医疗补助(项):支出决算数为0.00万元，比上年决算减少0.56万元，下降100.00%,主要原因是：因退休人员医疗保险制度改革，退休人员基本医疗不再由单位缴纳，导致经费较上年减少。</w:t>
      </w:r>
    </w:p>
    <w:p w14:paraId="4D11468A">
      <w:pPr>
        <w:spacing w:line="580" w:lineRule="exact"/>
        <w:ind w:firstLine="640"/>
        <w:jc w:val="both"/>
      </w:pPr>
      <w:r>
        <w:rPr>
          <w:rFonts w:ascii="仿宋_GB2312" w:hAnsi="仿宋_GB2312" w:eastAsia="仿宋_GB2312"/>
          <w:b w:val="0"/>
          <w:sz w:val="32"/>
        </w:rPr>
        <w:t>9.卫生健康支出(类)其他卫生健康支出(款)其他卫生健康支出(项):支出决算数为1,572.36万元，比上年决算减少26.64万元，下降1.67%,主要原因是：本年减少能力提升采供血工作项目，采供血设备购置及旧业务楼维修项目，导致相关经费减少。</w:t>
      </w:r>
    </w:p>
    <w:p w14:paraId="5E405898">
      <w:pPr>
        <w:spacing w:line="580" w:lineRule="exact"/>
        <w:ind w:firstLine="640"/>
        <w:jc w:val="both"/>
      </w:pPr>
      <w:r>
        <w:rPr>
          <w:rFonts w:ascii="仿宋_GB2312" w:hAnsi="仿宋_GB2312" w:eastAsia="仿宋_GB2312"/>
          <w:b w:val="0"/>
          <w:sz w:val="32"/>
        </w:rPr>
        <w:t>10.住房保障支出(类)住房改革支出(款)住房公积金(项):支出决算数为48.64万元，比上年决算增加4.09万元，增长9.18%,主要原因是：本年在职人员工资基数调增，公积金缴费基数上涨，相应支出增加。</w:t>
      </w:r>
    </w:p>
    <w:p w14:paraId="46A0E7F2">
      <w:pPr>
        <w:spacing w:line="640" w:lineRule="exact"/>
        <w:ind w:firstLine="640"/>
        <w:jc w:val="both"/>
        <w:outlineLvl w:val="2"/>
      </w:pPr>
      <w:r>
        <w:rPr>
          <w:rFonts w:ascii="黑体" w:hAnsi="黑体" w:eastAsia="黑体"/>
          <w:sz w:val="32"/>
        </w:rPr>
        <w:t>六、一般公共预算财政拨款基本支出决算情况说明</w:t>
      </w:r>
    </w:p>
    <w:p w14:paraId="2DBB85C4">
      <w:pPr>
        <w:spacing w:line="580" w:lineRule="exact"/>
        <w:ind w:firstLine="640"/>
        <w:jc w:val="both"/>
      </w:pPr>
      <w:r>
        <w:rPr>
          <w:rFonts w:ascii="仿宋_GB2312" w:hAnsi="仿宋_GB2312" w:eastAsia="仿宋_GB2312"/>
          <w:b w:val="0"/>
          <w:sz w:val="32"/>
        </w:rPr>
        <w:t>2024年度一般公共预算财政拨款基本支出952.88万元，其中：</w:t>
      </w:r>
      <w:r>
        <w:rPr>
          <w:rFonts w:ascii="仿宋_GB2312" w:hAnsi="仿宋_GB2312" w:eastAsia="仿宋_GB2312"/>
          <w:b/>
          <w:sz w:val="32"/>
        </w:rPr>
        <w:t>人员经费911.14万元，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14:paraId="6B57348F">
      <w:pPr>
        <w:spacing w:line="580" w:lineRule="exact"/>
        <w:ind w:firstLine="640"/>
        <w:jc w:val="both"/>
      </w:pPr>
      <w:r>
        <w:rPr>
          <w:rFonts w:ascii="仿宋_GB2312" w:hAnsi="仿宋_GB2312" w:eastAsia="仿宋_GB2312"/>
          <w:b/>
          <w:sz w:val="32"/>
        </w:rPr>
        <w:t>公用经费41.73万元，</w:t>
      </w:r>
      <w:r>
        <w:rPr>
          <w:rFonts w:ascii="仿宋_GB2312" w:hAnsi="仿宋_GB2312" w:eastAsia="仿宋_GB2312"/>
          <w:b w:val="0"/>
          <w:sz w:val="32"/>
        </w:rPr>
        <w:t>包括：办公费、手续费、水费、电费、邮电费、取暖费、差旅费、专用材料费、工会经费、公务用车运行维护费、其他交通费用、其他商品和服务支出。</w:t>
      </w:r>
    </w:p>
    <w:p w14:paraId="2F6DA42D">
      <w:pPr>
        <w:spacing w:line="640" w:lineRule="exact"/>
        <w:ind w:firstLine="640"/>
        <w:jc w:val="both"/>
        <w:outlineLvl w:val="2"/>
      </w:pPr>
      <w:r>
        <w:rPr>
          <w:rFonts w:ascii="黑体" w:hAnsi="黑体" w:eastAsia="黑体"/>
          <w:sz w:val="32"/>
        </w:rPr>
        <w:t>七、政府性基金预算财政拨款收入支出决算情况说明</w:t>
      </w:r>
    </w:p>
    <w:p w14:paraId="4A86BF94">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3350443">
      <w:pPr>
        <w:spacing w:line="640" w:lineRule="exact"/>
        <w:ind w:firstLine="640"/>
        <w:jc w:val="both"/>
        <w:outlineLvl w:val="2"/>
      </w:pPr>
      <w:r>
        <w:rPr>
          <w:rFonts w:ascii="黑体" w:hAnsi="黑体" w:eastAsia="黑体"/>
          <w:sz w:val="32"/>
        </w:rPr>
        <w:t>八、国有资本经营预算财政拨款收入支出决算情况说明</w:t>
      </w:r>
    </w:p>
    <w:p w14:paraId="633E838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41CFE1C">
      <w:pPr>
        <w:spacing w:line="640" w:lineRule="exact"/>
        <w:ind w:firstLine="640"/>
        <w:jc w:val="both"/>
        <w:outlineLvl w:val="2"/>
      </w:pPr>
      <w:r>
        <w:rPr>
          <w:rFonts w:ascii="黑体" w:hAnsi="黑体" w:eastAsia="黑体"/>
          <w:sz w:val="32"/>
        </w:rPr>
        <w:t>九、财政拨款“三公”经费支出决算情况说明</w:t>
      </w:r>
    </w:p>
    <w:p w14:paraId="4A3B08C3">
      <w:pPr>
        <w:spacing w:line="580" w:lineRule="exact"/>
        <w:ind w:firstLine="640"/>
        <w:jc w:val="both"/>
      </w:pPr>
      <w:r>
        <w:rPr>
          <w:rFonts w:ascii="仿宋_GB2312" w:hAnsi="仿宋_GB2312" w:eastAsia="仿宋_GB2312"/>
          <w:b/>
          <w:sz w:val="32"/>
        </w:rPr>
        <w:t>2024年度财政拨款“三公”经费支出9.10万元，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9.10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476B425A">
      <w:pPr>
        <w:spacing w:line="580" w:lineRule="exact"/>
        <w:ind w:firstLine="640"/>
        <w:jc w:val="both"/>
      </w:pPr>
      <w:r>
        <w:rPr>
          <w:rFonts w:ascii="仿宋_GB2312" w:hAnsi="仿宋_GB2312" w:eastAsia="仿宋_GB2312"/>
          <w:b/>
          <w:sz w:val="32"/>
        </w:rPr>
        <w:t>具体情况如下：</w:t>
      </w:r>
    </w:p>
    <w:p w14:paraId="20C6704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ADBC174">
      <w:pPr>
        <w:spacing w:line="580" w:lineRule="exact"/>
        <w:ind w:firstLine="640"/>
        <w:jc w:val="both"/>
      </w:pPr>
      <w:r>
        <w:rPr>
          <w:rFonts w:ascii="仿宋_GB2312" w:hAnsi="仿宋_GB2312" w:eastAsia="仿宋_GB2312"/>
          <w:b w:val="0"/>
          <w:sz w:val="32"/>
        </w:rPr>
        <w:t>公务用车购置及运行维护费9.10万元，其中：公务用车购置费0.00万元，公务用车运行维护费9.10万元。公务用车运行维护费开支内容包括车辆加油费、维修费、保险费、审车费、过路费等支出，未购置公务用车。公务用车购置数0辆，公务用车保有量6辆。国有资产占用情况中固定资产车辆6辆，与公务用车保有量差异原因是：本部门固定资产车辆与公务用车保有量一致无差异。</w:t>
      </w:r>
    </w:p>
    <w:p w14:paraId="321F3169">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0D623F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9.10万元，决算数9.10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9.10万元，决算数9.10万元，预决算差异率0.00%，主要原因是：严格按照预算执行，预决算无差异。公务接待费全年预算数0.00万元，决算数0.00万元，预决算差异率0.00%，主要原因是：本部门无公务接待费。</w:t>
      </w:r>
    </w:p>
    <w:p w14:paraId="4D43D283">
      <w:pPr>
        <w:spacing w:line="640" w:lineRule="exact"/>
        <w:ind w:firstLine="640"/>
        <w:jc w:val="both"/>
        <w:outlineLvl w:val="2"/>
      </w:pPr>
      <w:r>
        <w:rPr>
          <w:rFonts w:ascii="黑体" w:hAnsi="黑体" w:eastAsia="黑体"/>
          <w:sz w:val="32"/>
        </w:rPr>
        <w:t>十、其他重要事项的情况说明</w:t>
      </w:r>
    </w:p>
    <w:p w14:paraId="6FCCAC5C">
      <w:pPr>
        <w:spacing w:line="640" w:lineRule="exact"/>
        <w:ind w:firstLine="640"/>
        <w:jc w:val="both"/>
        <w:outlineLvl w:val="3"/>
      </w:pPr>
      <w:r>
        <w:rPr>
          <w:rFonts w:ascii="楷体_GB2312" w:hAnsi="楷体_GB2312" w:eastAsia="楷体_GB2312"/>
          <w:b/>
          <w:sz w:val="32"/>
        </w:rPr>
        <w:t>（一）机关运行经费及公用经费支出情况</w:t>
      </w:r>
    </w:p>
    <w:p w14:paraId="30E5B818">
      <w:pPr>
        <w:spacing w:line="580" w:lineRule="exact"/>
        <w:ind w:firstLine="640"/>
        <w:jc w:val="both"/>
      </w:pPr>
      <w:r>
        <w:rPr>
          <w:rFonts w:ascii="仿宋_GB2312" w:hAnsi="仿宋_GB2312" w:eastAsia="仿宋_GB2312"/>
          <w:b w:val="0"/>
          <w:sz w:val="32"/>
        </w:rPr>
        <w:t>2024年度新疆维吾尔自治区喀什地区中心血站（事业单位）公用经费支出41.73万元，比上年增加1.81万元，增长4.53%，主要原因是：本年在职人员增加，业务量增加，相应的公用经费增加。</w:t>
      </w:r>
    </w:p>
    <w:p w14:paraId="5ED8FDDD">
      <w:pPr>
        <w:spacing w:line="640" w:lineRule="exact"/>
        <w:ind w:firstLine="640"/>
        <w:jc w:val="both"/>
        <w:outlineLvl w:val="3"/>
      </w:pPr>
      <w:r>
        <w:rPr>
          <w:rFonts w:ascii="楷体_GB2312" w:hAnsi="楷体_GB2312" w:eastAsia="楷体_GB2312"/>
          <w:b/>
          <w:sz w:val="32"/>
        </w:rPr>
        <w:t>（二）政府采购情况</w:t>
      </w:r>
    </w:p>
    <w:p w14:paraId="63FFA76F">
      <w:pPr>
        <w:spacing w:line="580" w:lineRule="exact"/>
        <w:ind w:firstLine="640"/>
        <w:jc w:val="both"/>
      </w:pPr>
      <w:r>
        <w:rPr>
          <w:rFonts w:ascii="仿宋_GB2312" w:hAnsi="仿宋_GB2312" w:eastAsia="仿宋_GB2312"/>
          <w:b w:val="0"/>
          <w:sz w:val="32"/>
        </w:rPr>
        <w:t>2024年度政府采购支出总额536.92万元，其中：政府采购货物支出424.34万元、政府采购工程支出0.00万元、政府采购服务支出112.58万元。</w:t>
      </w:r>
    </w:p>
    <w:p w14:paraId="0C2D0EC7">
      <w:pPr>
        <w:spacing w:line="580" w:lineRule="exact"/>
        <w:ind w:firstLine="640"/>
        <w:jc w:val="both"/>
      </w:pPr>
      <w:r>
        <w:rPr>
          <w:rFonts w:ascii="仿宋_GB2312" w:hAnsi="仿宋_GB2312" w:eastAsia="仿宋_GB2312"/>
          <w:b w:val="0"/>
          <w:sz w:val="32"/>
        </w:rPr>
        <w:t>授予中小企业合同金额536.92万元，占政府采购支出总额的100.00%，其中：授予小微企业合同金额536.92万元，占政府采购支出总额的100.00%。</w:t>
      </w:r>
    </w:p>
    <w:p w14:paraId="156C005A">
      <w:pPr>
        <w:spacing w:line="640" w:lineRule="exact"/>
        <w:ind w:firstLine="640"/>
        <w:jc w:val="both"/>
        <w:outlineLvl w:val="3"/>
      </w:pPr>
      <w:r>
        <w:rPr>
          <w:rFonts w:ascii="楷体_GB2312" w:hAnsi="楷体_GB2312" w:eastAsia="楷体_GB2312"/>
          <w:b/>
          <w:sz w:val="32"/>
        </w:rPr>
        <w:t>（三）国有资产占用情况说明</w:t>
      </w:r>
    </w:p>
    <w:p w14:paraId="4EE62EEB">
      <w:pPr>
        <w:spacing w:line="580" w:lineRule="exact"/>
        <w:ind w:firstLine="640"/>
        <w:jc w:val="both"/>
      </w:pPr>
      <w:r>
        <w:rPr>
          <w:rFonts w:ascii="仿宋_GB2312" w:hAnsi="仿宋_GB2312" w:eastAsia="仿宋_GB2312"/>
          <w:b w:val="0"/>
          <w:sz w:val="32"/>
        </w:rPr>
        <w:t>截至2024年12月31日，房屋5,120.01平方米，价值1,335.51万元。车辆6辆，价值268.19万元，其中：副部（省）级及以上领导用车0辆、主要负责人用车0辆、机要通信用车0辆、应急保障用车0辆、执法执勤用车0辆、特种专业技术用车6辆、离退休干部服务用车0辆、其他用车0辆，其他用车主要是：本部门无其他用车。单价100万元（含）以上设备（不含车辆）14台（套）。</w:t>
      </w:r>
    </w:p>
    <w:p w14:paraId="512BB366">
      <w:pPr>
        <w:spacing w:line="640" w:lineRule="exact"/>
        <w:ind w:firstLine="640"/>
        <w:jc w:val="both"/>
        <w:outlineLvl w:val="2"/>
      </w:pPr>
      <w:r>
        <w:rPr>
          <w:rFonts w:ascii="黑体" w:hAnsi="黑体" w:eastAsia="黑体"/>
          <w:sz w:val="32"/>
        </w:rPr>
        <w:t>十一、预算绩效的情况说明</w:t>
      </w:r>
    </w:p>
    <w:p w14:paraId="50E5920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2,810.91万元，实际执行总额2,769.23万元；预算绩效评价项目4个，全年预算数1,832.00万元，全年执行数1,804.36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绩效管理工作主要财务人员追溯完成，整体管理意识欠缺；二是项目负责人对绩效管理工作了解不充分，设立绩效目标不规范，不精准，不及时。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部门整体支出绩效自评表，项目支出绩效自评表和部门评价报告。</w:t>
      </w:r>
    </w:p>
    <w:p w14:paraId="070687D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0CACD03">
        <w:tblPrEx>
          <w:tblCellMar>
            <w:top w:w="0" w:type="dxa"/>
            <w:left w:w="108" w:type="dxa"/>
            <w:bottom w:w="0" w:type="dxa"/>
            <w:right w:w="108" w:type="dxa"/>
          </w:tblCellMar>
        </w:tblPrEx>
        <w:tc>
          <w:tcPr>
            <w:tcW w:w="8847" w:type="dxa"/>
            <w:gridSpan w:val="9"/>
            <w:vAlign w:val="center"/>
          </w:tcPr>
          <w:p w14:paraId="71AA98C6">
            <w:pPr>
              <w:jc w:val="center"/>
            </w:pPr>
            <w:r>
              <w:rPr>
                <w:rFonts w:ascii="宋体" w:hAnsi="宋体" w:eastAsia="宋体"/>
                <w:sz w:val="24"/>
              </w:rPr>
              <w:t>部门整体支出绩效自评表</w:t>
            </w:r>
          </w:p>
        </w:tc>
      </w:tr>
      <w:tr w14:paraId="1E1099E2">
        <w:tblPrEx>
          <w:tblCellMar>
            <w:top w:w="0" w:type="dxa"/>
            <w:left w:w="108" w:type="dxa"/>
            <w:bottom w:w="0" w:type="dxa"/>
            <w:right w:w="108" w:type="dxa"/>
          </w:tblCellMar>
        </w:tblPrEx>
        <w:tc>
          <w:tcPr>
            <w:tcW w:w="8847" w:type="dxa"/>
            <w:gridSpan w:val="9"/>
            <w:vAlign w:val="center"/>
          </w:tcPr>
          <w:p w14:paraId="0BFD0167">
            <w:pPr>
              <w:jc w:val="center"/>
            </w:pPr>
            <w:r>
              <w:rPr>
                <w:rFonts w:ascii="宋体" w:hAnsi="宋体" w:eastAsia="宋体"/>
                <w:sz w:val="24"/>
              </w:rPr>
              <w:t>（2024年度）</w:t>
            </w:r>
          </w:p>
        </w:tc>
      </w:tr>
      <w:tr w14:paraId="386E16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E79D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D600C3">
            <w:pPr>
              <w:jc w:val="center"/>
            </w:pPr>
            <w:r>
              <w:rPr>
                <w:rFonts w:ascii="宋体" w:hAnsi="宋体" w:eastAsia="宋体"/>
                <w:sz w:val="16"/>
              </w:rPr>
              <w:t>新疆维吾尔自治区喀什地区中心血站</w:t>
            </w:r>
          </w:p>
        </w:tc>
      </w:tr>
      <w:tr w14:paraId="6C213B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B785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4DED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B64E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F257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BFC3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404A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1B27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3E2BF">
            <w:pPr>
              <w:jc w:val="center"/>
            </w:pPr>
            <w:r>
              <w:rPr>
                <w:rFonts w:ascii="宋体" w:hAnsi="宋体" w:eastAsia="宋体"/>
                <w:sz w:val="16"/>
              </w:rPr>
              <w:t>得分</w:t>
            </w:r>
          </w:p>
        </w:tc>
      </w:tr>
      <w:tr w14:paraId="6AA65B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9B1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ABAD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E8D50">
            <w:pPr>
              <w:jc w:val="center"/>
            </w:pPr>
            <w:r>
              <w:rPr>
                <w:rFonts w:ascii="宋体" w:hAnsi="宋体" w:eastAsia="宋体"/>
                <w:sz w:val="16"/>
              </w:rPr>
              <w:t>2,694.40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08C55">
            <w:pPr>
              <w:jc w:val="center"/>
            </w:pPr>
            <w:r>
              <w:rPr>
                <w:rFonts w:ascii="宋体" w:hAnsi="宋体" w:eastAsia="宋体"/>
                <w:sz w:val="16"/>
              </w:rPr>
              <w:t>2,810.91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E2D01">
            <w:pPr>
              <w:jc w:val="center"/>
            </w:pPr>
            <w:r>
              <w:rPr>
                <w:rFonts w:ascii="宋体" w:hAnsi="宋体" w:eastAsia="宋体"/>
                <w:sz w:val="16"/>
              </w:rPr>
              <w:t>2,769.23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EB3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3D720">
            <w:pPr>
              <w:jc w:val="center"/>
            </w:pPr>
            <w:r>
              <w:rPr>
                <w:rFonts w:ascii="宋体" w:hAnsi="宋体" w:eastAsia="宋体"/>
                <w:sz w:val="16"/>
              </w:rPr>
              <w:t>98.52%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8A906">
            <w:pPr>
              <w:jc w:val="center"/>
            </w:pPr>
            <w:r>
              <w:rPr>
                <w:rFonts w:ascii="宋体" w:hAnsi="宋体" w:eastAsia="宋体"/>
                <w:sz w:val="16"/>
              </w:rPr>
              <w:t>9.85</w:t>
            </w:r>
          </w:p>
        </w:tc>
      </w:tr>
      <w:tr w14:paraId="60B2D0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EA53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32DC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17140">
            <w:pPr>
              <w:jc w:val="center"/>
            </w:pPr>
            <w:r>
              <w:rPr>
                <w:rFonts w:ascii="宋体" w:hAnsi="宋体" w:eastAsia="宋体"/>
                <w:sz w:val="16"/>
              </w:rPr>
              <w:t>166.23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3333F">
            <w:pPr>
              <w:jc w:val="center"/>
            </w:pPr>
            <w:r>
              <w:rPr>
                <w:rFonts w:ascii="宋体" w:hAnsi="宋体" w:eastAsia="宋体"/>
                <w:sz w:val="16"/>
              </w:rPr>
              <w:t>268.23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E717E">
            <w:pPr>
              <w:jc w:val="center"/>
            </w:pPr>
            <w:r>
              <w:rPr>
                <w:rFonts w:ascii="宋体" w:hAnsi="宋体" w:eastAsia="宋体"/>
                <w:sz w:val="16"/>
              </w:rPr>
              <w:t>265.20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C38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0278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A107A">
            <w:pPr>
              <w:jc w:val="center"/>
            </w:pPr>
            <w:r>
              <w:rPr>
                <w:rFonts w:ascii="宋体" w:hAnsi="宋体" w:eastAsia="宋体"/>
                <w:sz w:val="16"/>
              </w:rPr>
              <w:t>—</w:t>
            </w:r>
          </w:p>
        </w:tc>
      </w:tr>
      <w:tr w14:paraId="2FD112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F5C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412E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58F57">
            <w:pPr>
              <w:jc w:val="center"/>
            </w:pPr>
            <w:r>
              <w:rPr>
                <w:rFonts w:ascii="宋体" w:hAnsi="宋体" w:eastAsia="宋体"/>
                <w:sz w:val="16"/>
              </w:rPr>
              <w:t>2,528.17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CA20E">
            <w:pPr>
              <w:jc w:val="center"/>
            </w:pPr>
            <w:r>
              <w:rPr>
                <w:rFonts w:ascii="宋体" w:hAnsi="宋体" w:eastAsia="宋体"/>
                <w:sz w:val="16"/>
              </w:rPr>
              <w:t>2,542.68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DB9BD">
            <w:pPr>
              <w:jc w:val="center"/>
            </w:pPr>
            <w:r>
              <w:rPr>
                <w:rFonts w:ascii="宋体" w:hAnsi="宋体" w:eastAsia="宋体"/>
                <w:sz w:val="16"/>
              </w:rPr>
              <w:t>2,504.03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14A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5624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318B5">
            <w:pPr>
              <w:jc w:val="center"/>
            </w:pPr>
            <w:r>
              <w:rPr>
                <w:rFonts w:ascii="宋体" w:hAnsi="宋体" w:eastAsia="宋体"/>
                <w:sz w:val="16"/>
              </w:rPr>
              <w:t>—</w:t>
            </w:r>
          </w:p>
        </w:tc>
      </w:tr>
      <w:tr w14:paraId="6D29CC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50A6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3F43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E69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A88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76D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3F2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91DE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3D985">
            <w:pPr>
              <w:jc w:val="center"/>
            </w:pPr>
            <w:r>
              <w:rPr>
                <w:rFonts w:ascii="宋体" w:hAnsi="宋体" w:eastAsia="宋体"/>
                <w:sz w:val="16"/>
              </w:rPr>
              <w:t>—</w:t>
            </w:r>
          </w:p>
        </w:tc>
      </w:tr>
      <w:tr w14:paraId="331335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69C7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F8BC2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E5E74F">
            <w:pPr>
              <w:jc w:val="center"/>
            </w:pPr>
            <w:r>
              <w:rPr>
                <w:rFonts w:ascii="宋体" w:hAnsi="宋体" w:eastAsia="宋体"/>
                <w:sz w:val="16"/>
              </w:rPr>
              <w:t>实际完成情况</w:t>
            </w:r>
          </w:p>
        </w:tc>
      </w:tr>
      <w:tr w14:paraId="2A0784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EC55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A89104">
            <w:pPr>
              <w:jc w:val="both"/>
            </w:pPr>
            <w:r>
              <w:rPr>
                <w:rFonts w:ascii="宋体" w:hAnsi="宋体" w:eastAsia="宋体"/>
                <w:sz w:val="16"/>
              </w:rPr>
              <w:t>保障喀什地区献血者献血需求和临床用血需求，计划2024年度我站年采血人次达到22000人次以上，年临床供血量达到5000单位以上，年报销用血互助金人次达到2600人次以上，喀什地区临床用血保障率达到100%，献血群众满意度达到95%以上，保障我站全年采供血工作正常有序开展，保障采购</w:t>
            </w:r>
            <w:r>
              <w:rPr>
                <w:rFonts w:hint="eastAsia" w:ascii="宋体" w:hAnsi="宋体"/>
                <w:sz w:val="16"/>
                <w:lang w:eastAsia="zh-CN"/>
              </w:rPr>
              <w:t>本部门</w:t>
            </w:r>
            <w:r>
              <w:rPr>
                <w:rFonts w:ascii="宋体" w:hAnsi="宋体" w:eastAsia="宋体"/>
                <w:sz w:val="16"/>
              </w:rPr>
              <w:t>采供血工作所需的专用设备政府采购率达到100%，喀什地区中心血站大力宣传无偿献血，献血知识社会面普及，采集安全质量血液，保障临床用血更加安全。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E6904">
            <w:pPr>
              <w:jc w:val="both"/>
            </w:pPr>
            <w:r>
              <w:rPr>
                <w:rFonts w:hint="eastAsia" w:ascii="宋体" w:hAnsi="宋体"/>
                <w:sz w:val="16"/>
                <w:lang w:eastAsia="zh-CN"/>
              </w:rPr>
              <w:t>1.</w:t>
            </w:r>
            <w:r>
              <w:rPr>
                <w:rFonts w:ascii="宋体" w:hAnsi="宋体" w:eastAsia="宋体"/>
                <w:sz w:val="16"/>
              </w:rPr>
              <w:t>本项目年度总预算1540万元，主要用于采购开展采供血工作所需的专用材料，报销用血互助金，保障单位正常运转，本年度用于办公费用4万元，用于维修维护费用73.79万元，用于本站和莎车分站电费25安远，用于邮电费（主要是每周莎车分站往喀什总站邮寄血液标本）产生的费用4万元，用于莎车分站取暖费1.21万元，用于差旅费20万元，用于其他交通费（主要是3辆机动采血车下县采血产生的邮费和每年7辆车的保险费）的费用16万元，用于报销互助金（主要是献血者用血交的用血互助金）的费用660</w:t>
            </w:r>
            <w:r>
              <w:rPr>
                <w:rFonts w:hint="eastAsia" w:ascii="宋体" w:hAnsi="宋体"/>
                <w:sz w:val="16"/>
                <w:lang w:eastAsia="zh-CN"/>
              </w:rPr>
              <w:t>万元</w:t>
            </w:r>
            <w:r>
              <w:rPr>
                <w:rFonts w:ascii="宋体" w:hAnsi="宋体" w:eastAsia="宋体"/>
                <w:sz w:val="16"/>
              </w:rPr>
              <w:t>，用于购买血液检测试剂和耗材产生的费用700万元，喀什地区中心血站大力宣传无偿献血，献血知识社会面普及，采集安全质量血液，为全地区临床用血保障。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2、投入165万元，满足我站无偿献血招募宣传，血液核酸检测需求，</w:t>
            </w:r>
            <w:r>
              <w:rPr>
                <w:rFonts w:hint="eastAsia" w:ascii="宋体" w:hAnsi="宋体"/>
                <w:sz w:val="16"/>
                <w:lang w:eastAsia="zh-CN"/>
              </w:rPr>
              <w:t>本部门</w:t>
            </w:r>
            <w:r>
              <w:rPr>
                <w:rFonts w:ascii="宋体" w:hAnsi="宋体" w:eastAsia="宋体"/>
                <w:sz w:val="16"/>
              </w:rPr>
              <w:t>血液筛查核酸检测数量达到2.552万份（含克州血站共同检测数），采购检测试剂数量达到2万份， 保障采供血工作有所提升，降低</w:t>
            </w:r>
            <w:r>
              <w:rPr>
                <w:rFonts w:hint="eastAsia" w:ascii="宋体" w:hAnsi="宋体"/>
                <w:sz w:val="16"/>
                <w:lang w:val="en-US" w:eastAsia="zh-CN"/>
              </w:rPr>
              <w:t>艾滋病</w:t>
            </w:r>
            <w:r>
              <w:rPr>
                <w:rFonts w:ascii="宋体" w:hAnsi="宋体" w:eastAsia="宋体"/>
                <w:sz w:val="16"/>
              </w:rPr>
              <w:t>病死率，保障全地区医疗机构用血安全。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投入60万元采购设备及维修旧业务楼，更加保障临床用血安全，采购医疗设备提升血液的安全性。投入2.36万元采购一批办公设备，由于年初在录入采购明细时，未按照采购目录录入相应的设备编号，导致在执行过程中无法采购。投入30万元用于旧业务楼下水管、电线全部更换，暖气管维修改造，院内营造无偿献血宣传氛围，保障临床用血更加安全，提高血液检测效率。2024年12月20日，做资金核减收回27.64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投入12.5万元搭建部队血站数据同步系统；支付28.05万元搭建超融合资源池一体机系统；支付25.4万元搭建献血自助登记系统；支付0.45万元搭建部队血站数据同步VPN系统；保障了喀什地区军队采供血机构和喀什血站区域献血者资料和献血记录与全国血液管理信息系统互联互通。</w:t>
            </w:r>
          </w:p>
        </w:tc>
      </w:tr>
      <w:tr w14:paraId="2C2B8C1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C80D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A865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2CB8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5A0A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3311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D47A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C7CC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7A4E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24A05">
            <w:pPr>
              <w:jc w:val="center"/>
            </w:pPr>
            <w:r>
              <w:rPr>
                <w:rFonts w:ascii="宋体" w:hAnsi="宋体" w:eastAsia="宋体"/>
                <w:sz w:val="16"/>
              </w:rPr>
              <w:t>得分</w:t>
            </w:r>
          </w:p>
        </w:tc>
      </w:tr>
      <w:tr w14:paraId="6BE0E0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2ED7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5C48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29211">
            <w:pPr>
              <w:jc w:val="center"/>
            </w:pPr>
            <w:r>
              <w:rPr>
                <w:rFonts w:ascii="宋体" w:hAnsi="宋体" w:eastAsia="宋体"/>
                <w:sz w:val="16"/>
              </w:rPr>
              <w:t>临床供血血量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A70F5">
            <w:pPr>
              <w:jc w:val="center"/>
            </w:pPr>
            <w:r>
              <w:rPr>
                <w:rFonts w:ascii="宋体" w:hAnsi="宋体" w:eastAsia="宋体"/>
                <w:sz w:val="16"/>
              </w:rPr>
              <w:t>&gt;=5000单位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EB391">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A638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F5377">
            <w:pPr>
              <w:jc w:val="center"/>
            </w:pPr>
            <w:r>
              <w:rPr>
                <w:rFonts w:ascii="宋体" w:hAnsi="宋体" w:eastAsia="宋体"/>
                <w:sz w:val="16"/>
              </w:rPr>
              <w:t>6000单位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402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A61A3">
            <w:pPr>
              <w:jc w:val="center"/>
            </w:pPr>
            <w:r>
              <w:rPr>
                <w:rFonts w:ascii="宋体" w:hAnsi="宋体" w:eastAsia="宋体"/>
                <w:sz w:val="16"/>
              </w:rPr>
              <w:t>18</w:t>
            </w:r>
          </w:p>
        </w:tc>
      </w:tr>
      <w:tr w14:paraId="1D4F1C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613F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8B4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B2BA0">
            <w:pPr>
              <w:jc w:val="center"/>
            </w:pPr>
            <w:r>
              <w:rPr>
                <w:rFonts w:ascii="宋体" w:hAnsi="宋体" w:eastAsia="宋体"/>
                <w:sz w:val="16"/>
              </w:rPr>
              <w:t>年采血人次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62D1A">
            <w:pPr>
              <w:jc w:val="center"/>
            </w:pPr>
            <w:r>
              <w:rPr>
                <w:rFonts w:ascii="宋体" w:hAnsi="宋体" w:eastAsia="宋体"/>
                <w:sz w:val="16"/>
              </w:rPr>
              <w:t>&gt;=22000人次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E1A26">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3795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A2248">
            <w:pPr>
              <w:jc w:val="center"/>
            </w:pPr>
            <w:r>
              <w:rPr>
                <w:rFonts w:ascii="宋体" w:hAnsi="宋体" w:eastAsia="宋体"/>
                <w:sz w:val="16"/>
              </w:rPr>
              <w:t>45296人次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57B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E9CB1">
            <w:pPr>
              <w:jc w:val="center"/>
            </w:pPr>
            <w:r>
              <w:rPr>
                <w:rFonts w:ascii="宋体" w:hAnsi="宋体" w:eastAsia="宋体"/>
                <w:sz w:val="16"/>
              </w:rPr>
              <w:t>18</w:t>
            </w:r>
          </w:p>
        </w:tc>
      </w:tr>
      <w:tr w14:paraId="7F9806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172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412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7F200">
            <w:pPr>
              <w:jc w:val="center"/>
            </w:pPr>
            <w:r>
              <w:rPr>
                <w:rFonts w:ascii="宋体" w:hAnsi="宋体" w:eastAsia="宋体"/>
                <w:sz w:val="16"/>
              </w:rPr>
              <w:t>年用血互助金报销数量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73B23">
            <w:pPr>
              <w:jc w:val="center"/>
            </w:pPr>
            <w:r>
              <w:rPr>
                <w:rFonts w:ascii="宋体" w:hAnsi="宋体" w:eastAsia="宋体"/>
                <w:sz w:val="16"/>
              </w:rPr>
              <w:t>&gt;=2600人次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4F32D">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CDFF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E1453">
            <w:pPr>
              <w:jc w:val="center"/>
            </w:pPr>
            <w:r>
              <w:rPr>
                <w:rFonts w:ascii="宋体" w:hAnsi="宋体" w:eastAsia="宋体"/>
                <w:sz w:val="16"/>
              </w:rPr>
              <w:t>4600人次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423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B3B12">
            <w:pPr>
              <w:jc w:val="center"/>
            </w:pPr>
            <w:r>
              <w:rPr>
                <w:rFonts w:ascii="宋体" w:hAnsi="宋体" w:eastAsia="宋体"/>
                <w:sz w:val="16"/>
              </w:rPr>
              <w:t>18</w:t>
            </w:r>
          </w:p>
        </w:tc>
      </w:tr>
      <w:tr w14:paraId="0D00DD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F27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BE34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52FEF">
            <w:pPr>
              <w:jc w:val="center"/>
            </w:pPr>
            <w:r>
              <w:rPr>
                <w:rFonts w:ascii="宋体" w:hAnsi="宋体" w:eastAsia="宋体"/>
                <w:sz w:val="16"/>
              </w:rPr>
              <w:t>血液检测合格率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A75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3B614">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A7FB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92B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72A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B0264">
            <w:pPr>
              <w:jc w:val="center"/>
            </w:pPr>
            <w:r>
              <w:rPr>
                <w:rFonts w:ascii="宋体" w:hAnsi="宋体" w:eastAsia="宋体"/>
                <w:sz w:val="16"/>
              </w:rPr>
              <w:t>18</w:t>
            </w:r>
          </w:p>
        </w:tc>
      </w:tr>
      <w:tr w14:paraId="1A03076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B6782">
            <w:pPr>
              <w:jc w:val="center"/>
            </w:pPr>
            <w:r>
              <w:rPr>
                <w:rFonts w:ascii="宋体" w:hAnsi="宋体" w:eastAsia="宋体"/>
                <w:sz w:val="16"/>
              </w:rPr>
              <w:t>社会效应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7C33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22CC1">
            <w:pPr>
              <w:jc w:val="center"/>
            </w:pPr>
            <w:r>
              <w:rPr>
                <w:rFonts w:ascii="宋体" w:hAnsi="宋体" w:eastAsia="宋体"/>
                <w:sz w:val="16"/>
              </w:rPr>
              <w:t>喀什地区临床用血保障率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94A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6BD85">
            <w:pPr>
              <w:jc w:val="center"/>
            </w:pPr>
            <w:r>
              <w:rPr>
                <w:rFonts w:ascii="宋体" w:hAnsi="宋体" w:eastAsia="宋体"/>
                <w:sz w:val="16"/>
              </w:rPr>
              <w:t>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9511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9B0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94C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C37CF">
            <w:pPr>
              <w:jc w:val="center"/>
            </w:pPr>
            <w:r>
              <w:rPr>
                <w:rFonts w:ascii="宋体" w:hAnsi="宋体" w:eastAsia="宋体"/>
                <w:sz w:val="16"/>
              </w:rPr>
              <w:t>18</w:t>
            </w:r>
          </w:p>
        </w:tc>
      </w:tr>
    </w:tbl>
    <w:p w14:paraId="744C82FB">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696"/>
        <w:gridCol w:w="625"/>
        <w:gridCol w:w="625"/>
        <w:gridCol w:w="627"/>
        <w:gridCol w:w="625"/>
        <w:gridCol w:w="625"/>
        <w:gridCol w:w="856"/>
        <w:gridCol w:w="632"/>
        <w:gridCol w:w="616"/>
        <w:gridCol w:w="632"/>
      </w:tblGrid>
      <w:tr w14:paraId="53BE03B0">
        <w:tblPrEx>
          <w:tblCellMar>
            <w:top w:w="0" w:type="dxa"/>
            <w:left w:w="108" w:type="dxa"/>
            <w:bottom w:w="0" w:type="dxa"/>
            <w:right w:w="108" w:type="dxa"/>
          </w:tblCellMar>
        </w:tblPrEx>
        <w:tc>
          <w:tcPr>
            <w:tcW w:w="8848" w:type="dxa"/>
            <w:gridSpan w:val="14"/>
            <w:vAlign w:val="center"/>
          </w:tcPr>
          <w:p w14:paraId="1F8EA657">
            <w:pPr>
              <w:jc w:val="center"/>
            </w:pPr>
            <w:r>
              <w:rPr>
                <w:rFonts w:ascii="宋体" w:hAnsi="宋体" w:eastAsia="宋体"/>
                <w:sz w:val="24"/>
              </w:rPr>
              <w:t>项目支出绩效自评表</w:t>
            </w:r>
          </w:p>
        </w:tc>
      </w:tr>
      <w:tr w14:paraId="5BB05BB0">
        <w:tblPrEx>
          <w:tblCellMar>
            <w:top w:w="0" w:type="dxa"/>
            <w:left w:w="108" w:type="dxa"/>
            <w:bottom w:w="0" w:type="dxa"/>
            <w:right w:w="108" w:type="dxa"/>
          </w:tblCellMar>
        </w:tblPrEx>
        <w:tc>
          <w:tcPr>
            <w:tcW w:w="8848" w:type="dxa"/>
            <w:gridSpan w:val="14"/>
            <w:vAlign w:val="center"/>
          </w:tcPr>
          <w:p w14:paraId="19000894">
            <w:pPr>
              <w:jc w:val="center"/>
            </w:pPr>
            <w:r>
              <w:rPr>
                <w:rFonts w:ascii="宋体" w:hAnsi="宋体" w:eastAsia="宋体"/>
                <w:sz w:val="24"/>
              </w:rPr>
              <w:t>(2024年度)</w:t>
            </w:r>
          </w:p>
        </w:tc>
      </w:tr>
      <w:tr w14:paraId="546174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1A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E44C07">
            <w:pPr>
              <w:jc w:val="center"/>
            </w:pPr>
            <w:r>
              <w:rPr>
                <w:rFonts w:ascii="宋体" w:hAnsi="宋体" w:eastAsia="宋体"/>
                <w:sz w:val="16"/>
              </w:rPr>
              <w:t>2024年重大传染病</w:t>
            </w:r>
            <w:bookmarkStart w:id="0" w:name="_GoBack"/>
            <w:bookmarkEnd w:id="0"/>
            <w:r>
              <w:rPr>
                <w:rFonts w:ascii="宋体" w:hAnsi="宋体" w:eastAsia="宋体"/>
                <w:sz w:val="16"/>
              </w:rPr>
              <w:t>防控项目</w:t>
            </w:r>
          </w:p>
        </w:tc>
      </w:tr>
      <w:tr w14:paraId="201C12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F9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FB120">
            <w:pPr>
              <w:jc w:val="center"/>
            </w:pPr>
            <w:r>
              <w:rPr>
                <w:rFonts w:ascii="宋体" w:hAnsi="宋体" w:eastAsia="宋体"/>
                <w:sz w:val="16"/>
              </w:rPr>
              <w:t>新疆维吾尔自治区喀什地区中心血站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C7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7E8E5D">
            <w:pPr>
              <w:jc w:val="center"/>
            </w:pPr>
            <w:r>
              <w:rPr>
                <w:rFonts w:ascii="宋体" w:hAnsi="宋体" w:eastAsia="宋体"/>
                <w:sz w:val="16"/>
              </w:rPr>
              <w:t>新疆维吾尔自治区喀什地区中心血站</w:t>
            </w:r>
          </w:p>
        </w:tc>
      </w:tr>
      <w:tr w14:paraId="603C68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9C9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84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80E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13F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A94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761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F2E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A4E2">
            <w:pPr>
              <w:jc w:val="center"/>
            </w:pPr>
            <w:r>
              <w:rPr>
                <w:rFonts w:ascii="宋体" w:hAnsi="宋体" w:eastAsia="宋体"/>
                <w:sz w:val="16"/>
              </w:rPr>
              <w:t>得分</w:t>
            </w:r>
          </w:p>
        </w:tc>
      </w:tr>
      <w:tr w14:paraId="7C1A0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91E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767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F1515">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6FA05">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CA99D">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1F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959C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CAE9">
            <w:pPr>
              <w:jc w:val="center"/>
            </w:pPr>
            <w:r>
              <w:rPr>
                <w:rFonts w:ascii="宋体" w:hAnsi="宋体" w:eastAsia="宋体"/>
                <w:sz w:val="16"/>
              </w:rPr>
              <w:t>10.00分</w:t>
            </w:r>
          </w:p>
        </w:tc>
      </w:tr>
      <w:tr w14:paraId="37E9D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470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F5A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CBEF5">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488FC">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CAAF2">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D20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0D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A264">
            <w:pPr>
              <w:jc w:val="center"/>
            </w:pPr>
            <w:r>
              <w:rPr>
                <w:rFonts w:ascii="宋体" w:hAnsi="宋体" w:eastAsia="宋体"/>
                <w:sz w:val="16"/>
              </w:rPr>
              <w:t>—</w:t>
            </w:r>
          </w:p>
        </w:tc>
      </w:tr>
      <w:tr w14:paraId="524BB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66C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871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243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D95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E9A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D2B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2D6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3780">
            <w:pPr>
              <w:jc w:val="center"/>
            </w:pPr>
            <w:r>
              <w:rPr>
                <w:rFonts w:ascii="宋体" w:hAnsi="宋体" w:eastAsia="宋体"/>
                <w:sz w:val="16"/>
              </w:rPr>
              <w:t>—</w:t>
            </w:r>
          </w:p>
        </w:tc>
      </w:tr>
      <w:tr w14:paraId="40D9ED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1AC22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B6B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596E4F">
            <w:pPr>
              <w:jc w:val="center"/>
            </w:pPr>
            <w:r>
              <w:rPr>
                <w:rFonts w:ascii="宋体" w:hAnsi="宋体" w:eastAsia="宋体"/>
                <w:sz w:val="16"/>
              </w:rPr>
              <w:t>实际完成情况</w:t>
            </w:r>
          </w:p>
        </w:tc>
      </w:tr>
      <w:tr w14:paraId="070B0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58C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F636D">
            <w:pPr>
              <w:jc w:val="both"/>
            </w:pPr>
            <w:r>
              <w:rPr>
                <w:rFonts w:ascii="宋体" w:hAnsi="宋体" w:eastAsia="宋体"/>
                <w:sz w:val="16"/>
              </w:rPr>
              <w:t>本项目总金额165万元，满足我站无偿献血招募宣传，血液核酸检测需求，通过本项目实施</w:t>
            </w:r>
            <w:r>
              <w:rPr>
                <w:rFonts w:hint="eastAsia" w:ascii="宋体" w:hAnsi="宋体"/>
                <w:sz w:val="16"/>
                <w:lang w:eastAsia="zh-CN"/>
              </w:rPr>
              <w:t>本部门</w:t>
            </w:r>
            <w:r>
              <w:rPr>
                <w:rFonts w:ascii="宋体" w:hAnsi="宋体" w:eastAsia="宋体"/>
                <w:sz w:val="16"/>
              </w:rPr>
              <w:t>血液筛查核酸检测数量达到≥1.41万份，采购检测试剂数量达到≥1.41万份，检测试剂的质量合格率达到100%，血液标本检测任务完成率达到100%，核酸检测试剂的单价90元/份， 保障采供血工作有所提升，降低</w:t>
            </w:r>
            <w:r>
              <w:rPr>
                <w:rFonts w:hint="eastAsia" w:ascii="宋体" w:hAnsi="宋体"/>
                <w:sz w:val="16"/>
                <w:lang w:val="en-US" w:eastAsia="zh-CN"/>
              </w:rPr>
              <w:t>艾滋病</w:t>
            </w:r>
            <w:r>
              <w:rPr>
                <w:rFonts w:ascii="宋体" w:hAnsi="宋体" w:eastAsia="宋体"/>
                <w:sz w:val="16"/>
              </w:rPr>
              <w:t>病死率，传染病病毒“窗口期”情况现及时显著提升。构建无偿献血良性循环可持续，血源追溯性可持续。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210DB">
            <w:pPr>
              <w:jc w:val="both"/>
            </w:pPr>
            <w:r>
              <w:rPr>
                <w:rFonts w:ascii="宋体" w:hAnsi="宋体" w:eastAsia="宋体"/>
                <w:sz w:val="16"/>
              </w:rPr>
              <w:t>本项目总金额165万元，满足我站无偿献血招募宣传，血液核酸检测需求，</w:t>
            </w:r>
            <w:r>
              <w:rPr>
                <w:rFonts w:hint="eastAsia" w:ascii="宋体" w:hAnsi="宋体"/>
                <w:sz w:val="16"/>
                <w:lang w:eastAsia="zh-CN"/>
              </w:rPr>
              <w:t>本部门</w:t>
            </w:r>
            <w:r>
              <w:rPr>
                <w:rFonts w:ascii="宋体" w:hAnsi="宋体" w:eastAsia="宋体"/>
                <w:sz w:val="16"/>
              </w:rPr>
              <w:t>血液筛查核酸检测数量达到2.552万份（含克州血站共同检测数），采购检测试剂数量达到1.83万份， 保障采供血工作有所提升，降低</w:t>
            </w:r>
            <w:r>
              <w:rPr>
                <w:rFonts w:hint="eastAsia" w:ascii="宋体" w:hAnsi="宋体"/>
                <w:sz w:val="16"/>
                <w:lang w:val="en-US" w:eastAsia="zh-CN"/>
              </w:rPr>
              <w:t>艾滋病</w:t>
            </w:r>
            <w:r>
              <w:rPr>
                <w:rFonts w:ascii="宋体" w:hAnsi="宋体" w:eastAsia="宋体"/>
                <w:sz w:val="16"/>
              </w:rPr>
              <w:t>病死率，保障全地区医疗机构用血安全。</w:t>
            </w:r>
          </w:p>
        </w:tc>
      </w:tr>
      <w:tr w14:paraId="235245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7B6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43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07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09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1F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57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37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D9B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EB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6B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AC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E6B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92DDA">
            <w:pPr>
              <w:jc w:val="center"/>
            </w:pPr>
            <w:r>
              <w:rPr>
                <w:rFonts w:ascii="宋体" w:hAnsi="宋体" w:eastAsia="宋体"/>
                <w:sz w:val="16"/>
              </w:rPr>
              <w:t>偏差原因分析及改进措施</w:t>
            </w:r>
          </w:p>
        </w:tc>
      </w:tr>
      <w:tr w14:paraId="3495C3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12F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1CC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FE5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59F0">
            <w:pPr>
              <w:jc w:val="center"/>
            </w:pPr>
            <w:r>
              <w:rPr>
                <w:rFonts w:ascii="宋体" w:hAnsi="宋体" w:eastAsia="宋体"/>
                <w:sz w:val="16"/>
              </w:rPr>
              <w:t>血液筛查核酸检测数量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A367">
            <w:pPr>
              <w:jc w:val="center"/>
            </w:pPr>
            <w:r>
              <w:rPr>
                <w:rFonts w:ascii="宋体" w:hAnsi="宋体" w:eastAsia="宋体"/>
                <w:sz w:val="16"/>
              </w:rPr>
              <w:t>&gt;=1.41万份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1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7D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B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9A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DB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1B62">
            <w:pPr>
              <w:jc w:val="center"/>
            </w:pPr>
            <w:r>
              <w:rPr>
                <w:rFonts w:ascii="宋体" w:hAnsi="宋体" w:eastAsia="宋体"/>
                <w:sz w:val="16"/>
              </w:rPr>
              <w:t>=2.552万份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A198">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53812">
            <w:pPr>
              <w:jc w:val="center"/>
            </w:pPr>
            <w:r>
              <w:rPr>
                <w:rFonts w:ascii="宋体" w:hAnsi="宋体" w:eastAsia="宋体"/>
                <w:sz w:val="16"/>
              </w:rPr>
              <w:t>今年检测数量新增克州血站共同检测的数量5520份</w:t>
            </w:r>
          </w:p>
        </w:tc>
      </w:tr>
      <w:tr w14:paraId="7046B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C8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C8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9A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9F8F">
            <w:pPr>
              <w:jc w:val="center"/>
            </w:pPr>
            <w:r>
              <w:rPr>
                <w:rFonts w:ascii="宋体" w:hAnsi="宋体" w:eastAsia="宋体"/>
                <w:sz w:val="16"/>
              </w:rPr>
              <w:t>采购检测试剂数量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9F71">
            <w:pPr>
              <w:jc w:val="center"/>
            </w:pPr>
            <w:r>
              <w:rPr>
                <w:rFonts w:ascii="宋体" w:hAnsi="宋体" w:eastAsia="宋体"/>
                <w:sz w:val="16"/>
              </w:rPr>
              <w:t>&gt;=1.41万份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7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A1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39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66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7F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AB62A">
            <w:pPr>
              <w:jc w:val="center"/>
            </w:pPr>
            <w:r>
              <w:rPr>
                <w:rFonts w:ascii="宋体" w:hAnsi="宋体" w:eastAsia="宋体"/>
                <w:sz w:val="16"/>
              </w:rPr>
              <w:t>=1.83万份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2AA2">
            <w:pPr>
              <w:jc w:val="center"/>
            </w:pPr>
            <w:r>
              <w:rPr>
                <w:rFonts w:ascii="宋体" w:hAnsi="宋体" w:eastAsia="宋体"/>
                <w:sz w:val="16"/>
              </w:rPr>
              <w:t>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B4B4B">
            <w:pPr>
              <w:jc w:val="center"/>
            </w:pPr>
            <w:r>
              <w:rPr>
                <w:rFonts w:ascii="宋体" w:hAnsi="宋体" w:eastAsia="宋体"/>
                <w:sz w:val="16"/>
              </w:rPr>
              <w:t>今年检测数量新增克州血站共同检测的数量，导致检测数量增加。下一步将严格测算检测人数，制定目标值</w:t>
            </w:r>
          </w:p>
        </w:tc>
      </w:tr>
      <w:tr w14:paraId="551EF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0E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B8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D8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7B2E">
            <w:pPr>
              <w:jc w:val="center"/>
            </w:pPr>
            <w:r>
              <w:rPr>
                <w:rFonts w:ascii="宋体" w:hAnsi="宋体" w:eastAsia="宋体"/>
                <w:sz w:val="16"/>
              </w:rPr>
              <w:t>检测试剂的质量合格率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5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26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D0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B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52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E0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3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BE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6219D">
            <w:pPr>
              <w:jc w:val="center"/>
            </w:pPr>
          </w:p>
        </w:tc>
      </w:tr>
      <w:tr w14:paraId="6D39F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C3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F8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A3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C3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E07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A8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9C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2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E5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3D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CE2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88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08021">
            <w:pPr>
              <w:jc w:val="center"/>
            </w:pPr>
          </w:p>
        </w:tc>
      </w:tr>
      <w:tr w14:paraId="3E7F0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E1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89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33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4DCE">
            <w:pPr>
              <w:jc w:val="center"/>
            </w:pPr>
            <w:r>
              <w:rPr>
                <w:rFonts w:ascii="宋体" w:hAnsi="宋体" w:eastAsia="宋体"/>
                <w:sz w:val="16"/>
              </w:rPr>
              <w:t>检测试剂单价成本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FCDA">
            <w:pPr>
              <w:jc w:val="center"/>
            </w:pPr>
            <w:r>
              <w:rPr>
                <w:rFonts w:ascii="宋体" w:hAnsi="宋体" w:eastAsia="宋体"/>
                <w:sz w:val="16"/>
              </w:rPr>
              <w:t>&lt;=90元/份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AD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89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5C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3F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BB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1AE5">
            <w:pPr>
              <w:jc w:val="center"/>
            </w:pPr>
            <w:r>
              <w:rPr>
                <w:rFonts w:ascii="宋体" w:hAnsi="宋体" w:eastAsia="宋体"/>
                <w:sz w:val="16"/>
              </w:rPr>
              <w:t>=90元/份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08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0207E">
            <w:pPr>
              <w:jc w:val="center"/>
            </w:pPr>
          </w:p>
        </w:tc>
      </w:tr>
      <w:tr w14:paraId="016DC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BE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CE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49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1974">
            <w:pPr>
              <w:jc w:val="center"/>
            </w:pPr>
            <w:r>
              <w:rPr>
                <w:rFonts w:ascii="宋体" w:hAnsi="宋体" w:eastAsia="宋体"/>
                <w:sz w:val="16"/>
              </w:rPr>
              <w:t>向临床提供安全质量合格血液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5A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A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C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F53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B3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AF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D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E98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60B51">
            <w:pPr>
              <w:jc w:val="center"/>
            </w:pPr>
          </w:p>
        </w:tc>
      </w:tr>
      <w:tr w14:paraId="3CFF9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52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2D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15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0DBD">
            <w:pPr>
              <w:jc w:val="center"/>
            </w:pPr>
            <w:r>
              <w:rPr>
                <w:rFonts w:ascii="宋体" w:hAnsi="宋体" w:eastAsia="宋体"/>
                <w:sz w:val="16"/>
              </w:rPr>
              <w:t>献血人员满意度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FE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81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D5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B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A3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94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1484">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E7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17104">
            <w:pPr>
              <w:jc w:val="center"/>
            </w:pPr>
          </w:p>
        </w:tc>
      </w:tr>
      <w:tr w14:paraId="68737D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B03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29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6D8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5B22">
            <w:pPr>
              <w:jc w:val="center"/>
            </w:pPr>
            <w:r>
              <w:rPr>
                <w:rFonts w:ascii="宋体" w:hAnsi="宋体" w:eastAsia="宋体"/>
                <w:sz w:val="16"/>
              </w:rPr>
              <w:t>88.92分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A19109"/>
        </w:tc>
      </w:tr>
    </w:tbl>
    <w:p w14:paraId="502660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7550D62">
        <w:tblPrEx>
          <w:tblCellMar>
            <w:top w:w="0" w:type="dxa"/>
            <w:left w:w="108" w:type="dxa"/>
            <w:bottom w:w="0" w:type="dxa"/>
            <w:right w:w="108" w:type="dxa"/>
          </w:tblCellMar>
        </w:tblPrEx>
        <w:tc>
          <w:tcPr>
            <w:tcW w:w="9056" w:type="dxa"/>
            <w:gridSpan w:val="14"/>
            <w:vAlign w:val="center"/>
          </w:tcPr>
          <w:p w14:paraId="4674D072">
            <w:pPr>
              <w:jc w:val="center"/>
            </w:pPr>
            <w:r>
              <w:rPr>
                <w:rFonts w:ascii="宋体" w:hAnsi="宋体" w:eastAsia="宋体"/>
                <w:sz w:val="24"/>
              </w:rPr>
              <w:t>项目支出绩效自评表</w:t>
            </w:r>
          </w:p>
        </w:tc>
      </w:tr>
      <w:tr w14:paraId="6D89C998">
        <w:tblPrEx>
          <w:tblCellMar>
            <w:top w:w="0" w:type="dxa"/>
            <w:left w:w="108" w:type="dxa"/>
            <w:bottom w:w="0" w:type="dxa"/>
            <w:right w:w="108" w:type="dxa"/>
          </w:tblCellMar>
        </w:tblPrEx>
        <w:tc>
          <w:tcPr>
            <w:tcW w:w="9056" w:type="dxa"/>
            <w:gridSpan w:val="14"/>
            <w:vAlign w:val="center"/>
          </w:tcPr>
          <w:p w14:paraId="13E8A9A4">
            <w:pPr>
              <w:jc w:val="center"/>
            </w:pPr>
            <w:r>
              <w:rPr>
                <w:rFonts w:ascii="宋体" w:hAnsi="宋体" w:eastAsia="宋体"/>
                <w:sz w:val="24"/>
              </w:rPr>
              <w:t>(2024年度)</w:t>
            </w:r>
          </w:p>
        </w:tc>
      </w:tr>
      <w:tr w14:paraId="6739DF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3593">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2CC9A2">
            <w:pPr>
              <w:jc w:val="center"/>
            </w:pPr>
            <w:r>
              <w:rPr>
                <w:rFonts w:ascii="宋体" w:hAnsi="宋体" w:eastAsia="宋体"/>
                <w:sz w:val="16"/>
              </w:rPr>
              <w:t>能力提升采供血工作项目</w:t>
            </w:r>
          </w:p>
        </w:tc>
      </w:tr>
      <w:tr w14:paraId="53CCFA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2B54">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4CD1B">
            <w:pPr>
              <w:jc w:val="center"/>
            </w:pPr>
            <w:r>
              <w:rPr>
                <w:rFonts w:ascii="宋体" w:hAnsi="宋体" w:eastAsia="宋体"/>
                <w:sz w:val="16"/>
              </w:rPr>
              <w:t>新疆维吾尔自治区喀什地区中心血站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506A">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91DB06">
            <w:pPr>
              <w:jc w:val="center"/>
            </w:pPr>
            <w:r>
              <w:rPr>
                <w:rFonts w:ascii="宋体" w:hAnsi="宋体" w:eastAsia="宋体"/>
                <w:sz w:val="16"/>
              </w:rPr>
              <w:t>新疆维吾尔自治区喀什地区中心血站</w:t>
            </w:r>
          </w:p>
        </w:tc>
      </w:tr>
      <w:tr w14:paraId="059C33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299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8AEAD">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B3B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ECD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25FC7">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8E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0AA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458B">
            <w:pPr>
              <w:jc w:val="center"/>
            </w:pPr>
            <w:r>
              <w:rPr>
                <w:rFonts w:ascii="宋体" w:hAnsi="宋体" w:eastAsia="宋体"/>
                <w:sz w:val="16"/>
              </w:rPr>
              <w:t>得分</w:t>
            </w:r>
          </w:p>
        </w:tc>
      </w:tr>
      <w:tr w14:paraId="71359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E3C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D7485">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84CA4">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1F1F9">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156F1D58">
            <w:pPr>
              <w:jc w:val="center"/>
              <w:rPr>
                <w:rFonts w:ascii="Times New Roman" w:hAnsi="Times New Roman" w:eastAsia="宋体" w:cs="Times New Roman"/>
                <w:kern w:val="2"/>
                <w:sz w:val="32"/>
                <w:szCs w:val="24"/>
                <w:lang w:val="en-US" w:eastAsia="zh-CN" w:bidi="ar-SA"/>
              </w:rPr>
            </w:pPr>
            <w:r>
              <w:rPr>
                <w:rFonts w:ascii="宋体" w:hAnsi="宋体" w:eastAsia="宋体"/>
                <w:sz w:val="16"/>
              </w:rPr>
              <w:t>1,540.00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68B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AEDA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AFCB">
            <w:pPr>
              <w:jc w:val="center"/>
            </w:pPr>
            <w:r>
              <w:rPr>
                <w:rFonts w:ascii="宋体" w:hAnsi="宋体" w:eastAsia="宋体"/>
                <w:sz w:val="16"/>
              </w:rPr>
              <w:t>10.00分</w:t>
            </w:r>
          </w:p>
        </w:tc>
      </w:tr>
      <w:tr w14:paraId="68F6B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1ED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1618D">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77A09">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9805B">
            <w:pPr>
              <w:jc w:val="center"/>
            </w:pPr>
            <w:r>
              <w:rPr>
                <w:rFonts w:ascii="宋体" w:hAnsi="宋体" w:eastAsia="宋体"/>
                <w:sz w:val="16"/>
              </w:rPr>
              <w:t>1,540.00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56A99">
            <w:pPr>
              <w:jc w:val="center"/>
            </w:pPr>
            <w:r>
              <w:rPr>
                <w:rFonts w:ascii="宋体" w:hAnsi="宋体" w:eastAsia="宋体"/>
                <w:sz w:val="16"/>
              </w:rPr>
              <w:t>1,540.00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FE8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CFE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04BA">
            <w:pPr>
              <w:jc w:val="center"/>
            </w:pPr>
            <w:r>
              <w:rPr>
                <w:rFonts w:ascii="宋体" w:hAnsi="宋体" w:eastAsia="宋体"/>
                <w:sz w:val="16"/>
              </w:rPr>
              <w:t>—</w:t>
            </w:r>
          </w:p>
        </w:tc>
      </w:tr>
      <w:tr w14:paraId="4E993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F05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D8C71">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0EC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848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8A909">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E20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C4A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AF72">
            <w:pPr>
              <w:jc w:val="center"/>
            </w:pPr>
            <w:r>
              <w:rPr>
                <w:rFonts w:ascii="宋体" w:hAnsi="宋体" w:eastAsia="宋体"/>
                <w:sz w:val="16"/>
              </w:rPr>
              <w:t>—</w:t>
            </w:r>
          </w:p>
        </w:tc>
      </w:tr>
      <w:tr w14:paraId="78CE8A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F019C">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BAB04">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CB07D7">
            <w:pPr>
              <w:jc w:val="center"/>
            </w:pPr>
            <w:r>
              <w:rPr>
                <w:rFonts w:ascii="宋体" w:hAnsi="宋体" w:eastAsia="宋体"/>
                <w:sz w:val="16"/>
              </w:rPr>
              <w:t>实际完成情况</w:t>
            </w:r>
          </w:p>
        </w:tc>
      </w:tr>
      <w:tr w14:paraId="76744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C3CD6"/>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1D7792">
            <w:pPr>
              <w:jc w:val="both"/>
            </w:pPr>
            <w:r>
              <w:rPr>
                <w:rFonts w:ascii="宋体" w:hAnsi="宋体" w:eastAsia="宋体"/>
                <w:sz w:val="16"/>
              </w:rPr>
              <w:t>本项目年度总预算1540万元，主要用于采购开展采供血工作所需的专用材料，报销用血互助金，保障单位正常运转，年采血人次达到22000人次以上，年临床供血量达到5000单位以上，报销用血互助金达到2600人次以上，采供血耗材购买率达到100%以上，完成支出成本耗材率达到100%以上，审核无偿献血人群用血报销正确率达到100%以上，喀什地区临床用血保障率达到100%。通过本项目实施喀什地区中心血站大力宣传无偿献血，献血知识社会面普及，采集安全质量血液，为全地区临床用血保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133715">
            <w:pPr>
              <w:jc w:val="both"/>
            </w:pPr>
            <w:r>
              <w:rPr>
                <w:rFonts w:ascii="宋体" w:hAnsi="宋体" w:eastAsia="宋体"/>
                <w:sz w:val="16"/>
              </w:rPr>
              <w:t>该项目主要用于采购开展采供血工作所需的专用材料，报销用血互助金，保障单位正常运转，本年度实际用于办公费用4万元，用于维修维护费用73.79万元，用于本站和莎车分站电费25万元，用于邮电费（主要是每周莎车分站往喀什总站邮寄血液标本）产生的费用4万元，用于莎车分站取暖费1.21万元，用于差旅费20万元，用于其他交通费（主要是3辆机动采血车下县采血产生的邮费和每年7辆车的保险费）的费用16万元，用于报销互助金（主要是献血者用血交的用血互助金）的费用660万，用于购买血液检测试剂和耗材产生的费用700万元，喀什地区中心血站大力宣传无偿献血，献血知识社会面普及，采集安全质量血液，为全地区临床用血保障。</w:t>
            </w:r>
          </w:p>
        </w:tc>
      </w:tr>
      <w:tr w14:paraId="67740D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1CD2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05C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3D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98E2">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FB6F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82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53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AF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E8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D8C2">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0D94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CD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0BCAE">
            <w:pPr>
              <w:jc w:val="center"/>
            </w:pPr>
            <w:r>
              <w:rPr>
                <w:rFonts w:ascii="宋体" w:hAnsi="宋体" w:eastAsia="宋体"/>
                <w:sz w:val="16"/>
              </w:rPr>
              <w:t>偏差原因分析及改进措施</w:t>
            </w:r>
          </w:p>
        </w:tc>
      </w:tr>
      <w:tr w14:paraId="1C1FB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139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CF5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05A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7EAB">
            <w:pPr>
              <w:jc w:val="center"/>
            </w:pPr>
            <w:r>
              <w:rPr>
                <w:rFonts w:ascii="宋体" w:hAnsi="宋体" w:eastAsia="宋体"/>
                <w:sz w:val="16"/>
              </w:rPr>
              <w:t>报销互助金人次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361378">
            <w:pPr>
              <w:jc w:val="center"/>
            </w:pPr>
            <w:r>
              <w:rPr>
                <w:rFonts w:ascii="宋体" w:hAnsi="宋体" w:eastAsia="宋体"/>
                <w:sz w:val="16"/>
              </w:rPr>
              <w:t>&gt;=2600人次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FD3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6E36">
            <w:pPr>
              <w:jc w:val="center"/>
            </w:pPr>
            <w:r>
              <w:rPr>
                <w:rFonts w:ascii="宋体" w:hAnsi="宋体" w:eastAsia="宋体"/>
                <w:sz w:val="16"/>
              </w:rPr>
              <w:t>2574人次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03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FF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CD5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1E37B4">
            <w:pPr>
              <w:jc w:val="center"/>
            </w:pPr>
            <w:r>
              <w:rPr>
                <w:rFonts w:ascii="宋体" w:hAnsi="宋体" w:eastAsia="宋体"/>
                <w:sz w:val="16"/>
              </w:rPr>
              <w:t>=4600人次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4279">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7B07E">
            <w:pPr>
              <w:jc w:val="center"/>
            </w:pPr>
            <w:r>
              <w:rPr>
                <w:rFonts w:ascii="宋体" w:hAnsi="宋体" w:eastAsia="宋体"/>
                <w:sz w:val="16"/>
              </w:rPr>
              <w:t>根据近三年报销人数，合理设置指标</w:t>
            </w:r>
          </w:p>
        </w:tc>
      </w:tr>
      <w:tr w14:paraId="1FFC8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7C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9E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D9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E5EE">
            <w:pPr>
              <w:jc w:val="center"/>
            </w:pPr>
            <w:r>
              <w:rPr>
                <w:rFonts w:ascii="宋体" w:hAnsi="宋体" w:eastAsia="宋体"/>
                <w:sz w:val="16"/>
              </w:rPr>
              <w:t>年度采血人次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8AD331">
            <w:pPr>
              <w:jc w:val="center"/>
            </w:pPr>
            <w:r>
              <w:rPr>
                <w:rFonts w:ascii="宋体" w:hAnsi="宋体" w:eastAsia="宋体"/>
                <w:sz w:val="16"/>
              </w:rPr>
              <w:t>&gt;=22000人次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8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FF0E">
            <w:pPr>
              <w:jc w:val="center"/>
            </w:pPr>
            <w:r>
              <w:rPr>
                <w:rFonts w:ascii="宋体" w:hAnsi="宋体" w:eastAsia="宋体"/>
                <w:sz w:val="16"/>
              </w:rPr>
              <w:t>21080人次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2C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92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48C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1C1C80">
            <w:pPr>
              <w:jc w:val="center"/>
            </w:pPr>
            <w:r>
              <w:rPr>
                <w:rFonts w:ascii="宋体" w:hAnsi="宋体" w:eastAsia="宋体"/>
                <w:sz w:val="16"/>
              </w:rPr>
              <w:t>=45296人次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1A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B2005">
            <w:pPr>
              <w:jc w:val="center"/>
            </w:pPr>
            <w:r>
              <w:rPr>
                <w:rFonts w:ascii="宋体" w:hAnsi="宋体" w:eastAsia="宋体"/>
                <w:sz w:val="16"/>
              </w:rPr>
              <w:t>较</w:t>
            </w:r>
            <w:r>
              <w:rPr>
                <w:rFonts w:hint="eastAsia" w:ascii="宋体" w:hAnsi="宋体"/>
                <w:sz w:val="16"/>
                <w:lang w:val="en-US" w:eastAsia="zh-CN"/>
              </w:rPr>
              <w:t>上</w:t>
            </w:r>
            <w:r>
              <w:rPr>
                <w:rFonts w:ascii="宋体" w:hAnsi="宋体" w:eastAsia="宋体"/>
                <w:sz w:val="16"/>
              </w:rPr>
              <w:t>年团采次数增加，采血人数增加，下一步将合理设置指标值</w:t>
            </w:r>
          </w:p>
        </w:tc>
      </w:tr>
      <w:tr w14:paraId="53ECB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EE8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26C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72B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0091">
            <w:pPr>
              <w:jc w:val="center"/>
            </w:pPr>
            <w:r>
              <w:rPr>
                <w:rFonts w:ascii="宋体" w:hAnsi="宋体" w:eastAsia="宋体"/>
                <w:sz w:val="16"/>
              </w:rPr>
              <w:t>完成采供血耗材购买率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4F1C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F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A3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58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F1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77C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AA9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B0F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0B48B">
            <w:pPr>
              <w:jc w:val="center"/>
            </w:pPr>
          </w:p>
        </w:tc>
      </w:tr>
      <w:tr w14:paraId="2EC54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CBE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2B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C82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2F58">
            <w:pPr>
              <w:jc w:val="center"/>
            </w:pPr>
            <w:r>
              <w:rPr>
                <w:rFonts w:ascii="宋体" w:hAnsi="宋体" w:eastAsia="宋体"/>
                <w:sz w:val="16"/>
              </w:rPr>
              <w:t>审核无偿献血人群互助金报销正确率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011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A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5B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1B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0E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C1E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D16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0C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7D4B">
            <w:pPr>
              <w:jc w:val="center"/>
            </w:pPr>
          </w:p>
        </w:tc>
      </w:tr>
      <w:tr w14:paraId="0ED4B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23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FF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45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97E0">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B5415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2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47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81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76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9A3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8FDF3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F2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5D46">
            <w:pPr>
              <w:jc w:val="center"/>
            </w:pPr>
          </w:p>
        </w:tc>
      </w:tr>
      <w:tr w14:paraId="439BB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91E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10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A2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AC41">
            <w:pPr>
              <w:jc w:val="center"/>
            </w:pPr>
            <w:r>
              <w:rPr>
                <w:rFonts w:ascii="宋体" w:hAnsi="宋体" w:eastAsia="宋体"/>
                <w:sz w:val="16"/>
              </w:rPr>
              <w:t>项目预算成本控制率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9731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36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09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E5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7B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1BC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E21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21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7B7B3">
            <w:pPr>
              <w:jc w:val="center"/>
            </w:pPr>
          </w:p>
        </w:tc>
      </w:tr>
      <w:tr w14:paraId="60D9D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CB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58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47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8D64">
            <w:pPr>
              <w:jc w:val="center"/>
            </w:pPr>
            <w:r>
              <w:rPr>
                <w:rFonts w:ascii="宋体" w:hAnsi="宋体" w:eastAsia="宋体"/>
                <w:sz w:val="16"/>
              </w:rPr>
              <w:t>喀什地区临床用血保障率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7FB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9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B0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F2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0B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13B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931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4B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E794E">
            <w:pPr>
              <w:jc w:val="center"/>
            </w:pPr>
          </w:p>
        </w:tc>
      </w:tr>
      <w:tr w14:paraId="573A1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BB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AC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B2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23B9">
            <w:pPr>
              <w:jc w:val="center"/>
            </w:pPr>
            <w:r>
              <w:rPr>
                <w:rFonts w:ascii="宋体" w:hAnsi="宋体" w:eastAsia="宋体"/>
                <w:sz w:val="16"/>
              </w:rPr>
              <w:t>群众人员满意度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5C0F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5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76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6A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AC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592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661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B7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50F9B">
            <w:pPr>
              <w:jc w:val="center"/>
            </w:pPr>
            <w:r>
              <w:rPr>
                <w:rFonts w:ascii="宋体" w:hAnsi="宋体" w:eastAsia="宋体"/>
                <w:sz w:val="16"/>
              </w:rPr>
              <w:t>较</w:t>
            </w:r>
            <w:r>
              <w:rPr>
                <w:rFonts w:hint="eastAsia" w:ascii="宋体" w:hAnsi="宋体"/>
                <w:sz w:val="16"/>
                <w:lang w:val="en-US" w:eastAsia="zh-CN"/>
              </w:rPr>
              <w:t>上</w:t>
            </w:r>
            <w:r>
              <w:rPr>
                <w:rFonts w:ascii="宋体" w:hAnsi="宋体" w:eastAsia="宋体"/>
                <w:sz w:val="16"/>
              </w:rPr>
              <w:t>年团采次数增加，采血人数增加，采集满意度人数增加，下一步将合理设置指标值</w:t>
            </w:r>
          </w:p>
        </w:tc>
      </w:tr>
      <w:tr w14:paraId="5A61EAC4">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5C53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D26A">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233FF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CEC2">
            <w:pPr>
              <w:jc w:val="center"/>
            </w:pPr>
            <w:r>
              <w:rPr>
                <w:rFonts w:ascii="宋体" w:hAnsi="宋体" w:eastAsia="宋体"/>
                <w:sz w:val="16"/>
              </w:rPr>
              <w:t>85.85分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69DE57"/>
        </w:tc>
      </w:tr>
    </w:tbl>
    <w:p w14:paraId="33B4D9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CC8B54">
        <w:tblPrEx>
          <w:tblCellMar>
            <w:top w:w="0" w:type="dxa"/>
            <w:left w:w="108" w:type="dxa"/>
            <w:bottom w:w="0" w:type="dxa"/>
            <w:right w:w="108" w:type="dxa"/>
          </w:tblCellMar>
        </w:tblPrEx>
        <w:tc>
          <w:tcPr>
            <w:tcW w:w="8848" w:type="dxa"/>
            <w:gridSpan w:val="14"/>
            <w:vAlign w:val="center"/>
          </w:tcPr>
          <w:p w14:paraId="1EF600B8">
            <w:pPr>
              <w:jc w:val="center"/>
            </w:pPr>
            <w:r>
              <w:rPr>
                <w:rFonts w:ascii="宋体" w:hAnsi="宋体" w:eastAsia="宋体"/>
                <w:sz w:val="24"/>
              </w:rPr>
              <w:t>项目支出绩效自评表</w:t>
            </w:r>
          </w:p>
        </w:tc>
      </w:tr>
      <w:tr w14:paraId="7F399372">
        <w:tblPrEx>
          <w:tblCellMar>
            <w:top w:w="0" w:type="dxa"/>
            <w:left w:w="108" w:type="dxa"/>
            <w:bottom w:w="0" w:type="dxa"/>
            <w:right w:w="108" w:type="dxa"/>
          </w:tblCellMar>
        </w:tblPrEx>
        <w:tc>
          <w:tcPr>
            <w:tcW w:w="8848" w:type="dxa"/>
            <w:gridSpan w:val="14"/>
            <w:vAlign w:val="center"/>
          </w:tcPr>
          <w:p w14:paraId="067EBB50">
            <w:pPr>
              <w:jc w:val="center"/>
            </w:pPr>
            <w:r>
              <w:rPr>
                <w:rFonts w:ascii="宋体" w:hAnsi="宋体" w:eastAsia="宋体"/>
                <w:sz w:val="24"/>
              </w:rPr>
              <w:t>(2024年度)</w:t>
            </w:r>
          </w:p>
        </w:tc>
      </w:tr>
      <w:tr w14:paraId="2C6B56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96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942318">
            <w:pPr>
              <w:jc w:val="center"/>
            </w:pPr>
            <w:r>
              <w:rPr>
                <w:rFonts w:ascii="宋体" w:hAnsi="宋体" w:eastAsia="宋体"/>
                <w:sz w:val="16"/>
              </w:rPr>
              <w:t>军地无偿献血信息互联互通项目</w:t>
            </w:r>
          </w:p>
        </w:tc>
      </w:tr>
      <w:tr w14:paraId="5FFA90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CE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5D445">
            <w:pPr>
              <w:jc w:val="center"/>
            </w:pPr>
            <w:r>
              <w:rPr>
                <w:rFonts w:ascii="宋体" w:hAnsi="宋体" w:eastAsia="宋体"/>
                <w:sz w:val="16"/>
              </w:rPr>
              <w:t>新疆维吾尔自治区喀什地区中心血站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37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B54DBA">
            <w:pPr>
              <w:jc w:val="center"/>
            </w:pPr>
            <w:r>
              <w:rPr>
                <w:rFonts w:ascii="宋体" w:hAnsi="宋体" w:eastAsia="宋体"/>
                <w:sz w:val="16"/>
              </w:rPr>
              <w:t>新疆维吾尔自治区喀什地区中心血站</w:t>
            </w:r>
          </w:p>
        </w:tc>
      </w:tr>
      <w:tr w14:paraId="318B2D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AD0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52D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6EC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A79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8C2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00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E1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FAF9">
            <w:pPr>
              <w:jc w:val="center"/>
            </w:pPr>
            <w:r>
              <w:rPr>
                <w:rFonts w:ascii="宋体" w:hAnsi="宋体" w:eastAsia="宋体"/>
                <w:sz w:val="16"/>
              </w:rPr>
              <w:t>得分</w:t>
            </w:r>
          </w:p>
        </w:tc>
      </w:tr>
      <w:tr w14:paraId="763B4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AF7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C25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1E7B8">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F412">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612C5">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0DB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1445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2297">
            <w:pPr>
              <w:jc w:val="center"/>
            </w:pPr>
            <w:r>
              <w:rPr>
                <w:rFonts w:ascii="宋体" w:hAnsi="宋体" w:eastAsia="宋体"/>
                <w:sz w:val="16"/>
              </w:rPr>
              <w:t>10.00分</w:t>
            </w:r>
          </w:p>
        </w:tc>
      </w:tr>
      <w:tr w14:paraId="29309E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921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F6C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7A782">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82EAA">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13642">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8C2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C7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6E86">
            <w:pPr>
              <w:jc w:val="center"/>
            </w:pPr>
            <w:r>
              <w:rPr>
                <w:rFonts w:ascii="宋体" w:hAnsi="宋体" w:eastAsia="宋体"/>
                <w:sz w:val="16"/>
              </w:rPr>
              <w:t>—</w:t>
            </w:r>
          </w:p>
        </w:tc>
      </w:tr>
      <w:tr w14:paraId="628DA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017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FE5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950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8F2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BE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A74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5D3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617D">
            <w:pPr>
              <w:jc w:val="center"/>
            </w:pPr>
            <w:r>
              <w:rPr>
                <w:rFonts w:ascii="宋体" w:hAnsi="宋体" w:eastAsia="宋体"/>
                <w:sz w:val="16"/>
              </w:rPr>
              <w:t>—</w:t>
            </w:r>
          </w:p>
        </w:tc>
      </w:tr>
      <w:tr w14:paraId="69CE7F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1C9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C1D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B576D3">
            <w:pPr>
              <w:jc w:val="center"/>
            </w:pPr>
            <w:r>
              <w:rPr>
                <w:rFonts w:ascii="宋体" w:hAnsi="宋体" w:eastAsia="宋体"/>
                <w:sz w:val="16"/>
              </w:rPr>
              <w:t>实际完成情况</w:t>
            </w:r>
          </w:p>
        </w:tc>
      </w:tr>
      <w:tr w14:paraId="2E646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C43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9199B">
            <w:pPr>
              <w:jc w:val="both"/>
            </w:pPr>
            <w:r>
              <w:rPr>
                <w:rFonts w:ascii="宋体" w:hAnsi="宋体" w:eastAsia="宋体"/>
                <w:sz w:val="16"/>
              </w:rPr>
              <w:t>投入6万元搭建部队血站数据同步系统；投入28万元搭建超融合资源池一体机系统；投入32万元搭建献血自助登记系统；投入1万元搭建部队血站数据同步VPN系统；使军地献血者资料和献血记录与全国血液管理信息系统互联互通信息达到10年以上；军地无偿献血信息互通率达到99%以上；使无偿献血者信息查询的满意度达到95%以上。用于</w:t>
            </w:r>
            <w:r>
              <w:rPr>
                <w:rFonts w:hint="eastAsia" w:ascii="宋体" w:hAnsi="宋体"/>
                <w:sz w:val="16"/>
                <w:lang w:eastAsia="zh-CN"/>
              </w:rPr>
              <w:t>提升</w:t>
            </w:r>
            <w:r>
              <w:rPr>
                <w:rFonts w:ascii="宋体" w:hAnsi="宋体" w:eastAsia="宋体"/>
                <w:sz w:val="16"/>
              </w:rPr>
              <w:t>无偿献血服务质量和水平，完善无偿献血者激励奖励措施，促进军地无偿献血信息互联互通。按照全国血液管理信息系统数据接口对接标准和数据格式要求，将喀什地区军队采供血机构和喀什血站区域献血者资料和献血记录与全国血液管理信息系统互联互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C6C7E0">
            <w:pPr>
              <w:jc w:val="both"/>
            </w:pPr>
            <w:r>
              <w:rPr>
                <w:rFonts w:ascii="宋体" w:hAnsi="宋体" w:eastAsia="宋体"/>
                <w:sz w:val="16"/>
              </w:rPr>
              <w:t>投入6万元搭建部队血站数据同步系统；实现军地献血者信息互联互通。投入28万元搭建超融合资源池一体机系统；实现超容量数据处理能力；投入32万元搭建献血自助登记系统，实现献血者初筛便利</w:t>
            </w:r>
            <w:r>
              <w:rPr>
                <w:rFonts w:hint="eastAsia" w:ascii="宋体" w:hAnsi="宋体"/>
                <w:sz w:val="16"/>
                <w:lang w:eastAsia="zh-CN"/>
              </w:rPr>
              <w:t>。</w:t>
            </w:r>
            <w:r>
              <w:rPr>
                <w:rFonts w:ascii="宋体" w:hAnsi="宋体" w:eastAsia="宋体"/>
                <w:sz w:val="16"/>
              </w:rPr>
              <w:t>投入1万元搭建部队血站数据同步VPN系统；军地无偿献血信息互通率达到100%；使无偿献血者信息查询的满意度达到100%。用于</w:t>
            </w:r>
            <w:r>
              <w:rPr>
                <w:rFonts w:hint="eastAsia" w:ascii="宋体" w:hAnsi="宋体"/>
                <w:sz w:val="16"/>
                <w:lang w:eastAsia="zh-CN"/>
              </w:rPr>
              <w:t>提升</w:t>
            </w:r>
            <w:r>
              <w:rPr>
                <w:rFonts w:ascii="宋体" w:hAnsi="宋体" w:eastAsia="宋体"/>
                <w:sz w:val="16"/>
              </w:rPr>
              <w:t>无偿献血服务质量和水平，完善无偿献血者激励奖励措施。</w:t>
            </w:r>
          </w:p>
        </w:tc>
      </w:tr>
      <w:tr w14:paraId="50309F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2D4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FE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11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98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6A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2B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B2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65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AC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02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22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762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FDF6C">
            <w:pPr>
              <w:jc w:val="center"/>
            </w:pPr>
            <w:r>
              <w:rPr>
                <w:rFonts w:ascii="宋体" w:hAnsi="宋体" w:eastAsia="宋体"/>
                <w:sz w:val="16"/>
              </w:rPr>
              <w:t>偏差原因分析及改进措施</w:t>
            </w:r>
          </w:p>
        </w:tc>
      </w:tr>
      <w:tr w14:paraId="6979CA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664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755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77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FF30">
            <w:pPr>
              <w:jc w:val="center"/>
            </w:pPr>
            <w:r>
              <w:rPr>
                <w:rFonts w:ascii="宋体" w:hAnsi="宋体" w:eastAsia="宋体"/>
                <w:sz w:val="16"/>
              </w:rPr>
              <w:t>软件建设数量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48D6">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2F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7E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08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30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9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1555">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3D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226E">
            <w:pPr>
              <w:jc w:val="center"/>
            </w:pPr>
          </w:p>
        </w:tc>
      </w:tr>
      <w:tr w14:paraId="6F3050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D4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F5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12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3283">
            <w:pPr>
              <w:jc w:val="center"/>
            </w:pPr>
            <w:r>
              <w:rPr>
                <w:rFonts w:ascii="宋体" w:hAnsi="宋体" w:eastAsia="宋体"/>
                <w:sz w:val="16"/>
              </w:rPr>
              <w:t>软件验收合格率（%）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8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E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96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0F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41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676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F2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D5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F6D58">
            <w:pPr>
              <w:jc w:val="center"/>
            </w:pPr>
          </w:p>
        </w:tc>
      </w:tr>
      <w:tr w14:paraId="6C87C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83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99A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A28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A9AC">
            <w:pPr>
              <w:jc w:val="center"/>
            </w:pPr>
            <w:r>
              <w:rPr>
                <w:rFonts w:ascii="宋体" w:hAnsi="宋体" w:eastAsia="宋体"/>
                <w:sz w:val="16"/>
              </w:rPr>
              <w:t>项目验收时间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D16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D9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0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12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C5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3F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2F8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83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5CE1E">
            <w:pPr>
              <w:jc w:val="center"/>
            </w:pPr>
          </w:p>
        </w:tc>
      </w:tr>
      <w:tr w14:paraId="67830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739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84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80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54C7">
            <w:pPr>
              <w:jc w:val="center"/>
            </w:pPr>
            <w:r>
              <w:rPr>
                <w:rFonts w:ascii="宋体" w:hAnsi="宋体" w:eastAsia="宋体"/>
                <w:sz w:val="16"/>
              </w:rPr>
              <w:t>软件建设完工及时性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5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80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B0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32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79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2E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A0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59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3B16B">
            <w:pPr>
              <w:jc w:val="center"/>
            </w:pPr>
          </w:p>
        </w:tc>
      </w:tr>
      <w:tr w14:paraId="38D5B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DCD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BAD3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CB2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D00C">
            <w:pPr>
              <w:jc w:val="center"/>
            </w:pPr>
            <w:r>
              <w:rPr>
                <w:rFonts w:ascii="宋体" w:hAnsi="宋体" w:eastAsia="宋体"/>
                <w:sz w:val="16"/>
              </w:rPr>
              <w:t>部队血站数据同步系统建设成本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DA59">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7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D2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F9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8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05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3EBE">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02A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1014B">
            <w:pPr>
              <w:jc w:val="center"/>
            </w:pPr>
          </w:p>
        </w:tc>
      </w:tr>
      <w:tr w14:paraId="7E587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56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AB4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0E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185F">
            <w:pPr>
              <w:jc w:val="center"/>
            </w:pPr>
            <w:r>
              <w:rPr>
                <w:rFonts w:ascii="宋体" w:hAnsi="宋体" w:eastAsia="宋体"/>
                <w:sz w:val="16"/>
              </w:rPr>
              <w:t>超融合资源池一体机建设成本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B69A">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2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97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BC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67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4D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6031">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9C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7DC79">
            <w:pPr>
              <w:jc w:val="center"/>
            </w:pPr>
          </w:p>
        </w:tc>
      </w:tr>
      <w:tr w14:paraId="4AFEC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A3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6B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77A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60BD">
            <w:pPr>
              <w:jc w:val="center"/>
            </w:pPr>
            <w:r>
              <w:rPr>
                <w:rFonts w:ascii="宋体" w:hAnsi="宋体" w:eastAsia="宋体"/>
                <w:sz w:val="16"/>
              </w:rPr>
              <w:t>献血自助登记系统建设成本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5A6A">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CC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F8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BE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3A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3B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96B2">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FC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6F588">
            <w:pPr>
              <w:jc w:val="center"/>
            </w:pPr>
          </w:p>
        </w:tc>
      </w:tr>
      <w:tr w14:paraId="131E6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F6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33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33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DB82">
            <w:pPr>
              <w:jc w:val="center"/>
            </w:pPr>
            <w:r>
              <w:rPr>
                <w:rFonts w:ascii="宋体" w:hAnsi="宋体" w:eastAsia="宋体"/>
                <w:sz w:val="16"/>
              </w:rPr>
              <w:t>部队血站数据同步系统VPN建设成本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EBE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13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0F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02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27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4E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417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97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E9288">
            <w:pPr>
              <w:jc w:val="center"/>
            </w:pPr>
          </w:p>
        </w:tc>
      </w:tr>
      <w:tr w14:paraId="434FE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F1C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91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66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8247">
            <w:pPr>
              <w:jc w:val="center"/>
            </w:pPr>
            <w:r>
              <w:rPr>
                <w:rFonts w:ascii="宋体" w:hAnsi="宋体" w:eastAsia="宋体"/>
                <w:sz w:val="16"/>
              </w:rPr>
              <w:t>无偿献血信息互通率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C3E8">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5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CD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C3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59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C73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B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EEE8">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75013">
            <w:pPr>
              <w:jc w:val="center"/>
            </w:pPr>
            <w:r>
              <w:rPr>
                <w:rFonts w:ascii="宋体" w:hAnsi="宋体" w:eastAsia="宋体"/>
                <w:sz w:val="16"/>
              </w:rPr>
              <w:t>因项目下达时间较晚，时间较短</w:t>
            </w:r>
          </w:p>
        </w:tc>
      </w:tr>
      <w:tr w14:paraId="0C5B1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44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FB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31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12F5">
            <w:pPr>
              <w:jc w:val="center"/>
            </w:pPr>
            <w:r>
              <w:rPr>
                <w:rFonts w:ascii="宋体" w:hAnsi="宋体" w:eastAsia="宋体"/>
                <w:sz w:val="16"/>
              </w:rPr>
              <w:t>无偿献血者信息查询满意率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F6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E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A9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C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37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2F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A3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B1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982BC">
            <w:pPr>
              <w:jc w:val="center"/>
            </w:pPr>
          </w:p>
        </w:tc>
      </w:tr>
      <w:tr w14:paraId="4E2815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9878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D9C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3CBF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BD08">
            <w:pPr>
              <w:jc w:val="center"/>
            </w:pPr>
            <w:r>
              <w:rPr>
                <w:rFonts w:ascii="宋体" w:hAnsi="宋体" w:eastAsia="宋体"/>
                <w:sz w:val="16"/>
              </w:rPr>
              <w:t>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6C0F95"/>
        </w:tc>
      </w:tr>
    </w:tbl>
    <w:p w14:paraId="5ACA2D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gridCol w:w="169"/>
      </w:tblGrid>
      <w:tr w14:paraId="376CA550">
        <w:tblPrEx>
          <w:tblCellMar>
            <w:top w:w="0" w:type="dxa"/>
            <w:left w:w="108" w:type="dxa"/>
            <w:bottom w:w="0" w:type="dxa"/>
            <w:right w:w="108" w:type="dxa"/>
          </w:tblCellMar>
        </w:tblPrEx>
        <w:tc>
          <w:tcPr>
            <w:tcW w:w="9017" w:type="dxa"/>
            <w:gridSpan w:val="15"/>
            <w:vAlign w:val="center"/>
          </w:tcPr>
          <w:p w14:paraId="49802D31">
            <w:pPr>
              <w:jc w:val="center"/>
            </w:pPr>
            <w:r>
              <w:rPr>
                <w:rFonts w:ascii="宋体" w:hAnsi="宋体" w:eastAsia="宋体"/>
                <w:sz w:val="24"/>
              </w:rPr>
              <w:t>项目支出绩效自评表</w:t>
            </w:r>
          </w:p>
        </w:tc>
      </w:tr>
      <w:tr w14:paraId="2D7D9DB6">
        <w:tblPrEx>
          <w:tblCellMar>
            <w:top w:w="0" w:type="dxa"/>
            <w:left w:w="108" w:type="dxa"/>
            <w:bottom w:w="0" w:type="dxa"/>
            <w:right w:w="108" w:type="dxa"/>
          </w:tblCellMar>
        </w:tblPrEx>
        <w:tc>
          <w:tcPr>
            <w:tcW w:w="9017" w:type="dxa"/>
            <w:gridSpan w:val="15"/>
            <w:vAlign w:val="center"/>
          </w:tcPr>
          <w:p w14:paraId="58FE91FE">
            <w:pPr>
              <w:jc w:val="center"/>
            </w:pPr>
            <w:r>
              <w:rPr>
                <w:rFonts w:ascii="宋体" w:hAnsi="宋体" w:eastAsia="宋体"/>
                <w:sz w:val="24"/>
              </w:rPr>
              <w:t>(2024年度)</w:t>
            </w:r>
          </w:p>
        </w:tc>
      </w:tr>
      <w:tr w14:paraId="5024FD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3918">
            <w:pPr>
              <w:jc w:val="center"/>
            </w:pPr>
            <w:r>
              <w:rPr>
                <w:rFonts w:ascii="宋体" w:hAnsi="宋体" w:eastAsia="宋体"/>
                <w:sz w:val="16"/>
              </w:rPr>
              <w:t>项目名称</w:t>
            </w:r>
          </w:p>
        </w:tc>
        <w:tc>
          <w:tcPr>
            <w:tcW w:w="838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89324A8">
            <w:pPr>
              <w:jc w:val="center"/>
            </w:pPr>
            <w:r>
              <w:rPr>
                <w:rFonts w:ascii="宋体" w:hAnsi="宋体" w:eastAsia="宋体"/>
                <w:sz w:val="16"/>
              </w:rPr>
              <w:t>采供血设备购置及旧业务楼维修项目</w:t>
            </w:r>
          </w:p>
        </w:tc>
      </w:tr>
      <w:tr w14:paraId="463AA5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3C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5A145D">
            <w:pPr>
              <w:jc w:val="center"/>
            </w:pPr>
            <w:r>
              <w:rPr>
                <w:rFonts w:ascii="宋体" w:hAnsi="宋体" w:eastAsia="宋体"/>
                <w:sz w:val="16"/>
              </w:rPr>
              <w:t>新疆维吾尔自治区喀什地区中心血站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C571">
            <w:pPr>
              <w:jc w:val="center"/>
            </w:pPr>
            <w:r>
              <w:rPr>
                <w:rFonts w:ascii="宋体" w:hAnsi="宋体" w:eastAsia="宋体"/>
                <w:sz w:val="16"/>
              </w:rPr>
              <w:t>实施单位</w:t>
            </w:r>
          </w:p>
        </w:tc>
        <w:tc>
          <w:tcPr>
            <w:tcW w:w="33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4A9A0C">
            <w:pPr>
              <w:jc w:val="center"/>
            </w:pPr>
            <w:r>
              <w:rPr>
                <w:rFonts w:ascii="宋体" w:hAnsi="宋体" w:eastAsia="宋体"/>
                <w:sz w:val="16"/>
              </w:rPr>
              <w:t>新疆维吾尔自治区喀什地区中心血站</w:t>
            </w:r>
          </w:p>
        </w:tc>
      </w:tr>
      <w:tr w14:paraId="3C7E89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210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EB4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D7E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695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885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671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56B95">
            <w:pPr>
              <w:jc w:val="center"/>
            </w:pPr>
            <w:r>
              <w:rPr>
                <w:rFonts w:ascii="宋体" w:hAnsi="宋体" w:eastAsia="宋体"/>
                <w:sz w:val="16"/>
              </w:rPr>
              <w:t>执行率</w:t>
            </w:r>
          </w:p>
        </w:tc>
        <w:tc>
          <w:tcPr>
            <w:tcW w:w="8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02F04">
            <w:pPr>
              <w:jc w:val="center"/>
            </w:pPr>
            <w:r>
              <w:rPr>
                <w:rFonts w:ascii="宋体" w:hAnsi="宋体" w:eastAsia="宋体"/>
                <w:sz w:val="16"/>
              </w:rPr>
              <w:t>得分</w:t>
            </w:r>
          </w:p>
        </w:tc>
      </w:tr>
      <w:tr w14:paraId="6E541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DE0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1DF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D74F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0FEA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61FD0">
            <w:pPr>
              <w:jc w:val="center"/>
            </w:pPr>
            <w:r>
              <w:rPr>
                <w:rFonts w:ascii="宋体" w:hAnsi="宋体" w:eastAsia="宋体"/>
                <w:sz w:val="16"/>
              </w:rPr>
              <w:t>32.36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E2F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C6858">
            <w:pPr>
              <w:jc w:val="center"/>
            </w:pPr>
            <w:r>
              <w:rPr>
                <w:rFonts w:ascii="宋体" w:hAnsi="宋体" w:eastAsia="宋体"/>
                <w:sz w:val="16"/>
              </w:rPr>
              <w:t>53.9%</w:t>
            </w:r>
          </w:p>
        </w:tc>
        <w:tc>
          <w:tcPr>
            <w:tcW w:w="8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1FD6B">
            <w:pPr>
              <w:jc w:val="center"/>
            </w:pPr>
            <w:r>
              <w:rPr>
                <w:rFonts w:ascii="宋体" w:hAnsi="宋体" w:eastAsia="宋体"/>
                <w:sz w:val="16"/>
              </w:rPr>
              <w:t>0.00分</w:t>
            </w:r>
          </w:p>
        </w:tc>
      </w:tr>
      <w:tr w14:paraId="2F7E8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802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23F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925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604E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C642A">
            <w:pPr>
              <w:jc w:val="center"/>
            </w:pPr>
            <w:r>
              <w:rPr>
                <w:rFonts w:ascii="宋体" w:hAnsi="宋体" w:eastAsia="宋体"/>
                <w:sz w:val="16"/>
              </w:rPr>
              <w:t>32.36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A8F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2399B">
            <w:pPr>
              <w:jc w:val="center"/>
            </w:pPr>
            <w:r>
              <w:rPr>
                <w:rFonts w:ascii="宋体" w:hAnsi="宋体" w:eastAsia="宋体"/>
                <w:sz w:val="16"/>
              </w:rPr>
              <w:t>—</w:t>
            </w:r>
          </w:p>
        </w:tc>
        <w:tc>
          <w:tcPr>
            <w:tcW w:w="8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8E3EF">
            <w:pPr>
              <w:jc w:val="center"/>
            </w:pPr>
            <w:r>
              <w:rPr>
                <w:rFonts w:ascii="宋体" w:hAnsi="宋体" w:eastAsia="宋体"/>
                <w:sz w:val="16"/>
              </w:rPr>
              <w:t>—</w:t>
            </w:r>
          </w:p>
        </w:tc>
      </w:tr>
      <w:tr w14:paraId="39B34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59D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D3E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1F1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B85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C99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F84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E06A5">
            <w:pPr>
              <w:jc w:val="center"/>
            </w:pPr>
            <w:r>
              <w:rPr>
                <w:rFonts w:ascii="宋体" w:hAnsi="宋体" w:eastAsia="宋体"/>
                <w:sz w:val="16"/>
              </w:rPr>
              <w:t>—</w:t>
            </w:r>
          </w:p>
        </w:tc>
        <w:tc>
          <w:tcPr>
            <w:tcW w:w="8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1DB33">
            <w:pPr>
              <w:jc w:val="center"/>
            </w:pPr>
            <w:r>
              <w:rPr>
                <w:rFonts w:ascii="宋体" w:hAnsi="宋体" w:eastAsia="宋体"/>
                <w:sz w:val="16"/>
              </w:rPr>
              <w:t>—</w:t>
            </w:r>
          </w:p>
        </w:tc>
      </w:tr>
      <w:tr w14:paraId="7ADB2F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65C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14EEB7">
            <w:pPr>
              <w:jc w:val="center"/>
            </w:pPr>
            <w:r>
              <w:rPr>
                <w:rFonts w:ascii="宋体" w:hAnsi="宋体" w:eastAsia="宋体"/>
                <w:sz w:val="16"/>
              </w:rPr>
              <w:t>预期目标</w:t>
            </w:r>
          </w:p>
        </w:tc>
        <w:tc>
          <w:tcPr>
            <w:tcW w:w="39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FDBB2">
            <w:pPr>
              <w:jc w:val="center"/>
            </w:pPr>
            <w:r>
              <w:rPr>
                <w:rFonts w:ascii="宋体" w:hAnsi="宋体" w:eastAsia="宋体"/>
                <w:sz w:val="16"/>
              </w:rPr>
              <w:t>实际完成情况</w:t>
            </w:r>
          </w:p>
        </w:tc>
      </w:tr>
      <w:tr w14:paraId="77EBE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E9D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0B3C3">
            <w:pPr>
              <w:jc w:val="both"/>
            </w:pPr>
            <w:r>
              <w:rPr>
                <w:rFonts w:ascii="宋体" w:hAnsi="宋体" w:eastAsia="宋体"/>
                <w:sz w:val="16"/>
              </w:rPr>
              <w:t>通过此项目执行中心血站更加保障临床用血安全，采购医疗设备提升血液的安全性。计划投入6.14万元采购一批办公设备，投入23.86万元采购一批医疗专用设备，计划投入30万元已旧业务楼下水管、电线全部更换，暖气管维修改造，院内营造无偿献血宣传氛围。完成购置设备质量100%，政府采购率100%，保障临床用血更加安全，提高血液检测效率。</w:t>
            </w:r>
          </w:p>
        </w:tc>
        <w:tc>
          <w:tcPr>
            <w:tcW w:w="396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9F815">
            <w:pPr>
              <w:jc w:val="both"/>
            </w:pPr>
            <w:r>
              <w:rPr>
                <w:rFonts w:hint="eastAsia" w:ascii="宋体" w:hAnsi="宋体"/>
                <w:sz w:val="16"/>
                <w:lang w:eastAsia="zh-CN"/>
              </w:rPr>
              <w:t>截至</w:t>
            </w:r>
            <w:r>
              <w:rPr>
                <w:rFonts w:ascii="宋体" w:hAnsi="宋体" w:eastAsia="宋体"/>
                <w:sz w:val="16"/>
              </w:rPr>
              <w:t>2024年12月25日，设备采购8个，旧业务楼维修改造1个。通过此项目执行中心血站更加保障临床用血安全，采购医疗设备提升血液的安全性。投入2.36万元采购一批办公设备，由于年初在录入采购明细时，未按照采购目录录入相应的设备编号，导致在执行过程中无法采购。投入30万元用于旧业务楼下水管、电线全部更换，暖气管维修改造，院内营造无偿献血宣传氛围，保障临床用血更加安全，提高血液检测效率。2024年12月20日，做资金核减收回27.64万元。</w:t>
            </w:r>
          </w:p>
        </w:tc>
      </w:tr>
      <w:tr w14:paraId="23BDC59A">
        <w:tblPrEx>
          <w:tblCellMar>
            <w:top w:w="0" w:type="dxa"/>
            <w:left w:w="108" w:type="dxa"/>
            <w:bottom w:w="0" w:type="dxa"/>
            <w:right w:w="108" w:type="dxa"/>
          </w:tblCellMar>
        </w:tblPrEx>
        <w:trPr>
          <w:trHeight w:val="923" w:hRule="atLeast"/>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257DC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9D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059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12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E0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AF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B6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46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5F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FF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289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BE58">
            <w:pPr>
              <w:jc w:val="center"/>
            </w:pPr>
            <w:r>
              <w:rPr>
                <w:rFonts w:ascii="宋体" w:hAnsi="宋体" w:eastAsia="宋体"/>
                <w:sz w:val="16"/>
              </w:rPr>
              <w:t>得分</w:t>
            </w:r>
          </w:p>
        </w:tc>
        <w:tc>
          <w:tcPr>
            <w:tcW w:w="14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10225E">
            <w:pPr>
              <w:jc w:val="center"/>
            </w:pPr>
            <w:r>
              <w:rPr>
                <w:rFonts w:ascii="宋体" w:hAnsi="宋体" w:eastAsia="宋体"/>
                <w:sz w:val="16"/>
              </w:rPr>
              <w:t>偏差原因分析及改进措施</w:t>
            </w:r>
          </w:p>
        </w:tc>
      </w:tr>
      <w:tr w14:paraId="52641B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A60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37FB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D9B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DA0A">
            <w:pPr>
              <w:jc w:val="center"/>
            </w:pPr>
            <w:r>
              <w:rPr>
                <w:rFonts w:ascii="宋体" w:hAnsi="宋体" w:eastAsia="宋体"/>
                <w:sz w:val="16"/>
              </w:rPr>
              <w:t>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2A47">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8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93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25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64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E7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A609">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D1CA">
            <w:pPr>
              <w:jc w:val="center"/>
            </w:pPr>
            <w:r>
              <w:rPr>
                <w:rFonts w:ascii="宋体" w:hAnsi="宋体" w:eastAsia="宋体"/>
                <w:sz w:val="16"/>
              </w:rPr>
              <w:t>5</w:t>
            </w:r>
          </w:p>
        </w:tc>
        <w:tc>
          <w:tcPr>
            <w:tcW w:w="14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D24C74">
            <w:pPr>
              <w:jc w:val="center"/>
            </w:pPr>
          </w:p>
        </w:tc>
      </w:tr>
      <w:tr w14:paraId="1D2DCD6F">
        <w:tblPrEx>
          <w:tblCellMar>
            <w:top w:w="0" w:type="dxa"/>
            <w:left w:w="108" w:type="dxa"/>
            <w:bottom w:w="0" w:type="dxa"/>
            <w:right w:w="108" w:type="dxa"/>
          </w:tblCellMar>
        </w:tblPrEx>
        <w:trPr>
          <w:trHeight w:val="93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99D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9E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21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1E92E">
            <w:pPr>
              <w:jc w:val="center"/>
            </w:pPr>
            <w:r>
              <w:rPr>
                <w:rFonts w:ascii="宋体" w:hAnsi="宋体" w:eastAsia="宋体"/>
                <w:sz w:val="16"/>
              </w:rPr>
              <w:t>旧业务楼维修改造数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E1E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3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FE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96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5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D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2E9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763C">
            <w:pPr>
              <w:jc w:val="center"/>
            </w:pPr>
            <w:r>
              <w:rPr>
                <w:rFonts w:ascii="宋体" w:hAnsi="宋体" w:eastAsia="宋体"/>
                <w:sz w:val="16"/>
              </w:rPr>
              <w:t>5</w:t>
            </w:r>
          </w:p>
        </w:tc>
        <w:tc>
          <w:tcPr>
            <w:tcW w:w="14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5645AD">
            <w:pPr>
              <w:jc w:val="center"/>
            </w:pPr>
          </w:p>
        </w:tc>
      </w:tr>
      <w:tr w14:paraId="78ED1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086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304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5F2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DC97">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DE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BB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4C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49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38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12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8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A586">
            <w:pPr>
              <w:jc w:val="center"/>
            </w:pPr>
            <w:r>
              <w:rPr>
                <w:rFonts w:ascii="宋体" w:hAnsi="宋体" w:eastAsia="宋体"/>
                <w:sz w:val="16"/>
              </w:rPr>
              <w:t>10</w:t>
            </w:r>
          </w:p>
        </w:tc>
        <w:tc>
          <w:tcPr>
            <w:tcW w:w="143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2ECB9C">
            <w:pPr>
              <w:jc w:val="center"/>
            </w:pPr>
          </w:p>
        </w:tc>
      </w:tr>
      <w:tr w14:paraId="58A720C1">
        <w:tblPrEx>
          <w:tblCellMar>
            <w:top w:w="0" w:type="dxa"/>
            <w:left w:w="108" w:type="dxa"/>
            <w:bottom w:w="0" w:type="dxa"/>
            <w:right w:w="108" w:type="dxa"/>
          </w:tblCellMar>
        </w:tblPrEx>
        <w:trPr>
          <w:gridAfter w:val="1"/>
          <w:wAfter w:w="16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292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56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34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FC42">
            <w:pPr>
              <w:jc w:val="center"/>
            </w:pPr>
            <w:r>
              <w:rPr>
                <w:rFonts w:ascii="宋体" w:hAnsi="宋体" w:eastAsia="宋体"/>
                <w:sz w:val="16"/>
              </w:rPr>
              <w:t>购置质量合格率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0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A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D7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13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91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F8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E4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86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BBF7C">
            <w:pPr>
              <w:jc w:val="center"/>
            </w:pPr>
          </w:p>
        </w:tc>
      </w:tr>
      <w:tr w14:paraId="41FF149D">
        <w:tblPrEx>
          <w:tblCellMar>
            <w:top w:w="0" w:type="dxa"/>
            <w:left w:w="108" w:type="dxa"/>
            <w:bottom w:w="0" w:type="dxa"/>
            <w:right w:w="108" w:type="dxa"/>
          </w:tblCellMar>
        </w:tblPrEx>
        <w:trPr>
          <w:gridAfter w:val="1"/>
          <w:wAfter w:w="16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32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89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CA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38D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F3D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B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96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6A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3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EA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C12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63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2C14F">
            <w:pPr>
              <w:jc w:val="center"/>
            </w:pPr>
          </w:p>
        </w:tc>
      </w:tr>
      <w:tr w14:paraId="4039EA0A">
        <w:tblPrEx>
          <w:tblCellMar>
            <w:top w:w="0" w:type="dxa"/>
            <w:left w:w="108" w:type="dxa"/>
            <w:bottom w:w="0" w:type="dxa"/>
            <w:right w:w="108" w:type="dxa"/>
          </w:tblCellMar>
        </w:tblPrEx>
        <w:trPr>
          <w:gridAfter w:val="1"/>
          <w:wAfter w:w="16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870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6E2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29E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76D1">
            <w:pPr>
              <w:jc w:val="center"/>
            </w:pPr>
            <w:r>
              <w:rPr>
                <w:rFonts w:ascii="宋体" w:hAnsi="宋体" w:eastAsia="宋体"/>
                <w:sz w:val="16"/>
              </w:rPr>
              <w:t>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44E1">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DE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5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1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46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AEB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D985">
            <w:pPr>
              <w:jc w:val="center"/>
            </w:pPr>
            <w:r>
              <w:rPr>
                <w:rFonts w:ascii="宋体" w:hAnsi="宋体" w:eastAsia="宋体"/>
                <w:sz w:val="16"/>
              </w:rPr>
              <w: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80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3ADC5">
            <w:pPr>
              <w:jc w:val="center"/>
            </w:pPr>
            <w:r>
              <w:rPr>
                <w:rFonts w:ascii="宋体" w:hAnsi="宋体" w:eastAsia="宋体"/>
                <w:sz w:val="16"/>
              </w:rPr>
              <w:t>年初预算时，没有先确定好需要采购的设备和维修需要的材料，在填报政府采购表时，未按照编号一一对应录入，后期执行时存在采购目录和实际采购的物品的编号不一致，导致设备无法购买。下一步在设定成本指标是要应设尽设</w:t>
            </w:r>
          </w:p>
        </w:tc>
      </w:tr>
      <w:tr w14:paraId="44F71222">
        <w:tblPrEx>
          <w:tblCellMar>
            <w:top w:w="0" w:type="dxa"/>
            <w:left w:w="108" w:type="dxa"/>
            <w:bottom w:w="0" w:type="dxa"/>
            <w:right w:w="108" w:type="dxa"/>
          </w:tblCellMar>
        </w:tblPrEx>
        <w:trPr>
          <w:gridAfter w:val="1"/>
          <w:wAfter w:w="16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0E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DB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CA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6014">
            <w:pPr>
              <w:jc w:val="center"/>
            </w:pPr>
            <w:r>
              <w:rPr>
                <w:rFonts w:ascii="宋体" w:hAnsi="宋体" w:eastAsia="宋体"/>
                <w:sz w:val="16"/>
              </w:rPr>
              <w:t>维修改造成本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93E8">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2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A7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D0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AB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2E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25CF">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C1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46043">
            <w:pPr>
              <w:jc w:val="center"/>
            </w:pPr>
          </w:p>
        </w:tc>
      </w:tr>
      <w:tr w14:paraId="55E0D526">
        <w:tblPrEx>
          <w:tblCellMar>
            <w:top w:w="0" w:type="dxa"/>
            <w:left w:w="108" w:type="dxa"/>
            <w:bottom w:w="0" w:type="dxa"/>
            <w:right w:w="108" w:type="dxa"/>
          </w:tblCellMar>
        </w:tblPrEx>
        <w:trPr>
          <w:gridAfter w:val="1"/>
          <w:wAfter w:w="16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DE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3E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BA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D782">
            <w:pPr>
              <w:jc w:val="center"/>
            </w:pPr>
            <w:r>
              <w:rPr>
                <w:rFonts w:ascii="宋体" w:hAnsi="宋体" w:eastAsia="宋体"/>
                <w:sz w:val="16"/>
              </w:rPr>
              <w:t>保障全地区临床用血需求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9BD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6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5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3D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E1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91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2CC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D2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DF947">
            <w:pPr>
              <w:jc w:val="center"/>
            </w:pPr>
          </w:p>
        </w:tc>
      </w:tr>
      <w:tr w14:paraId="37F9EBCA">
        <w:tblPrEx>
          <w:tblCellMar>
            <w:top w:w="0" w:type="dxa"/>
            <w:left w:w="108" w:type="dxa"/>
            <w:bottom w:w="0" w:type="dxa"/>
            <w:right w:w="108" w:type="dxa"/>
          </w:tblCellMar>
        </w:tblPrEx>
        <w:trPr>
          <w:gridAfter w:val="1"/>
          <w:wAfter w:w="16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31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C7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10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22B3">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16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3E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E6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23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9A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A9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A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61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8BD9A">
            <w:pPr>
              <w:jc w:val="center"/>
            </w:pPr>
            <w:r>
              <w:rPr>
                <w:rFonts w:ascii="宋体" w:hAnsi="宋体" w:eastAsia="宋体"/>
                <w:sz w:val="16"/>
              </w:rPr>
              <w:t>由于献血环境改善，群众满意率增加。</w:t>
            </w:r>
          </w:p>
        </w:tc>
      </w:tr>
      <w:tr w14:paraId="151CF8BF">
        <w:tblPrEx>
          <w:tblCellMar>
            <w:top w:w="0" w:type="dxa"/>
            <w:left w:w="108" w:type="dxa"/>
            <w:bottom w:w="0" w:type="dxa"/>
            <w:right w:w="108" w:type="dxa"/>
          </w:tblCellMar>
        </w:tblPrEx>
        <w:trPr>
          <w:gridAfter w:val="1"/>
          <w:wAfter w:w="169" w:type="dxa"/>
        </w:trPr>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117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BF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1F7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F3D7">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C66366"/>
        </w:tc>
      </w:tr>
    </w:tbl>
    <w:p w14:paraId="637845AF">
      <w:r>
        <w:br w:type="page"/>
      </w:r>
    </w:p>
    <w:p w14:paraId="2FF62417">
      <w:pPr>
        <w:spacing w:line="640" w:lineRule="exact"/>
        <w:ind w:firstLine="640"/>
        <w:jc w:val="both"/>
        <w:outlineLvl w:val="2"/>
      </w:pPr>
      <w:r>
        <w:rPr>
          <w:rFonts w:ascii="黑体" w:hAnsi="黑体" w:eastAsia="黑体"/>
          <w:sz w:val="32"/>
        </w:rPr>
        <w:t>十二、其他需说明的事项</w:t>
      </w:r>
    </w:p>
    <w:p w14:paraId="21C7FB08">
      <w:pPr>
        <w:spacing w:line="580" w:lineRule="exact"/>
        <w:ind w:firstLine="640"/>
        <w:jc w:val="both"/>
      </w:pPr>
      <w:r>
        <w:rPr>
          <w:rFonts w:ascii="仿宋_GB2312" w:hAnsi="仿宋_GB2312" w:eastAsia="仿宋_GB2312"/>
          <w:b w:val="0"/>
          <w:sz w:val="32"/>
        </w:rPr>
        <w:t>本部门无其他需说明的事项。</w:t>
      </w:r>
    </w:p>
    <w:p w14:paraId="6FF107EC">
      <w:r>
        <w:br w:type="page"/>
      </w:r>
    </w:p>
    <w:p w14:paraId="0F699093">
      <w:pPr>
        <w:spacing w:line="240" w:lineRule="auto"/>
        <w:jc w:val="center"/>
        <w:outlineLvl w:val="1"/>
      </w:pPr>
      <w:r>
        <w:rPr>
          <w:rFonts w:ascii="黑体" w:hAnsi="黑体" w:eastAsia="黑体"/>
          <w:sz w:val="32"/>
        </w:rPr>
        <w:t>第三部分 专业名词解释</w:t>
      </w:r>
    </w:p>
    <w:p w14:paraId="54BF6B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43ABF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FF757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83051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46819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CD6B24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492F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F64378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2C43E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74E19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69CD76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057C9E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5476DE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D5283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EBAC7B">
      <w:r>
        <w:br w:type="page"/>
      </w:r>
    </w:p>
    <w:p w14:paraId="1C9FAA13">
      <w:pPr>
        <w:spacing w:line="240" w:lineRule="auto"/>
        <w:jc w:val="center"/>
        <w:outlineLvl w:val="1"/>
      </w:pPr>
      <w:r>
        <w:rPr>
          <w:rFonts w:ascii="黑体" w:hAnsi="黑体" w:eastAsia="黑体"/>
          <w:sz w:val="32"/>
        </w:rPr>
        <w:t>第四部分 部门决算报表（见附表）</w:t>
      </w:r>
    </w:p>
    <w:p w14:paraId="284E24A8">
      <w:pPr>
        <w:spacing w:line="240" w:lineRule="auto"/>
        <w:ind w:firstLine="640"/>
        <w:jc w:val="both"/>
      </w:pPr>
      <w:r>
        <w:rPr>
          <w:rFonts w:ascii="仿宋_GB2312" w:hAnsi="仿宋_GB2312" w:eastAsia="仿宋_GB2312"/>
          <w:b w:val="0"/>
          <w:sz w:val="32"/>
        </w:rPr>
        <w:t>一、《收入支出决算总表》</w:t>
      </w:r>
    </w:p>
    <w:p w14:paraId="594B354F">
      <w:pPr>
        <w:spacing w:line="240" w:lineRule="auto"/>
        <w:ind w:firstLine="640"/>
        <w:jc w:val="both"/>
      </w:pPr>
      <w:r>
        <w:rPr>
          <w:rFonts w:ascii="仿宋_GB2312" w:hAnsi="仿宋_GB2312" w:eastAsia="仿宋_GB2312"/>
          <w:b w:val="0"/>
          <w:sz w:val="32"/>
        </w:rPr>
        <w:t>二、《收入决算表》</w:t>
      </w:r>
    </w:p>
    <w:p w14:paraId="08758E12">
      <w:pPr>
        <w:spacing w:line="240" w:lineRule="auto"/>
        <w:ind w:firstLine="640"/>
        <w:jc w:val="both"/>
      </w:pPr>
      <w:r>
        <w:rPr>
          <w:rFonts w:ascii="仿宋_GB2312" w:hAnsi="仿宋_GB2312" w:eastAsia="仿宋_GB2312"/>
          <w:b w:val="0"/>
          <w:sz w:val="32"/>
        </w:rPr>
        <w:t>三、《支出决算表》</w:t>
      </w:r>
    </w:p>
    <w:p w14:paraId="60B05F49">
      <w:pPr>
        <w:spacing w:line="240" w:lineRule="auto"/>
        <w:ind w:firstLine="640"/>
        <w:jc w:val="both"/>
      </w:pPr>
      <w:r>
        <w:rPr>
          <w:rFonts w:ascii="仿宋_GB2312" w:hAnsi="仿宋_GB2312" w:eastAsia="仿宋_GB2312"/>
          <w:b w:val="0"/>
          <w:sz w:val="32"/>
        </w:rPr>
        <w:t>四、《财政拨款收入支出决算总表》</w:t>
      </w:r>
    </w:p>
    <w:p w14:paraId="6F98B280">
      <w:pPr>
        <w:spacing w:line="240" w:lineRule="auto"/>
        <w:ind w:firstLine="640"/>
        <w:jc w:val="both"/>
      </w:pPr>
      <w:r>
        <w:rPr>
          <w:rFonts w:ascii="仿宋_GB2312" w:hAnsi="仿宋_GB2312" w:eastAsia="仿宋_GB2312"/>
          <w:b w:val="0"/>
          <w:sz w:val="32"/>
        </w:rPr>
        <w:t>五、《一般公共预算财政拨款支出决算表》</w:t>
      </w:r>
    </w:p>
    <w:p w14:paraId="52B27659">
      <w:pPr>
        <w:spacing w:line="240" w:lineRule="auto"/>
        <w:ind w:firstLine="640"/>
        <w:jc w:val="both"/>
      </w:pPr>
      <w:r>
        <w:rPr>
          <w:rFonts w:ascii="仿宋_GB2312" w:hAnsi="仿宋_GB2312" w:eastAsia="仿宋_GB2312"/>
          <w:b w:val="0"/>
          <w:sz w:val="32"/>
        </w:rPr>
        <w:t>六、《一般公共预算财政拨款基本支出决算表》</w:t>
      </w:r>
    </w:p>
    <w:p w14:paraId="2F5DB727">
      <w:pPr>
        <w:spacing w:line="240" w:lineRule="auto"/>
        <w:ind w:firstLine="640"/>
        <w:jc w:val="both"/>
      </w:pPr>
      <w:r>
        <w:rPr>
          <w:rFonts w:ascii="仿宋_GB2312" w:hAnsi="仿宋_GB2312" w:eastAsia="仿宋_GB2312"/>
          <w:b w:val="0"/>
          <w:sz w:val="32"/>
        </w:rPr>
        <w:t>七、《政府性基金预算财政拨款收入支出决算表》</w:t>
      </w:r>
    </w:p>
    <w:p w14:paraId="1DB19121">
      <w:pPr>
        <w:spacing w:line="240" w:lineRule="auto"/>
        <w:ind w:firstLine="640"/>
        <w:jc w:val="both"/>
      </w:pPr>
      <w:r>
        <w:rPr>
          <w:rFonts w:ascii="仿宋_GB2312" w:hAnsi="仿宋_GB2312" w:eastAsia="仿宋_GB2312"/>
          <w:b w:val="0"/>
          <w:sz w:val="32"/>
        </w:rPr>
        <w:t>八、《国有资本经营预算财政拨款收入支出决算表》</w:t>
      </w:r>
    </w:p>
    <w:p w14:paraId="75BAF0E6">
      <w:pPr>
        <w:spacing w:line="240" w:lineRule="auto"/>
        <w:ind w:firstLine="640"/>
        <w:jc w:val="both"/>
      </w:pPr>
      <w:r>
        <w:rPr>
          <w:rFonts w:ascii="仿宋_GB2312" w:hAnsi="仿宋_GB2312" w:eastAsia="仿宋_GB2312"/>
          <w:b w:val="0"/>
          <w:sz w:val="32"/>
        </w:rPr>
        <w:t>九、《财政拨款“三公”经费支出决算表》</w:t>
      </w:r>
    </w:p>
    <w:p w14:paraId="59DFC03E">
      <w:pPr>
        <w:spacing w:line="240" w:lineRule="auto"/>
        <w:ind w:firstLine="640"/>
        <w:jc w:val="both"/>
      </w:pPr>
    </w:p>
    <w:p w14:paraId="68A90C04">
      <w:pPr>
        <w:spacing w:line="240" w:lineRule="auto"/>
        <w:ind w:firstLine="640"/>
        <w:jc w:val="both"/>
      </w:pPr>
    </w:p>
    <w:p w14:paraId="04F06152">
      <w:pPr>
        <w:spacing w:line="240" w:lineRule="auto"/>
        <w:ind w:firstLine="640"/>
        <w:jc w:val="both"/>
      </w:pPr>
    </w:p>
    <w:p w14:paraId="41CEF26E">
      <w:pPr>
        <w:spacing w:line="240" w:lineRule="auto"/>
        <w:ind w:firstLine="640"/>
        <w:jc w:val="both"/>
      </w:pPr>
    </w:p>
    <w:p w14:paraId="21DE058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AF9AE6-E4D3-4730-98F3-A4D2356B51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B3F6283-E82C-4C93-9E66-DE83D9E55676}"/>
  </w:font>
  <w:font w:name="方正小标宋_GBK">
    <w:panose1 w:val="02000000000000000000"/>
    <w:charset w:val="86"/>
    <w:family w:val="script"/>
    <w:pitch w:val="default"/>
    <w:sig w:usb0="A00002BF" w:usb1="38CF7CFA" w:usb2="00082016" w:usb3="00000000" w:csb0="00040001" w:csb1="00000000"/>
    <w:embedRegular r:id="rId3" w:fontKey="{B804B3AE-B867-4397-9C79-8E339C2CC94B}"/>
  </w:font>
  <w:font w:name="楷体_GB2312">
    <w:panose1 w:val="02010609030101010101"/>
    <w:charset w:val="86"/>
    <w:family w:val="auto"/>
    <w:pitch w:val="default"/>
    <w:sig w:usb0="00000001" w:usb1="080E0000" w:usb2="00000000" w:usb3="00000000" w:csb0="00040000" w:csb1="00000000"/>
    <w:embedRegular r:id="rId4" w:fontKey="{0622CAF5-A8ED-4428-995A-15C31F88608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EF38FE"/>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747EA7"/>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2E269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6069</Words>
  <Characters>7041</Characters>
  <Lines>0</Lines>
  <Paragraphs>0</Paragraphs>
  <TotalTime>3</TotalTime>
  <ScaleCrop>false</ScaleCrop>
  <LinksUpToDate>false</LinksUpToDate>
  <CharactersWithSpaces>7050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2025-09-29T02:35:53Z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