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CC541F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新疆维吾尔自治区喀什地区儿童福利院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45A5B87">
      <w:r>
        <w:br w:type="page"/>
      </w:r>
    </w:p>
    <w:p w14:paraId="5069DB75">
      <w:pPr>
        <w:spacing w:line="640" w:lineRule="exact"/>
        <w:jc w:val="center"/>
        <w:outlineLvl w:val="1"/>
      </w:pPr>
      <w:r>
        <w:rPr>
          <w:rFonts w:ascii="黑体" w:hAnsi="黑体" w:eastAsia="黑体"/>
          <w:sz w:val="32"/>
        </w:rPr>
        <w:t>第一部分 部门概况</w:t>
      </w:r>
    </w:p>
    <w:p w14:paraId="1AE72E64">
      <w:pPr>
        <w:spacing w:line="640" w:lineRule="exact"/>
        <w:ind w:firstLine="640"/>
        <w:jc w:val="both"/>
        <w:outlineLvl w:val="2"/>
      </w:pPr>
      <w:r>
        <w:rPr>
          <w:rFonts w:ascii="黑体" w:hAnsi="黑体" w:eastAsia="黑体"/>
          <w:sz w:val="32"/>
        </w:rPr>
        <w:t>一、主要职能</w:t>
      </w:r>
    </w:p>
    <w:p w14:paraId="3A6B2932">
      <w:pPr>
        <w:spacing w:line="580" w:lineRule="exact"/>
        <w:ind w:firstLine="640"/>
        <w:jc w:val="both"/>
      </w:pPr>
      <w:r>
        <w:rPr>
          <w:rFonts w:ascii="仿宋_GB2312" w:hAnsi="仿宋_GB2312" w:eastAsia="仿宋_GB2312"/>
          <w:sz w:val="32"/>
        </w:rPr>
        <w:t>提供收养服务，弘扬救助精神，开展孤儿与弃婴收养以及家庭无力照管残疾儿童收养，为孤儿提供接受文化教育及技艺培训。承担本地区孤儿养育状况评估工作，协助民政部门开展孤儿和困境儿童福利服务指导工作。</w:t>
      </w:r>
    </w:p>
    <w:p w14:paraId="0D480BA0">
      <w:pPr>
        <w:spacing w:line="640" w:lineRule="exact"/>
        <w:ind w:firstLine="640"/>
        <w:jc w:val="both"/>
        <w:outlineLvl w:val="2"/>
      </w:pPr>
      <w:r>
        <w:rPr>
          <w:rFonts w:ascii="黑体" w:hAnsi="黑体" w:eastAsia="黑体"/>
          <w:sz w:val="32"/>
        </w:rPr>
        <w:t>二、机构设置及人员情况</w:t>
      </w:r>
    </w:p>
    <w:p w14:paraId="5F110985">
      <w:pPr>
        <w:spacing w:line="580" w:lineRule="exact"/>
        <w:ind w:firstLine="640"/>
        <w:jc w:val="both"/>
      </w:pPr>
      <w:r>
        <w:rPr>
          <w:rFonts w:ascii="仿宋_GB2312" w:hAnsi="仿宋_GB2312" w:eastAsia="仿宋_GB2312"/>
          <w:sz w:val="32"/>
        </w:rPr>
        <w:t>新疆维吾尔自治区喀什地区儿童福利院2024年度，实有人数49人，其中：在职人员24人，减少1人；离休人员0人，增加0人；退休人员25人,减少1人。</w:t>
      </w:r>
    </w:p>
    <w:p w14:paraId="42D4F99F">
      <w:pPr>
        <w:spacing w:line="580" w:lineRule="exact"/>
        <w:ind w:firstLine="640"/>
        <w:jc w:val="both"/>
      </w:pPr>
      <w:r>
        <w:rPr>
          <w:rFonts w:ascii="仿宋_GB2312" w:hAnsi="仿宋_GB2312" w:eastAsia="仿宋_GB2312"/>
          <w:sz w:val="32"/>
        </w:rPr>
        <w:t>新疆维吾尔自治区喀什地区儿童福利院无下属预算单位，下设7个科室，分别是：办公室、财务室、教务部、生活部、幼儿部、康复部、后勤服务部。</w:t>
      </w:r>
    </w:p>
    <w:p w14:paraId="5C44AA4E">
      <w:r>
        <w:br w:type="page"/>
      </w:r>
    </w:p>
    <w:p w14:paraId="343DCF70">
      <w:pPr>
        <w:spacing w:line="240" w:lineRule="auto"/>
        <w:jc w:val="center"/>
        <w:outlineLvl w:val="1"/>
      </w:pPr>
      <w:r>
        <w:rPr>
          <w:rFonts w:ascii="黑体" w:hAnsi="黑体" w:eastAsia="黑体"/>
          <w:sz w:val="32"/>
        </w:rPr>
        <w:t>第二部分 部门决算情况说明</w:t>
      </w:r>
    </w:p>
    <w:p w14:paraId="1B44A5A8">
      <w:pPr>
        <w:spacing w:line="640" w:lineRule="exact"/>
        <w:ind w:firstLine="640"/>
        <w:jc w:val="both"/>
        <w:outlineLvl w:val="2"/>
      </w:pPr>
      <w:r>
        <w:rPr>
          <w:rFonts w:ascii="黑体" w:hAnsi="黑体" w:eastAsia="黑体"/>
          <w:sz w:val="32"/>
        </w:rPr>
        <w:t>一、收入支出决算总体情况说明</w:t>
      </w:r>
    </w:p>
    <w:p w14:paraId="2DC7A831">
      <w:pPr>
        <w:spacing w:line="580" w:lineRule="exact"/>
        <w:ind w:firstLine="640"/>
        <w:jc w:val="both"/>
      </w:pPr>
      <w:r>
        <w:rPr>
          <w:rFonts w:ascii="仿宋_GB2312" w:hAnsi="仿宋_GB2312" w:eastAsia="仿宋_GB2312"/>
          <w:b/>
          <w:sz w:val="32"/>
        </w:rPr>
        <w:t>2024年度收入总计809.45万元，</w:t>
      </w:r>
      <w:r>
        <w:rPr>
          <w:rFonts w:ascii="仿宋_GB2312" w:hAnsi="仿宋_GB2312" w:eastAsia="仿宋_GB2312"/>
          <w:b w:val="0"/>
          <w:sz w:val="32"/>
        </w:rPr>
        <w:t>其中：本年收入合计809.45万元，使用非财政拨款结余（含专用结余）0.00万元，年初结转和结余0.00万元。</w:t>
      </w:r>
    </w:p>
    <w:p w14:paraId="1585B04A">
      <w:pPr>
        <w:spacing w:line="580" w:lineRule="exact"/>
        <w:ind w:firstLine="640"/>
        <w:jc w:val="both"/>
      </w:pPr>
      <w:r>
        <w:rPr>
          <w:rFonts w:ascii="仿宋_GB2312" w:hAnsi="仿宋_GB2312" w:eastAsia="仿宋_GB2312"/>
          <w:b/>
          <w:sz w:val="32"/>
        </w:rPr>
        <w:t>2024年度支出总计809.45万元，</w:t>
      </w:r>
      <w:r>
        <w:rPr>
          <w:rFonts w:ascii="仿宋_GB2312" w:hAnsi="仿宋_GB2312" w:eastAsia="仿宋_GB2312"/>
          <w:b w:val="0"/>
          <w:sz w:val="32"/>
        </w:rPr>
        <w:t>其中：本年支出合计809.45万元，结余分配0.00万元，年末结转和结余0.00万元。</w:t>
      </w:r>
    </w:p>
    <w:p w14:paraId="53CA05CD">
      <w:pPr>
        <w:spacing w:line="580" w:lineRule="exact"/>
        <w:ind w:firstLine="640"/>
        <w:jc w:val="both"/>
      </w:pPr>
      <w:r>
        <w:rPr>
          <w:rFonts w:ascii="仿宋_GB2312" w:hAnsi="仿宋_GB2312" w:eastAsia="仿宋_GB2312"/>
          <w:b w:val="0"/>
          <w:sz w:val="32"/>
        </w:rPr>
        <w:t>收入支出总体与上年相比，减少264.13万元，下降24.60%，主要原因是：本年在职人员减少，相关人员经费减少，减少提前下达中央群众困难救助补助资金、提前下达自治区群众困难救助补助资金、困难群众救助地方配套资金、儿童福利能力提升，中央专项彩票公益金等项目经费，导致相关经费减少。</w:t>
      </w:r>
    </w:p>
    <w:p w14:paraId="4497D598">
      <w:pPr>
        <w:spacing w:line="640" w:lineRule="exact"/>
        <w:ind w:firstLine="640"/>
        <w:jc w:val="both"/>
        <w:outlineLvl w:val="2"/>
      </w:pPr>
      <w:r>
        <w:rPr>
          <w:rFonts w:ascii="黑体" w:hAnsi="黑体" w:eastAsia="黑体"/>
          <w:sz w:val="32"/>
        </w:rPr>
        <w:t>二、收入决算情况说明</w:t>
      </w:r>
    </w:p>
    <w:p w14:paraId="2FD0C656">
      <w:pPr>
        <w:spacing w:line="580" w:lineRule="exact"/>
        <w:ind w:firstLine="640"/>
        <w:jc w:val="both"/>
      </w:pPr>
      <w:r>
        <w:rPr>
          <w:rFonts w:ascii="仿宋_GB2312" w:hAnsi="仿宋_GB2312" w:eastAsia="仿宋_GB2312"/>
          <w:b/>
          <w:sz w:val="32"/>
        </w:rPr>
        <w:t>本年收入809.45万元，</w:t>
      </w:r>
      <w:r>
        <w:rPr>
          <w:rFonts w:ascii="仿宋_GB2312" w:hAnsi="仿宋_GB2312" w:eastAsia="仿宋_GB2312"/>
          <w:b w:val="0"/>
          <w:sz w:val="32"/>
        </w:rPr>
        <w:t>其中：财政拨款收入809.45万元，占100.00%；上级补助收入0.00万元，占0.00%；事业收入0.00万元，占0.00%；经营收入0.00万元，占0.00%；附属单位上缴收入0.00万元，占0.00%；其他收入0.00万元，占0.00%。</w:t>
      </w:r>
    </w:p>
    <w:p w14:paraId="36F3BFC7">
      <w:pPr>
        <w:spacing w:line="640" w:lineRule="exact"/>
        <w:ind w:firstLine="640"/>
        <w:jc w:val="both"/>
        <w:outlineLvl w:val="2"/>
      </w:pPr>
      <w:r>
        <w:rPr>
          <w:rFonts w:ascii="黑体" w:hAnsi="黑体" w:eastAsia="黑体"/>
          <w:sz w:val="32"/>
        </w:rPr>
        <w:t>三、支出决算情况说明</w:t>
      </w:r>
    </w:p>
    <w:p w14:paraId="2985C149">
      <w:pPr>
        <w:spacing w:line="580" w:lineRule="exact"/>
        <w:ind w:firstLine="640"/>
        <w:jc w:val="both"/>
      </w:pPr>
      <w:r>
        <w:rPr>
          <w:rFonts w:ascii="仿宋_GB2312" w:hAnsi="仿宋_GB2312" w:eastAsia="仿宋_GB2312"/>
          <w:b/>
          <w:sz w:val="32"/>
        </w:rPr>
        <w:t>本年支出809.45万元，</w:t>
      </w:r>
      <w:r>
        <w:rPr>
          <w:rFonts w:ascii="仿宋_GB2312" w:hAnsi="仿宋_GB2312" w:eastAsia="仿宋_GB2312"/>
          <w:b w:val="0"/>
          <w:sz w:val="32"/>
        </w:rPr>
        <w:t>其中：基本支出698.05万元，占86.24%；项目支出111.39万元，占13.76%；上缴上级支出0.00万元，占0.00%；经营支出0.00万元，占0.00%；对附属单位补助支出0.00万元，占0.00%。</w:t>
      </w:r>
    </w:p>
    <w:p w14:paraId="214D0369">
      <w:pPr>
        <w:spacing w:line="640" w:lineRule="exact"/>
        <w:ind w:firstLine="640"/>
        <w:jc w:val="both"/>
        <w:outlineLvl w:val="2"/>
      </w:pPr>
      <w:r>
        <w:rPr>
          <w:rFonts w:ascii="黑体" w:hAnsi="黑体" w:eastAsia="黑体"/>
          <w:sz w:val="32"/>
        </w:rPr>
        <w:t>四、财政拨款收入支出决算总体情况说明</w:t>
      </w:r>
    </w:p>
    <w:p w14:paraId="1910CABA">
      <w:pPr>
        <w:spacing w:line="580" w:lineRule="exact"/>
        <w:ind w:firstLine="640"/>
        <w:jc w:val="both"/>
      </w:pPr>
      <w:r>
        <w:rPr>
          <w:rFonts w:ascii="仿宋_GB2312" w:hAnsi="仿宋_GB2312" w:eastAsia="仿宋_GB2312"/>
          <w:b/>
          <w:sz w:val="32"/>
        </w:rPr>
        <w:t>2024年度财政拨款收入总计809.45万元，</w:t>
      </w:r>
      <w:r>
        <w:rPr>
          <w:rFonts w:ascii="仿宋_GB2312" w:hAnsi="仿宋_GB2312" w:eastAsia="仿宋_GB2312"/>
          <w:b w:val="0"/>
          <w:sz w:val="32"/>
        </w:rPr>
        <w:t>其中：年初财政拨款结转和结余0.00万元，本年财政拨款收入809.45万元。</w:t>
      </w:r>
      <w:r>
        <w:rPr>
          <w:rFonts w:ascii="仿宋_GB2312" w:hAnsi="仿宋_GB2312" w:eastAsia="仿宋_GB2312"/>
          <w:b/>
          <w:sz w:val="32"/>
        </w:rPr>
        <w:t>财政拨款支出总计809.45万元，</w:t>
      </w:r>
      <w:r>
        <w:rPr>
          <w:rFonts w:ascii="仿宋_GB2312" w:hAnsi="仿宋_GB2312" w:eastAsia="仿宋_GB2312"/>
          <w:b w:val="0"/>
          <w:sz w:val="32"/>
        </w:rPr>
        <w:t>其中：年末财政拨款结转和结余0.00万元，本年财政拨款支出809.45万元。</w:t>
      </w:r>
    </w:p>
    <w:p w14:paraId="2BF8CA8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232.32万元，下降22.30%，主要原因是：本年在职人员减少，相关人员经费减少，减少提前下达中央群众困难救助补助资金、提前下达自治区群众困难救助补助资金、困难群众救助地方配套资金、儿童福利能力提升，中央专项彩票公益金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年初预算数861.77万元，决算数809.45万元，预决算差异率-6.07%，主要原因是：年中调减困难群众补助等项目经费，导致预决算存在差异。</w:t>
      </w:r>
    </w:p>
    <w:p w14:paraId="600B460F">
      <w:pPr>
        <w:spacing w:line="640" w:lineRule="exact"/>
        <w:ind w:firstLine="640"/>
        <w:jc w:val="both"/>
        <w:outlineLvl w:val="2"/>
      </w:pPr>
      <w:r>
        <w:rPr>
          <w:rFonts w:ascii="黑体" w:hAnsi="黑体" w:eastAsia="黑体"/>
          <w:sz w:val="32"/>
        </w:rPr>
        <w:t>五、一般公共预算财政拨款支出决算情况说明</w:t>
      </w:r>
    </w:p>
    <w:p w14:paraId="255135A7">
      <w:pPr>
        <w:spacing w:line="640" w:lineRule="exact"/>
        <w:ind w:firstLine="640"/>
        <w:jc w:val="both"/>
        <w:outlineLvl w:val="3"/>
      </w:pPr>
      <w:r>
        <w:rPr>
          <w:rFonts w:ascii="楷体_GB2312" w:hAnsi="楷体_GB2312" w:eastAsia="楷体_GB2312"/>
          <w:b/>
          <w:sz w:val="32"/>
        </w:rPr>
        <w:t>（一）一般公共预算财政拨款支出决算总体情况</w:t>
      </w:r>
    </w:p>
    <w:p w14:paraId="085BA628">
      <w:pPr>
        <w:spacing w:line="580" w:lineRule="exact"/>
        <w:ind w:firstLine="640"/>
        <w:jc w:val="both"/>
      </w:pPr>
      <w:r>
        <w:rPr>
          <w:rFonts w:ascii="仿宋_GB2312" w:hAnsi="仿宋_GB2312" w:eastAsia="仿宋_GB2312"/>
          <w:b/>
          <w:sz w:val="32"/>
        </w:rPr>
        <w:t>2024年度一般公共预算财政拨款支出797.28万元，</w:t>
      </w:r>
      <w:r>
        <w:rPr>
          <w:rFonts w:ascii="仿宋_GB2312" w:hAnsi="仿宋_GB2312" w:eastAsia="仿宋_GB2312"/>
          <w:b w:val="0"/>
          <w:sz w:val="32"/>
        </w:rPr>
        <w:t>占本年支出合计的98.50%。</w:t>
      </w:r>
      <w:r>
        <w:rPr>
          <w:rFonts w:ascii="仿宋_GB2312" w:hAnsi="仿宋_GB2312" w:eastAsia="仿宋_GB2312"/>
          <w:b/>
          <w:sz w:val="32"/>
        </w:rPr>
        <w:t>与上年相比，</w:t>
      </w:r>
      <w:r>
        <w:rPr>
          <w:rFonts w:ascii="仿宋_GB2312" w:hAnsi="仿宋_GB2312" w:eastAsia="仿宋_GB2312"/>
          <w:b w:val="0"/>
          <w:sz w:val="32"/>
        </w:rPr>
        <w:t>减少139.78万元，下降14.92%，主要原因是：本年在职人员减少，相关人员经费减少，减少提前下达中央群众困难救助补助资金、提前下达自治区群众困难救助补助资金、困难群众救助地方配套资金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年初预算数846.64万元，决算数797.28万元，预决算差异率-5.83%，主要原因是：年中调减困难群众补助等项目经费，导致预决算存在差异。</w:t>
      </w:r>
    </w:p>
    <w:p w14:paraId="0D374899">
      <w:pPr>
        <w:spacing w:line="640" w:lineRule="exact"/>
        <w:ind w:firstLine="640"/>
        <w:jc w:val="both"/>
        <w:outlineLvl w:val="3"/>
      </w:pPr>
      <w:r>
        <w:rPr>
          <w:rFonts w:ascii="楷体_GB2312" w:hAnsi="楷体_GB2312" w:eastAsia="楷体_GB2312"/>
          <w:b/>
          <w:sz w:val="32"/>
        </w:rPr>
        <w:t>（二）一般公共预算财政拨款支出决算结构情况</w:t>
      </w:r>
    </w:p>
    <w:p w14:paraId="54E57195">
      <w:pPr>
        <w:spacing w:line="580" w:lineRule="exact"/>
        <w:ind w:firstLine="640"/>
        <w:jc w:val="both"/>
      </w:pPr>
      <w:r>
        <w:rPr>
          <w:rFonts w:ascii="仿宋_GB2312" w:hAnsi="仿宋_GB2312" w:eastAsia="仿宋_GB2312"/>
          <w:b w:val="0"/>
          <w:sz w:val="32"/>
        </w:rPr>
        <w:t>1.一般公共服务支出(类)4.39万元,占0.55%。</w:t>
      </w:r>
    </w:p>
    <w:p w14:paraId="7AE45C0F">
      <w:pPr>
        <w:spacing w:line="580" w:lineRule="exact"/>
        <w:ind w:firstLine="640"/>
        <w:jc w:val="both"/>
      </w:pPr>
      <w:r>
        <w:rPr>
          <w:rFonts w:ascii="仿宋_GB2312" w:hAnsi="仿宋_GB2312" w:eastAsia="仿宋_GB2312"/>
          <w:b w:val="0"/>
          <w:sz w:val="32"/>
        </w:rPr>
        <w:t>2.社会保障和就业支出(类)736.67万元,占92.40%。</w:t>
      </w:r>
    </w:p>
    <w:p w14:paraId="4C4FA55F">
      <w:pPr>
        <w:spacing w:line="580" w:lineRule="exact"/>
        <w:ind w:firstLine="640"/>
        <w:jc w:val="both"/>
      </w:pPr>
      <w:r>
        <w:rPr>
          <w:rFonts w:ascii="仿宋_GB2312" w:hAnsi="仿宋_GB2312" w:eastAsia="仿宋_GB2312"/>
          <w:b w:val="0"/>
          <w:sz w:val="32"/>
        </w:rPr>
        <w:t>3.卫生健康支出(类)18.79万元,占2.36%。</w:t>
      </w:r>
    </w:p>
    <w:p w14:paraId="2E8AF3C8">
      <w:pPr>
        <w:spacing w:line="580" w:lineRule="exact"/>
        <w:ind w:firstLine="640"/>
        <w:jc w:val="both"/>
      </w:pPr>
      <w:r>
        <w:rPr>
          <w:rFonts w:ascii="仿宋_GB2312" w:hAnsi="仿宋_GB2312" w:eastAsia="仿宋_GB2312"/>
          <w:b w:val="0"/>
          <w:sz w:val="32"/>
        </w:rPr>
        <w:t>4.住房保障支出(类)37.42万元,占4.69%。</w:t>
      </w:r>
    </w:p>
    <w:p w14:paraId="0DE7400E">
      <w:pPr>
        <w:spacing w:line="640" w:lineRule="exact"/>
        <w:ind w:firstLine="640"/>
        <w:jc w:val="both"/>
        <w:outlineLvl w:val="3"/>
      </w:pPr>
      <w:r>
        <w:rPr>
          <w:rFonts w:ascii="楷体_GB2312" w:hAnsi="楷体_GB2312" w:eastAsia="楷体_GB2312"/>
          <w:b/>
          <w:sz w:val="32"/>
        </w:rPr>
        <w:t>（三）一般公共预算财政拨款支出决算具体情况</w:t>
      </w:r>
    </w:p>
    <w:p w14:paraId="4CAA5DF3">
      <w:pPr>
        <w:spacing w:line="580" w:lineRule="exact"/>
        <w:ind w:firstLine="640"/>
        <w:jc w:val="both"/>
      </w:pPr>
      <w:r>
        <w:rPr>
          <w:rFonts w:ascii="仿宋_GB2312" w:hAnsi="仿宋_GB2312" w:eastAsia="仿宋_GB2312"/>
          <w:b w:val="0"/>
          <w:sz w:val="32"/>
        </w:rPr>
        <w:t>1.一般公共服务支出(类)统战事务(款)宗教事务(项):支出决算数为4.39万元，比上年决算增加4.21万元，增长2,338.89%,主要原因是：本年增加工作人员专项生活补助，导致经费较上年增加。</w:t>
      </w:r>
    </w:p>
    <w:p w14:paraId="1694B0FB">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2.社会保障和就业支出(类)行政事业单位养老支出(款)事业单位离退休(项):支出决算数为32.74万元，比上年决算增加8.73万元，增长36.36%,主要原因是：本年增加退休人员基础绩效奖，退休费支出增加。</w:t>
      </w:r>
    </w:p>
    <w:p w14:paraId="57580EB8">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44.22万元，比上年决算减少1.08万元，下降2.38%,主要原因是：本年在职人员减少，单位基本养老保险缴费较上年减少。</w:t>
      </w:r>
    </w:p>
    <w:p w14:paraId="2C576857">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12.26万元，比上年决算减少7.97万元，下降39.40%,主要原因是：本年新增退休人员较上年减少，职业年金缴费较上年减少。</w:t>
      </w:r>
    </w:p>
    <w:p w14:paraId="18EB1920">
      <w:pPr>
        <w:spacing w:line="580" w:lineRule="exact"/>
        <w:ind w:firstLine="640"/>
        <w:jc w:val="both"/>
      </w:pPr>
      <w:r>
        <w:rPr>
          <w:rFonts w:ascii="仿宋_GB2312" w:hAnsi="仿宋_GB2312" w:eastAsia="仿宋_GB2312"/>
          <w:b w:val="0"/>
          <w:sz w:val="32"/>
        </w:rPr>
        <w:t>5.社会保障和就业支出(类)抚恤(款)死亡抚恤(项):支出决算数为12.84万元，比上年决算增加12.84万元，增长100.00%,主要原因是：本年新增死亡人员，死亡抚恤支出增加。</w:t>
      </w:r>
    </w:p>
    <w:p w14:paraId="4A67DAF5">
      <w:pPr>
        <w:spacing w:line="580" w:lineRule="exact"/>
        <w:ind w:firstLine="640"/>
        <w:jc w:val="both"/>
      </w:pPr>
      <w:r>
        <w:rPr>
          <w:rFonts w:ascii="仿宋_GB2312" w:hAnsi="仿宋_GB2312" w:eastAsia="仿宋_GB2312"/>
          <w:b w:val="0"/>
          <w:sz w:val="32"/>
        </w:rPr>
        <w:t>6.社会保障和就业支出(类)社会福利(款)儿童福利(项):支出决算数为620.95万元，比上年决算减少161.45万元，下降20.64%,主要原因是：本年减少提前下达中央群众困难救助补助资金、提前下达自治区群众困难救助补助资金、困难群众救助地方配套资金等项目经费，导致相关经费减少。</w:t>
      </w:r>
    </w:p>
    <w:p w14:paraId="04E74319">
      <w:pPr>
        <w:spacing w:line="580" w:lineRule="exact"/>
        <w:ind w:firstLine="640"/>
        <w:jc w:val="both"/>
      </w:pPr>
      <w:r>
        <w:rPr>
          <w:rFonts w:ascii="仿宋_GB2312" w:hAnsi="仿宋_GB2312" w:eastAsia="仿宋_GB2312"/>
          <w:b w:val="0"/>
          <w:sz w:val="32"/>
        </w:rPr>
        <w:t>7.社会保障和就业支出(类)其他生活救助(款)其他城市生活救助(项):支出决算数为13.66万元，比上年决算增加13.66万元，增长100.00%,主要原因是：本年科目调整，困难群众救助补助项目经费上年在其他社会保障和就业支出科目列支，本年调整至其他城市生活救助科目列支，导致相关经费增加。</w:t>
      </w:r>
    </w:p>
    <w:p w14:paraId="5AA5E0E8">
      <w:pPr>
        <w:spacing w:line="580" w:lineRule="exact"/>
        <w:ind w:firstLine="640"/>
        <w:jc w:val="both"/>
      </w:pPr>
      <w:r>
        <w:rPr>
          <w:rFonts w:ascii="仿宋_GB2312" w:hAnsi="仿宋_GB2312" w:eastAsia="仿宋_GB2312"/>
          <w:b w:val="0"/>
          <w:sz w:val="32"/>
        </w:rPr>
        <w:t>8.社会保障和就业支出(类)其他社会保障和就业支出(款)其他社会保障和就业支出(项):支出决算数为0.00万元，比上年决算减少8.00万元，下降100.00%,主要原因是：本年科目调整，困难群众救助补助项目经费上年在其他社会保障和就业支出科目列支，本年调整至其他城市生活救助科目列支，导致相关经费减少。</w:t>
      </w:r>
    </w:p>
    <w:p w14:paraId="3BC31955">
      <w:pPr>
        <w:spacing w:line="580" w:lineRule="exact"/>
        <w:ind w:firstLine="640"/>
        <w:jc w:val="both"/>
      </w:pPr>
      <w:r>
        <w:rPr>
          <w:rFonts w:ascii="仿宋_GB2312" w:hAnsi="仿宋_GB2312" w:eastAsia="仿宋_GB2312"/>
          <w:b w:val="0"/>
          <w:sz w:val="32"/>
        </w:rPr>
        <w:t>9.卫生健康支出(类)行政事业单位医疗(款)事业单位医疗(项):支出决算数为18.79万元，比上年决算减少0.66万元，下降3.39%,主要原因是：本年在职人员减少，事业单位医疗支出较上年减少。</w:t>
      </w:r>
    </w:p>
    <w:p w14:paraId="7961A9FF">
      <w:pPr>
        <w:spacing w:line="580" w:lineRule="exact"/>
        <w:ind w:firstLine="640"/>
        <w:jc w:val="both"/>
      </w:pPr>
      <w:r>
        <w:rPr>
          <w:rFonts w:ascii="仿宋_GB2312" w:hAnsi="仿宋_GB2312" w:eastAsia="仿宋_GB2312"/>
          <w:b w:val="0"/>
          <w:sz w:val="32"/>
        </w:rPr>
        <w:t>10.住房保障支出(类)住房改革支出(款)住房公积金(项):支出决算数为37.42万元，比上年决算减少0.07万元，下降0.19%,主要原因是：本年在职人员减少，住房公积金缴费较上年减少。</w:t>
      </w:r>
    </w:p>
    <w:p w14:paraId="5C5851E5">
      <w:pPr>
        <w:spacing w:line="640" w:lineRule="exact"/>
        <w:ind w:firstLine="640"/>
        <w:jc w:val="both"/>
        <w:outlineLvl w:val="2"/>
      </w:pPr>
      <w:r>
        <w:rPr>
          <w:rFonts w:ascii="黑体" w:hAnsi="黑体" w:eastAsia="黑体"/>
          <w:sz w:val="32"/>
        </w:rPr>
        <w:t>六、一般公共预算财政拨款基本支出决算情况说明</w:t>
      </w:r>
    </w:p>
    <w:p w14:paraId="22C3BC6A">
      <w:pPr>
        <w:spacing w:line="580" w:lineRule="exact"/>
        <w:ind w:firstLine="640"/>
        <w:jc w:val="both"/>
      </w:pPr>
      <w:r>
        <w:rPr>
          <w:rFonts w:ascii="仿宋_GB2312" w:hAnsi="仿宋_GB2312" w:eastAsia="仿宋_GB2312"/>
          <w:b w:val="0"/>
          <w:sz w:val="32"/>
        </w:rPr>
        <w:t>2024年度一般公共预算财政拨款基本支出698.05万元，其中：</w:t>
      </w:r>
      <w:r>
        <w:rPr>
          <w:rFonts w:ascii="仿宋_GB2312" w:hAnsi="仿宋_GB2312" w:eastAsia="仿宋_GB2312"/>
          <w:b/>
          <w:sz w:val="32"/>
        </w:rPr>
        <w:t>人员经费657.74万元，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其他对个人和家庭的补助。</w:t>
      </w:r>
    </w:p>
    <w:p w14:paraId="49CCDCD9">
      <w:pPr>
        <w:spacing w:line="580" w:lineRule="exact"/>
        <w:ind w:firstLine="640"/>
        <w:jc w:val="both"/>
      </w:pPr>
      <w:r>
        <w:rPr>
          <w:rFonts w:ascii="仿宋_GB2312" w:hAnsi="仿宋_GB2312" w:eastAsia="仿宋_GB2312"/>
          <w:b/>
          <w:sz w:val="32"/>
        </w:rPr>
        <w:t>公用经费40.31万元，</w:t>
      </w:r>
      <w:r>
        <w:rPr>
          <w:rFonts w:ascii="仿宋_GB2312" w:hAnsi="仿宋_GB2312" w:eastAsia="仿宋_GB2312"/>
          <w:b w:val="0"/>
          <w:sz w:val="32"/>
        </w:rPr>
        <w:t>包括：办公费、水费、电费、邮电费、取暖费、差旅费、维修（护）费、专用材料费、工会经费、公务用车运行维护费、其他交通费用、其他商品和服务支出。</w:t>
      </w:r>
    </w:p>
    <w:p w14:paraId="5556206A">
      <w:pPr>
        <w:spacing w:line="640" w:lineRule="exact"/>
        <w:ind w:firstLine="640"/>
        <w:jc w:val="both"/>
        <w:outlineLvl w:val="2"/>
      </w:pPr>
      <w:r>
        <w:rPr>
          <w:rFonts w:ascii="黑体" w:hAnsi="黑体" w:eastAsia="黑体"/>
          <w:sz w:val="32"/>
        </w:rPr>
        <w:t>七、政府性基金预算财政拨款收入支出决算情况说明</w:t>
      </w:r>
    </w:p>
    <w:p w14:paraId="4B0E5394">
      <w:pPr>
        <w:spacing w:line="580" w:lineRule="exact"/>
        <w:ind w:firstLine="640"/>
        <w:jc w:val="both"/>
      </w:pPr>
      <w:r>
        <w:rPr>
          <w:rFonts w:ascii="仿宋_GB2312" w:hAnsi="仿宋_GB2312" w:eastAsia="仿宋_GB2312"/>
          <w:b/>
          <w:sz w:val="32"/>
        </w:rPr>
        <w:t>2024年度政府性基金预算财政拨款收入总计12.16万元，</w:t>
      </w:r>
      <w:r>
        <w:rPr>
          <w:rFonts w:ascii="仿宋_GB2312" w:hAnsi="仿宋_GB2312" w:eastAsia="仿宋_GB2312"/>
          <w:b w:val="0"/>
          <w:sz w:val="32"/>
        </w:rPr>
        <w:t>其中：年初结转和结余0.00万元，本年收入12.16万元。</w:t>
      </w:r>
      <w:r>
        <w:rPr>
          <w:rFonts w:ascii="仿宋_GB2312" w:hAnsi="仿宋_GB2312" w:eastAsia="仿宋_GB2312"/>
          <w:b/>
          <w:sz w:val="32"/>
        </w:rPr>
        <w:t>政府性基金预算财政拨款支出总计12.16万元，</w:t>
      </w:r>
      <w:r>
        <w:rPr>
          <w:rFonts w:ascii="仿宋_GB2312" w:hAnsi="仿宋_GB2312" w:eastAsia="仿宋_GB2312"/>
          <w:b w:val="0"/>
          <w:sz w:val="32"/>
        </w:rPr>
        <w:t>其中：年末结转和结余0.00万元，本年支出12.16万元。</w:t>
      </w:r>
    </w:p>
    <w:p w14:paraId="37A5B6D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减少92.55万元，下降88.39%，主要原因是：本年减少儿童福利能力提升，中央专项彩票公益金等项目经费，导致相关经费减少。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年初预算数15.12万元，决算数12.16万元，预决算差异率-19.58%，主要原因是：年中调减中央专项彩票公益金项目资金。</w:t>
      </w:r>
    </w:p>
    <w:p w14:paraId="499FB5F8">
      <w:pPr>
        <w:spacing w:line="580" w:lineRule="exact"/>
        <w:ind w:firstLine="640"/>
        <w:jc w:val="both"/>
      </w:pPr>
      <w:r>
        <w:rPr>
          <w:rFonts w:ascii="仿宋_GB2312" w:hAnsi="仿宋_GB2312" w:eastAsia="仿宋_GB2312"/>
          <w:b w:val="0"/>
          <w:sz w:val="32"/>
        </w:rPr>
        <w:t>政府性基金预算财政拨款支出12.16万元。</w:t>
      </w:r>
    </w:p>
    <w:p w14:paraId="2578C989">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12.16万元，比上年决算减少92.55万元，下降88.39%,主要原因是：本年减少儿童福利能力提升，中央专项彩票公益金等项目经费，导致相关经费减少。</w:t>
      </w:r>
    </w:p>
    <w:p w14:paraId="712B5C0D">
      <w:pPr>
        <w:spacing w:line="640" w:lineRule="exact"/>
        <w:ind w:firstLine="640"/>
        <w:jc w:val="both"/>
        <w:outlineLvl w:val="2"/>
      </w:pPr>
      <w:r>
        <w:rPr>
          <w:rFonts w:ascii="黑体" w:hAnsi="黑体" w:eastAsia="黑体"/>
          <w:sz w:val="32"/>
        </w:rPr>
        <w:t>八、国有资本经营预算财政拨款收入支出决算情况说明</w:t>
      </w:r>
    </w:p>
    <w:p w14:paraId="48274885">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9325DBC">
      <w:pPr>
        <w:spacing w:line="640" w:lineRule="exact"/>
        <w:ind w:firstLine="640"/>
        <w:jc w:val="both"/>
        <w:outlineLvl w:val="2"/>
      </w:pPr>
      <w:r>
        <w:rPr>
          <w:rFonts w:ascii="黑体" w:hAnsi="黑体" w:eastAsia="黑体"/>
          <w:sz w:val="32"/>
        </w:rPr>
        <w:t>九、财政拨款“三公”经费支出决算情况说明</w:t>
      </w:r>
    </w:p>
    <w:p w14:paraId="67229F34">
      <w:pPr>
        <w:spacing w:line="580" w:lineRule="exact"/>
        <w:ind w:firstLine="640"/>
        <w:jc w:val="both"/>
      </w:pPr>
      <w:r>
        <w:rPr>
          <w:rFonts w:ascii="仿宋_GB2312" w:hAnsi="仿宋_GB2312" w:eastAsia="仿宋_GB2312"/>
          <w:b/>
          <w:sz w:val="32"/>
        </w:rPr>
        <w:t>2024年度财政拨款“三公”经费支出5.60万元，</w:t>
      </w:r>
      <w:r>
        <w:rPr>
          <w:rFonts w:ascii="仿宋_GB2312" w:hAnsi="仿宋_GB2312" w:eastAsia="仿宋_GB2312"/>
          <w:b w:val="0"/>
          <w:sz w:val="32"/>
        </w:rPr>
        <w:t>比上年增加3.00万元，增长115.38%，主要原因是：本部门公务用车日渐老化损坏严重，维修维护成本增加，导致公务用车运行维护费较上年增加。其中：因公出国（境）费支出0.00万元，占0.00%，比上年增加0.00万元，增长0.00%，主要原因是：2023年与2024年均未安排因公出国（境）费支出。公务用车购置及运行维护费支出5.60万元，占100.00%，比上年增加3.00万元，增长115.38%，主要原因是：本部门公务用车日渐老化损坏严重，维修维护成本增加，导致公务用车运行维护费较上年增加。公务接待费支出0.00万元，占0.00%，比上年增加0.00万元，增长0.00%，主要原因是：2023年与2024年均未安排公务接待费支出。</w:t>
      </w:r>
    </w:p>
    <w:p w14:paraId="605154A5">
      <w:pPr>
        <w:spacing w:line="580" w:lineRule="exact"/>
        <w:ind w:firstLine="640"/>
        <w:jc w:val="both"/>
      </w:pPr>
      <w:r>
        <w:rPr>
          <w:rFonts w:ascii="仿宋_GB2312" w:hAnsi="仿宋_GB2312" w:eastAsia="仿宋_GB2312"/>
          <w:b/>
          <w:sz w:val="32"/>
        </w:rPr>
        <w:t>具体情况如下：</w:t>
      </w:r>
    </w:p>
    <w:p w14:paraId="63F049A6">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23670A5">
      <w:pPr>
        <w:spacing w:line="580" w:lineRule="exact"/>
        <w:ind w:firstLine="640"/>
        <w:jc w:val="both"/>
      </w:pPr>
      <w:r>
        <w:rPr>
          <w:rFonts w:ascii="仿宋_GB2312" w:hAnsi="仿宋_GB2312" w:eastAsia="仿宋_GB2312"/>
          <w:b w:val="0"/>
          <w:sz w:val="32"/>
        </w:rPr>
        <w:t>公务用车购置及运行维护费5.60万元，其中：公务用车购置费0.00万元，公务用车运行维护费5.60万元。公务用车运行维护费开支内容包括车辆加油费、保险费用、维修费用、审验费。公务用车购置数0辆，公务用车保有量3辆。国有资产占用情况中固定资产车辆3辆，与公务用车保有量差异原因是：本部门固定资产车辆与公务用车保有量一致无差异。</w:t>
      </w:r>
    </w:p>
    <w:p w14:paraId="27A726A4">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519E9FB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5.60万元，决算数5.60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5.60万元，决算数5.60万元，预决算差异率0.00%，主要原因是：严格按照预算执行，预决算无差异。公务接待费全年预算数0.00万元，决算数0.00万元，预决算差异率0.00%，主要原因是：本部门无公务接待费。</w:t>
      </w:r>
    </w:p>
    <w:p w14:paraId="77820CD6">
      <w:pPr>
        <w:spacing w:line="640" w:lineRule="exact"/>
        <w:ind w:firstLine="640"/>
        <w:jc w:val="both"/>
        <w:outlineLvl w:val="2"/>
      </w:pPr>
      <w:r>
        <w:rPr>
          <w:rFonts w:ascii="黑体" w:hAnsi="黑体" w:eastAsia="黑体"/>
          <w:sz w:val="32"/>
        </w:rPr>
        <w:t>十、其他重要事项的情况说明</w:t>
      </w:r>
    </w:p>
    <w:p w14:paraId="441895A5">
      <w:pPr>
        <w:spacing w:line="640" w:lineRule="exact"/>
        <w:ind w:firstLine="640"/>
        <w:jc w:val="both"/>
        <w:outlineLvl w:val="3"/>
      </w:pPr>
      <w:r>
        <w:rPr>
          <w:rFonts w:ascii="楷体_GB2312" w:hAnsi="楷体_GB2312" w:eastAsia="楷体_GB2312"/>
          <w:b/>
          <w:sz w:val="32"/>
        </w:rPr>
        <w:t>（一）机关运行经费及公用经费支出情况</w:t>
      </w:r>
    </w:p>
    <w:p w14:paraId="37BFC716">
      <w:pPr>
        <w:spacing w:line="580" w:lineRule="exact"/>
        <w:ind w:firstLine="640"/>
        <w:jc w:val="both"/>
      </w:pPr>
      <w:r>
        <w:rPr>
          <w:rFonts w:ascii="仿宋_GB2312" w:hAnsi="仿宋_GB2312" w:eastAsia="仿宋_GB2312"/>
          <w:b w:val="0"/>
          <w:sz w:val="32"/>
        </w:rPr>
        <w:t>2024年度新疆维吾尔自治区喀什地区儿童福利院（事业单位）公用经费支出40.31万元，比上年增加0.69万元，增长1.74%，主要原因是：本年增加公务用车运行维护经费，导致公用经费增加。</w:t>
      </w:r>
    </w:p>
    <w:p w14:paraId="272598CD">
      <w:pPr>
        <w:spacing w:line="640" w:lineRule="exact"/>
        <w:ind w:firstLine="640"/>
        <w:jc w:val="both"/>
        <w:outlineLvl w:val="3"/>
      </w:pPr>
      <w:r>
        <w:rPr>
          <w:rFonts w:ascii="楷体_GB2312" w:hAnsi="楷体_GB2312" w:eastAsia="楷体_GB2312"/>
          <w:b/>
          <w:sz w:val="32"/>
        </w:rPr>
        <w:t>（二）政府采购情况</w:t>
      </w:r>
    </w:p>
    <w:p w14:paraId="58E6A064">
      <w:pPr>
        <w:spacing w:line="580" w:lineRule="exact"/>
        <w:ind w:firstLine="640"/>
        <w:jc w:val="both"/>
      </w:pPr>
      <w:r>
        <w:rPr>
          <w:rFonts w:ascii="仿宋_GB2312" w:hAnsi="仿宋_GB2312" w:eastAsia="仿宋_GB2312"/>
          <w:b w:val="0"/>
          <w:sz w:val="32"/>
        </w:rPr>
        <w:t>2024年度政府采购支出总额42.79万元，其中：政府采购货物支出35.86万元、政府采购工程支出0.00万元、政府采购服务支出6.93万元。</w:t>
      </w:r>
    </w:p>
    <w:p w14:paraId="3BA6BA0D">
      <w:pPr>
        <w:spacing w:line="580" w:lineRule="exact"/>
        <w:ind w:firstLine="640"/>
        <w:jc w:val="both"/>
      </w:pPr>
      <w:r>
        <w:rPr>
          <w:rFonts w:ascii="仿宋_GB2312" w:hAnsi="仿宋_GB2312" w:eastAsia="仿宋_GB2312"/>
          <w:b w:val="0"/>
          <w:sz w:val="32"/>
        </w:rPr>
        <w:t>授予中小企业合同金额42.79万元，占政府采购支出总额的100.00%，其中：授予小微企业合同金额42.45万元，占政府采购支出总额的99.21%。</w:t>
      </w:r>
    </w:p>
    <w:p w14:paraId="76FAF026">
      <w:pPr>
        <w:spacing w:line="640" w:lineRule="exact"/>
        <w:ind w:firstLine="640"/>
        <w:jc w:val="both"/>
        <w:outlineLvl w:val="3"/>
      </w:pPr>
      <w:r>
        <w:rPr>
          <w:rFonts w:ascii="楷体_GB2312" w:hAnsi="楷体_GB2312" w:eastAsia="楷体_GB2312"/>
          <w:b/>
          <w:sz w:val="32"/>
        </w:rPr>
        <w:t>（三）国有资产占用情况说明</w:t>
      </w:r>
    </w:p>
    <w:p w14:paraId="74A83B2A">
      <w:pPr>
        <w:spacing w:line="580" w:lineRule="exact"/>
        <w:ind w:firstLine="640"/>
        <w:jc w:val="both"/>
      </w:pPr>
      <w:r>
        <w:rPr>
          <w:rFonts w:ascii="仿宋_GB2312" w:hAnsi="仿宋_GB2312" w:eastAsia="仿宋_GB2312"/>
          <w:b w:val="0"/>
          <w:sz w:val="32"/>
        </w:rPr>
        <w:t>截至2024年12月31日，房屋8,832.17平方米，价值1,717.06万元。车辆3辆，价值77.55万元，其中：副部（省）级及以上领导用车0辆、主要负责人用车0辆、机要通信用车0辆、应急保障用车0辆、执法执勤用车0辆、特种专业技术用车0辆、离退休干部服务用车0辆、其他用车3辆，其他用车主要是：宇通校车用于接送学生上下学，依维柯、吉利校车用于学生就医就诊等业务用车。单价100万元（含）以上设备（不含车辆）0台（套）。</w:t>
      </w:r>
    </w:p>
    <w:p w14:paraId="37D9E954">
      <w:pPr>
        <w:spacing w:line="640" w:lineRule="exact"/>
        <w:ind w:firstLine="640"/>
        <w:jc w:val="both"/>
        <w:outlineLvl w:val="2"/>
      </w:pPr>
      <w:r>
        <w:rPr>
          <w:rFonts w:ascii="黑体" w:hAnsi="黑体" w:eastAsia="黑体"/>
          <w:sz w:val="32"/>
        </w:rPr>
        <w:t>十一、预算绩效的情况说明</w:t>
      </w:r>
    </w:p>
    <w:p w14:paraId="68DD9E28">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根据预算绩效管理要求，本部门2024年度预算绩效管理形成整体支出绩效自评表1个，全年预算总额843.35万元，实际执行总额809.45万元；预算绩效评价项目</w:t>
      </w:r>
      <w:r>
        <w:rPr>
          <w:rFonts w:hint="eastAsia" w:ascii="仿宋_GB2312" w:hAnsi="仿宋_GB2312" w:eastAsia="仿宋_GB2312"/>
          <w:b w:val="0"/>
          <w:sz w:val="32"/>
          <w:lang w:val="en-US" w:eastAsia="zh-CN"/>
        </w:rPr>
        <w:t>4</w:t>
      </w:r>
      <w:r>
        <w:rPr>
          <w:rFonts w:ascii="仿宋_GB2312" w:hAnsi="仿宋_GB2312" w:eastAsia="仿宋_GB2312"/>
          <w:b w:val="0"/>
          <w:sz w:val="32"/>
        </w:rPr>
        <w:t>个，全年预算数</w:t>
      </w:r>
      <w:r>
        <w:rPr>
          <w:rFonts w:hint="eastAsia" w:ascii="仿宋_GB2312" w:hAnsi="仿宋_GB2312" w:eastAsia="仿宋_GB2312"/>
          <w:b w:val="0"/>
          <w:sz w:val="32"/>
        </w:rPr>
        <w:t>76.74</w:t>
      </w:r>
      <w:r>
        <w:rPr>
          <w:rFonts w:ascii="仿宋_GB2312" w:hAnsi="仿宋_GB2312" w:eastAsia="仿宋_GB2312"/>
          <w:b w:val="0"/>
          <w:sz w:val="32"/>
        </w:rPr>
        <w:t>万元，全年执行数</w:t>
      </w:r>
      <w:r>
        <w:rPr>
          <w:rFonts w:hint="eastAsia" w:ascii="仿宋_GB2312" w:hAnsi="仿宋_GB2312" w:eastAsia="仿宋_GB2312"/>
          <w:b w:val="0"/>
          <w:sz w:val="32"/>
        </w:rPr>
        <w:t>69.28</w:t>
      </w:r>
      <w:r>
        <w:rPr>
          <w:rFonts w:ascii="仿宋_GB2312" w:hAnsi="仿宋_GB2312" w:eastAsia="仿宋_GB2312"/>
          <w:b w:val="0"/>
          <w:sz w:val="32"/>
        </w:rPr>
        <w:t>万元。预算绩效管理取得的成效：一是达到了机构运行保障顺畅，项目资金实施符合资金使用流程和绩效管理要求，达到资金使用的目的和效益，完成了本年单位既定工作目标任务；二是完善孤儿基本生活保障制度，确保达到预期目标，确保孤残儿童生活水平的良好效果和有效提升。发现的问题及原因：一是绩效目标的申报质量不高，指标不具体，不明确，不便于考核，预算执行中约束性不强，造成事后开展绩效评价时缺乏依据。二是财务人员对绩效目标管理学习</w:t>
      </w:r>
      <w:r>
        <w:rPr>
          <w:rFonts w:hint="eastAsia" w:ascii="仿宋_GB2312" w:hAnsi="仿宋_GB2312" w:eastAsia="仿宋_GB2312"/>
          <w:b w:val="0"/>
          <w:sz w:val="32"/>
          <w:lang w:eastAsia="zh-CN"/>
        </w:rPr>
        <w:t>得</w:t>
      </w:r>
      <w:r>
        <w:rPr>
          <w:rFonts w:ascii="仿宋_GB2312" w:hAnsi="仿宋_GB2312" w:eastAsia="仿宋_GB2312"/>
          <w:b w:val="0"/>
          <w:sz w:val="32"/>
        </w:rPr>
        <w:t>不够深入，理解上存在一定的欠缺。下一步改进措施：一是在项目执行中，财务部门与业务部门要加强联系沟通，确保项目资金能够按照财政部门的要求达到支出与项目完成的均衡性；二是明确职责分工，专人专岗，严格按照喀什地区儿童福利院财务管理制度支付资金，专款专用，确保资金使用规范有效；三是年初做好资金计划，按照项目进度及时拨付资金，使资金使用效益最大化，减少浪费，节约成本。具体附部门整体支出绩效自评表，项目支出绩效自评表和部门评价报告。</w:t>
      </w:r>
    </w:p>
    <w:p w14:paraId="7D3D4BA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5C9EBEB">
        <w:tc>
          <w:tcPr>
            <w:tcW w:w="8847" w:type="dxa"/>
            <w:gridSpan w:val="9"/>
            <w:vAlign w:val="center"/>
          </w:tcPr>
          <w:p w14:paraId="06971A85">
            <w:pPr>
              <w:jc w:val="center"/>
            </w:pPr>
            <w:r>
              <w:rPr>
                <w:rFonts w:ascii="宋体" w:hAnsi="宋体" w:eastAsia="宋体"/>
                <w:sz w:val="24"/>
              </w:rPr>
              <w:t>部门整体支出绩效自评表</w:t>
            </w:r>
          </w:p>
        </w:tc>
      </w:tr>
      <w:tr w14:paraId="645B1232">
        <w:tblPrEx>
          <w:tblCellMar>
            <w:top w:w="0" w:type="dxa"/>
            <w:left w:w="108" w:type="dxa"/>
            <w:bottom w:w="0" w:type="dxa"/>
            <w:right w:w="108" w:type="dxa"/>
          </w:tblCellMar>
        </w:tblPrEx>
        <w:tc>
          <w:tcPr>
            <w:tcW w:w="8847" w:type="dxa"/>
            <w:gridSpan w:val="9"/>
            <w:vAlign w:val="center"/>
          </w:tcPr>
          <w:p w14:paraId="21024E8F">
            <w:pPr>
              <w:jc w:val="center"/>
            </w:pPr>
            <w:r>
              <w:rPr>
                <w:rFonts w:ascii="宋体" w:hAnsi="宋体" w:eastAsia="宋体"/>
                <w:sz w:val="24"/>
              </w:rPr>
              <w:t>（2024年度）</w:t>
            </w:r>
          </w:p>
        </w:tc>
      </w:tr>
      <w:tr w14:paraId="6BBBDCF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3FE88">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E9DC2E1">
            <w:pPr>
              <w:jc w:val="center"/>
            </w:pPr>
            <w:r>
              <w:rPr>
                <w:rFonts w:ascii="宋体" w:hAnsi="宋体" w:eastAsia="宋体"/>
                <w:sz w:val="16"/>
              </w:rPr>
              <w:t>新疆维吾尔自治区喀什地区儿童福利院</w:t>
            </w:r>
          </w:p>
        </w:tc>
      </w:tr>
      <w:tr w14:paraId="795B841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A4EB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2133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A6C9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26CE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04AA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16B1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C617F">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53CD1">
            <w:pPr>
              <w:jc w:val="center"/>
            </w:pPr>
            <w:r>
              <w:rPr>
                <w:rFonts w:ascii="宋体" w:hAnsi="宋体" w:eastAsia="宋体"/>
                <w:sz w:val="16"/>
              </w:rPr>
              <w:t>得分</w:t>
            </w:r>
          </w:p>
        </w:tc>
      </w:tr>
      <w:tr w14:paraId="1D1810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79BA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8DBB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CF4B0">
            <w:pPr>
              <w:jc w:val="center"/>
            </w:pPr>
            <w:r>
              <w:rPr>
                <w:rFonts w:ascii="宋体" w:hAnsi="宋体" w:eastAsia="宋体"/>
                <w:sz w:val="16"/>
              </w:rPr>
              <w:t>869.65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BC862">
            <w:pPr>
              <w:jc w:val="center"/>
            </w:pPr>
            <w:r>
              <w:rPr>
                <w:rFonts w:ascii="宋体" w:hAnsi="宋体" w:eastAsia="宋体"/>
                <w:sz w:val="16"/>
              </w:rPr>
              <w:t>843.35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95379">
            <w:pPr>
              <w:jc w:val="center"/>
            </w:pPr>
            <w:r>
              <w:rPr>
                <w:rFonts w:ascii="宋体" w:hAnsi="宋体" w:eastAsia="宋体"/>
                <w:sz w:val="16"/>
              </w:rPr>
              <w:t>809.45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31C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14360">
            <w:pPr>
              <w:jc w:val="center"/>
            </w:pPr>
            <w:r>
              <w:rPr>
                <w:rFonts w:ascii="宋体" w:hAnsi="宋体" w:eastAsia="宋体"/>
                <w:sz w:val="16"/>
              </w:rPr>
              <w:t>95.98%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A1665">
            <w:pPr>
              <w:jc w:val="center"/>
            </w:pPr>
            <w:r>
              <w:rPr>
                <w:rFonts w:ascii="宋体" w:hAnsi="宋体" w:eastAsia="宋体"/>
                <w:sz w:val="16"/>
              </w:rPr>
              <w:t>10</w:t>
            </w:r>
          </w:p>
        </w:tc>
      </w:tr>
      <w:tr w14:paraId="31ECFD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7E19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2AD7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A2A35">
            <w:pPr>
              <w:jc w:val="center"/>
            </w:pPr>
            <w:r>
              <w:rPr>
                <w:rFonts w:ascii="宋体" w:hAnsi="宋体" w:eastAsia="宋体"/>
                <w:sz w:val="16"/>
              </w:rPr>
              <w:t>121.50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D134F">
            <w:pPr>
              <w:jc w:val="center"/>
            </w:pPr>
            <w:r>
              <w:rPr>
                <w:rFonts w:ascii="宋体" w:hAnsi="宋体" w:eastAsia="宋体"/>
                <w:sz w:val="16"/>
              </w:rPr>
              <w:t>125.74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B371A8">
            <w:pPr>
              <w:jc w:val="center"/>
            </w:pPr>
            <w:r>
              <w:rPr>
                <w:rFonts w:ascii="宋体" w:hAnsi="宋体" w:eastAsia="宋体"/>
                <w:sz w:val="16"/>
              </w:rPr>
              <w:t>113.95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711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47C1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CFC12">
            <w:pPr>
              <w:jc w:val="center"/>
            </w:pPr>
            <w:r>
              <w:rPr>
                <w:rFonts w:ascii="宋体" w:hAnsi="宋体" w:eastAsia="宋体"/>
                <w:sz w:val="16"/>
              </w:rPr>
              <w:t>—</w:t>
            </w:r>
          </w:p>
        </w:tc>
      </w:tr>
      <w:tr w14:paraId="0C7F56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0D37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431F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C9A64">
            <w:pPr>
              <w:jc w:val="center"/>
            </w:pPr>
            <w:r>
              <w:rPr>
                <w:rFonts w:ascii="宋体" w:hAnsi="宋体" w:eastAsia="宋体"/>
                <w:sz w:val="16"/>
              </w:rPr>
              <w:t>740.26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6EF6F">
            <w:pPr>
              <w:jc w:val="center"/>
            </w:pPr>
            <w:r>
              <w:rPr>
                <w:rFonts w:ascii="宋体" w:hAnsi="宋体" w:eastAsia="宋体"/>
                <w:sz w:val="16"/>
              </w:rPr>
              <w:t>709.72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4F87D">
            <w:pPr>
              <w:jc w:val="center"/>
            </w:pPr>
            <w:r>
              <w:rPr>
                <w:rFonts w:ascii="宋体" w:hAnsi="宋体" w:eastAsia="宋体"/>
                <w:sz w:val="16"/>
              </w:rPr>
              <w:t>695.50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A88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A4C7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881F2">
            <w:pPr>
              <w:jc w:val="center"/>
            </w:pPr>
            <w:r>
              <w:rPr>
                <w:rFonts w:ascii="宋体" w:hAnsi="宋体" w:eastAsia="宋体"/>
                <w:sz w:val="16"/>
              </w:rPr>
              <w:t>—</w:t>
            </w:r>
          </w:p>
        </w:tc>
      </w:tr>
      <w:tr w14:paraId="39C821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7A9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BC50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A9C6B7">
            <w:pPr>
              <w:jc w:val="center"/>
            </w:pPr>
            <w:r>
              <w:rPr>
                <w:rFonts w:ascii="宋体" w:hAnsi="宋体" w:eastAsia="宋体"/>
                <w:sz w:val="16"/>
              </w:rPr>
              <w:t>7.89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F394C">
            <w:pPr>
              <w:jc w:val="center"/>
            </w:pPr>
            <w:r>
              <w:rPr>
                <w:rFonts w:ascii="宋体" w:hAnsi="宋体" w:eastAsia="宋体"/>
                <w:sz w:val="16"/>
              </w:rPr>
              <w:t>7.89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A06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1D2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97BF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D9B1C">
            <w:pPr>
              <w:jc w:val="center"/>
            </w:pPr>
            <w:r>
              <w:rPr>
                <w:rFonts w:ascii="宋体" w:hAnsi="宋体" w:eastAsia="宋体"/>
                <w:sz w:val="16"/>
              </w:rPr>
              <w:t>—</w:t>
            </w:r>
          </w:p>
        </w:tc>
      </w:tr>
      <w:tr w14:paraId="691439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9EC0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BC0B2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9751AB">
            <w:pPr>
              <w:jc w:val="center"/>
            </w:pPr>
            <w:r>
              <w:rPr>
                <w:rFonts w:ascii="宋体" w:hAnsi="宋体" w:eastAsia="宋体"/>
                <w:sz w:val="16"/>
              </w:rPr>
              <w:t>实际完成情况</w:t>
            </w:r>
          </w:p>
        </w:tc>
      </w:tr>
      <w:tr w14:paraId="759F76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D9C49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2146BC">
            <w:pPr>
              <w:jc w:val="both"/>
            </w:pPr>
            <w:r>
              <w:rPr>
                <w:rFonts w:ascii="宋体" w:hAnsi="宋体" w:eastAsia="宋体"/>
                <w:sz w:val="16"/>
              </w:rPr>
              <w:t>我院孤弃儿童及事实无人抚养儿童在院供养对象人数为49人，主要是保障在院孤残儿童的基本生活费，做到应保尽保，资金按照标准及时发放；我院的孤弃儿童及事实无人抚养儿童补助覆盖率为100%，我们会做到应保尽保，全部用于孤儿，伙食，衣物，日常用品，教育，医疗等经费在内的开支，专款专用；对院内患病孤残儿童送医就诊及时率为100%，及时保障孤残儿童的送医就诊安全；对符合供养条件的孤儿办理入住及时率为100%，加强孤儿的基本生活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38A8C1">
            <w:pPr>
              <w:jc w:val="both"/>
            </w:pPr>
            <w:r>
              <w:rPr>
                <w:rFonts w:ascii="宋体" w:hAnsi="宋体" w:eastAsia="宋体"/>
                <w:sz w:val="16"/>
              </w:rPr>
              <w:t>我院孤弃儿童及事实无人抚养儿童在院供养对象人数为49人，保障了在院孤残儿童的基本生活，做到应保尽保，资金按照标准及时发放；我院的孤弃儿童及事实无人抚养儿童补助覆盖率为100%，对院内患病孤残儿童送医就诊及时率为100%，及时保障孤残儿童的送医就诊安全；对符合供养条件的孤儿办理入住及时率为100%，加强孤儿的基本生活保障。</w:t>
            </w:r>
          </w:p>
        </w:tc>
      </w:tr>
      <w:tr w14:paraId="5698E13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F24D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1F70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E5B9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A2AB3">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A331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7671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516C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8A15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607B6">
            <w:pPr>
              <w:jc w:val="center"/>
            </w:pPr>
            <w:r>
              <w:rPr>
                <w:rFonts w:ascii="宋体" w:hAnsi="宋体" w:eastAsia="宋体"/>
                <w:sz w:val="16"/>
              </w:rPr>
              <w:t>得分</w:t>
            </w:r>
          </w:p>
        </w:tc>
      </w:tr>
      <w:tr w14:paraId="3EDAC2B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C61363">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9972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54F90">
            <w:pPr>
              <w:jc w:val="center"/>
            </w:pPr>
            <w:r>
              <w:rPr>
                <w:rFonts w:ascii="宋体" w:hAnsi="宋体" w:eastAsia="宋体"/>
                <w:sz w:val="16"/>
              </w:rPr>
              <w:t>孤弃儿童及事实无人抚养儿童在院供养对象人数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437BF">
            <w:pPr>
              <w:jc w:val="center"/>
            </w:pPr>
            <w:r>
              <w:rPr>
                <w:rFonts w:ascii="宋体" w:hAnsi="宋体" w:eastAsia="宋体"/>
                <w:sz w:val="16"/>
              </w:rPr>
              <w:t>=49人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AF961">
            <w:pPr>
              <w:jc w:val="center"/>
            </w:pPr>
            <w:r>
              <w:rPr>
                <w:rFonts w:ascii="宋体" w:hAnsi="宋体" w:eastAsia="宋体"/>
                <w:sz w:val="16"/>
              </w:rPr>
              <w:t>关于印发《喀什地区民政局所属事业单位分类改革方案》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DA3C8">
            <w:pPr>
              <w:jc w:val="center"/>
            </w:pPr>
            <w:r>
              <w:rPr>
                <w:rFonts w:ascii="宋体" w:hAnsi="宋体" w:eastAsia="宋体"/>
                <w:sz w:val="16"/>
              </w:rPr>
              <w:t>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4D8E8">
            <w:pPr>
              <w:jc w:val="center"/>
            </w:pPr>
            <w:r>
              <w:rPr>
                <w:rFonts w:ascii="宋体" w:hAnsi="宋体" w:eastAsia="宋体"/>
                <w:sz w:val="16"/>
              </w:rPr>
              <w:t>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65F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17043">
            <w:pPr>
              <w:jc w:val="center"/>
            </w:pPr>
            <w:r>
              <w:rPr>
                <w:rFonts w:ascii="宋体" w:hAnsi="宋体" w:eastAsia="宋体"/>
                <w:sz w:val="16"/>
              </w:rPr>
              <w:t>21</w:t>
            </w:r>
          </w:p>
        </w:tc>
      </w:tr>
      <w:tr w14:paraId="139371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C004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B885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BDA49">
            <w:pPr>
              <w:jc w:val="center"/>
            </w:pPr>
            <w:r>
              <w:rPr>
                <w:rFonts w:ascii="宋体" w:hAnsi="宋体" w:eastAsia="宋体"/>
                <w:sz w:val="16"/>
              </w:rPr>
              <w:t>孤弃儿童及事实无人抚养儿童补助覆盖率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F09C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AED14">
            <w:pPr>
              <w:jc w:val="center"/>
            </w:pPr>
            <w:r>
              <w:rPr>
                <w:rFonts w:ascii="宋体" w:hAnsi="宋体" w:eastAsia="宋体"/>
                <w:sz w:val="16"/>
              </w:rPr>
              <w:t>喀什地区儿童福利院2023年工作总结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33F34">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736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DCF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9E36F">
            <w:pPr>
              <w:jc w:val="center"/>
            </w:pPr>
            <w:r>
              <w:rPr>
                <w:rFonts w:ascii="宋体" w:hAnsi="宋体" w:eastAsia="宋体"/>
                <w:sz w:val="16"/>
              </w:rPr>
              <w:t>23</w:t>
            </w:r>
          </w:p>
        </w:tc>
      </w:tr>
      <w:tr w14:paraId="490607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0A810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7E8E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D0F62">
            <w:pPr>
              <w:jc w:val="center"/>
            </w:pPr>
            <w:r>
              <w:rPr>
                <w:rFonts w:ascii="宋体" w:hAnsi="宋体" w:eastAsia="宋体"/>
                <w:sz w:val="16"/>
              </w:rPr>
              <w:t>对院内患病孤残儿童送医就诊及时率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224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EAA1F">
            <w:pPr>
              <w:jc w:val="center"/>
            </w:pPr>
            <w:r>
              <w:rPr>
                <w:rFonts w:ascii="宋体" w:hAnsi="宋体" w:eastAsia="宋体"/>
                <w:sz w:val="16"/>
              </w:rPr>
              <w:t>《关于印发基本公共服务领域自治区以下共同财政事权和支出责任划分改革方案的通知》新政办发</w:t>
            </w:r>
            <w:r>
              <w:rPr>
                <w:rFonts w:hint="eastAsia" w:ascii="宋体" w:hAnsi="宋体"/>
                <w:sz w:val="16"/>
                <w:lang w:eastAsia="zh-CN"/>
              </w:rPr>
              <w:t>〔2019〕99号</w:t>
            </w:r>
            <w:r>
              <w:rPr>
                <w:rFonts w:ascii="宋体" w:hAnsi="宋体" w:eastAsia="宋体"/>
                <w:sz w:val="16"/>
              </w:rPr>
              <w:t>文件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D33A6">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F13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A23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7CA0C">
            <w:pPr>
              <w:jc w:val="center"/>
            </w:pPr>
            <w:r>
              <w:rPr>
                <w:rFonts w:ascii="宋体" w:hAnsi="宋体" w:eastAsia="宋体"/>
                <w:sz w:val="16"/>
              </w:rPr>
              <w:t>23</w:t>
            </w:r>
          </w:p>
        </w:tc>
      </w:tr>
      <w:tr w14:paraId="49BC6E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2992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AB68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F6B01">
            <w:pPr>
              <w:jc w:val="center"/>
            </w:pPr>
            <w:r>
              <w:rPr>
                <w:rFonts w:ascii="宋体" w:hAnsi="宋体" w:eastAsia="宋体"/>
                <w:sz w:val="16"/>
              </w:rPr>
              <w:t>对符合供养条</w:t>
            </w:r>
            <w:r>
              <w:rPr>
                <w:rFonts w:hint="eastAsia" w:ascii="宋体" w:hAnsi="宋体"/>
                <w:sz w:val="16"/>
                <w:lang w:eastAsia="zh-CN"/>
              </w:rPr>
              <w:t>件的</w:t>
            </w:r>
            <w:r>
              <w:rPr>
                <w:rFonts w:ascii="宋体" w:hAnsi="宋体" w:eastAsia="宋体"/>
                <w:sz w:val="16"/>
              </w:rPr>
              <w:t>孤儿办理入住及时率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24A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ADB4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02732">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18E0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C9E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0DE2D">
            <w:pPr>
              <w:jc w:val="center"/>
            </w:pPr>
            <w:r>
              <w:rPr>
                <w:rFonts w:ascii="宋体" w:hAnsi="宋体" w:eastAsia="宋体"/>
                <w:sz w:val="16"/>
              </w:rPr>
              <w:t>23</w:t>
            </w:r>
          </w:p>
        </w:tc>
      </w:tr>
    </w:tbl>
    <w:p w14:paraId="7B559A92">
      <w:r>
        <w:br w:type="page"/>
      </w:r>
    </w:p>
    <w:tbl>
      <w:tblPr>
        <w:tblStyle w:val="9"/>
        <w:tblW w:w="0" w:type="auto"/>
        <w:tblInd w:w="0" w:type="dxa"/>
        <w:tblLayout w:type="autofit"/>
        <w:tblCellMar>
          <w:top w:w="0" w:type="dxa"/>
          <w:left w:w="108" w:type="dxa"/>
          <w:bottom w:w="0" w:type="dxa"/>
          <w:right w:w="108" w:type="dxa"/>
        </w:tblCellMar>
      </w:tblPr>
      <w:tblGrid>
        <w:gridCol w:w="617"/>
        <w:gridCol w:w="591"/>
        <w:gridCol w:w="591"/>
        <w:gridCol w:w="591"/>
        <w:gridCol w:w="776"/>
        <w:gridCol w:w="591"/>
        <w:gridCol w:w="776"/>
        <w:gridCol w:w="604"/>
        <w:gridCol w:w="591"/>
        <w:gridCol w:w="591"/>
        <w:gridCol w:w="936"/>
        <w:gridCol w:w="629"/>
        <w:gridCol w:w="545"/>
        <w:gridCol w:w="631"/>
      </w:tblGrid>
      <w:tr w14:paraId="5CB0EDC5">
        <w:tblPrEx>
          <w:tblCellMar>
            <w:top w:w="0" w:type="dxa"/>
            <w:left w:w="108" w:type="dxa"/>
            <w:bottom w:w="0" w:type="dxa"/>
            <w:right w:w="108" w:type="dxa"/>
          </w:tblCellMar>
        </w:tblPrEx>
        <w:tc>
          <w:tcPr>
            <w:tcW w:w="8848" w:type="dxa"/>
            <w:gridSpan w:val="14"/>
            <w:vAlign w:val="center"/>
          </w:tcPr>
          <w:p w14:paraId="67BB92A3">
            <w:pPr>
              <w:jc w:val="center"/>
            </w:pPr>
            <w:r>
              <w:rPr>
                <w:rFonts w:ascii="宋体" w:hAnsi="宋体" w:eastAsia="宋体"/>
                <w:sz w:val="24"/>
              </w:rPr>
              <w:t>项目支出绩效自评表</w:t>
            </w:r>
          </w:p>
        </w:tc>
      </w:tr>
      <w:tr w14:paraId="55FD0855">
        <w:tblPrEx>
          <w:tblCellMar>
            <w:top w:w="0" w:type="dxa"/>
            <w:left w:w="108" w:type="dxa"/>
            <w:bottom w:w="0" w:type="dxa"/>
            <w:right w:w="108" w:type="dxa"/>
          </w:tblCellMar>
        </w:tblPrEx>
        <w:tc>
          <w:tcPr>
            <w:tcW w:w="8848" w:type="dxa"/>
            <w:gridSpan w:val="14"/>
            <w:vAlign w:val="center"/>
          </w:tcPr>
          <w:p w14:paraId="0159C105">
            <w:pPr>
              <w:jc w:val="center"/>
            </w:pPr>
            <w:r>
              <w:rPr>
                <w:rFonts w:ascii="宋体" w:hAnsi="宋体" w:eastAsia="宋体"/>
                <w:sz w:val="24"/>
              </w:rPr>
              <w:t>(2024年度)</w:t>
            </w:r>
          </w:p>
        </w:tc>
      </w:tr>
      <w:tr w14:paraId="7E144C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2DE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4DC590">
            <w:pPr>
              <w:jc w:val="center"/>
            </w:pPr>
            <w:r>
              <w:rPr>
                <w:rFonts w:ascii="宋体" w:hAnsi="宋体" w:eastAsia="宋体"/>
                <w:sz w:val="16"/>
              </w:rPr>
              <w:t>2024年中央专项彩票公益金支持地方公益事业发展资金项目</w:t>
            </w:r>
          </w:p>
        </w:tc>
      </w:tr>
      <w:tr w14:paraId="317A74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1B5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4F2FAB">
            <w:pPr>
              <w:jc w:val="center"/>
            </w:pPr>
            <w:r>
              <w:rPr>
                <w:rFonts w:ascii="宋体" w:hAnsi="宋体" w:eastAsia="宋体"/>
                <w:sz w:val="16"/>
              </w:rPr>
              <w:t>新疆维吾尔自治区喀什地区儿童福利院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92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D4E189">
            <w:pPr>
              <w:jc w:val="center"/>
            </w:pPr>
            <w:r>
              <w:rPr>
                <w:rFonts w:ascii="宋体" w:hAnsi="宋体" w:eastAsia="宋体"/>
                <w:sz w:val="16"/>
              </w:rPr>
              <w:t>新疆维吾尔自治区喀什地区儿童福利院</w:t>
            </w:r>
          </w:p>
        </w:tc>
      </w:tr>
      <w:tr w14:paraId="278FCA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B04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F72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B22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513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65E8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A2EB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B20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470A">
            <w:pPr>
              <w:jc w:val="center"/>
            </w:pPr>
            <w:r>
              <w:rPr>
                <w:rFonts w:ascii="宋体" w:hAnsi="宋体" w:eastAsia="宋体"/>
                <w:sz w:val="16"/>
              </w:rPr>
              <w:t>得分</w:t>
            </w:r>
          </w:p>
        </w:tc>
      </w:tr>
      <w:tr w14:paraId="388D5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710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062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F3E94">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68D96">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A73C6">
            <w:pPr>
              <w:jc w:val="center"/>
            </w:pPr>
            <w:r>
              <w:rPr>
                <w:rFonts w:ascii="宋体" w:hAnsi="宋体" w:eastAsia="宋体"/>
                <w:sz w:val="16"/>
              </w:rPr>
              <w:t>6.04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07C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2BA96">
            <w:pPr>
              <w:jc w:val="center"/>
            </w:pPr>
            <w:r>
              <w:rPr>
                <w:rFonts w:ascii="宋体" w:hAnsi="宋体" w:eastAsia="宋体"/>
                <w:sz w:val="16"/>
              </w:rPr>
              <w:t>67.1%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CA804">
            <w:pPr>
              <w:jc w:val="center"/>
            </w:pPr>
            <w:r>
              <w:rPr>
                <w:rFonts w:ascii="宋体" w:hAnsi="宋体" w:eastAsia="宋体"/>
                <w:sz w:val="16"/>
              </w:rPr>
              <w:t>1.78分</w:t>
            </w:r>
          </w:p>
        </w:tc>
      </w:tr>
      <w:tr w14:paraId="6130D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669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D7C9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36AA4">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CAF62">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9007A">
            <w:pPr>
              <w:jc w:val="center"/>
            </w:pPr>
            <w:r>
              <w:rPr>
                <w:rFonts w:ascii="宋体" w:hAnsi="宋体" w:eastAsia="宋体"/>
                <w:sz w:val="16"/>
              </w:rPr>
              <w:t>6.04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8A6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0C2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6E1E">
            <w:pPr>
              <w:jc w:val="center"/>
            </w:pPr>
            <w:r>
              <w:rPr>
                <w:rFonts w:ascii="宋体" w:hAnsi="宋体" w:eastAsia="宋体"/>
                <w:sz w:val="16"/>
              </w:rPr>
              <w:t>—</w:t>
            </w:r>
          </w:p>
        </w:tc>
      </w:tr>
      <w:tr w14:paraId="32168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606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725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086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74D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C3C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B2C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D6A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00A04">
            <w:pPr>
              <w:jc w:val="center"/>
            </w:pPr>
            <w:r>
              <w:rPr>
                <w:rFonts w:ascii="宋体" w:hAnsi="宋体" w:eastAsia="宋体"/>
                <w:sz w:val="16"/>
              </w:rPr>
              <w:t>—</w:t>
            </w:r>
          </w:p>
        </w:tc>
      </w:tr>
      <w:tr w14:paraId="56A1E0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E01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E042E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892871">
            <w:pPr>
              <w:jc w:val="center"/>
            </w:pPr>
            <w:r>
              <w:rPr>
                <w:rFonts w:ascii="宋体" w:hAnsi="宋体" w:eastAsia="宋体"/>
                <w:sz w:val="16"/>
              </w:rPr>
              <w:t>实际完成情况</w:t>
            </w:r>
          </w:p>
        </w:tc>
      </w:tr>
      <w:tr w14:paraId="2D83EF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5F2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BDBF3D">
            <w:pPr>
              <w:jc w:val="both"/>
            </w:pPr>
            <w:r>
              <w:rPr>
                <w:rFonts w:ascii="宋体" w:hAnsi="宋体" w:eastAsia="宋体"/>
                <w:sz w:val="16"/>
              </w:rPr>
              <w:t>项目总投资9万元，根据财综</w:t>
            </w:r>
            <w:r>
              <w:rPr>
                <w:rFonts w:hint="eastAsia" w:ascii="宋体" w:hAnsi="宋体"/>
                <w:sz w:val="16"/>
                <w:lang w:eastAsia="zh-CN"/>
              </w:rPr>
              <w:t>〔2023〕44号</w:t>
            </w:r>
            <w:r>
              <w:rPr>
                <w:rFonts w:ascii="宋体" w:hAnsi="宋体" w:eastAsia="宋体"/>
                <w:sz w:val="16"/>
              </w:rPr>
              <w:t>文件决定，本项目主要内容用于保障院内9名孤残儿童的基本生活费等，为了实现社会救助对象认定精准，做到应保尽保；社会救助资金按照标准及时发放，发挥资金效益，群众困难得到有效解决；社会救助政策得到有效公平、公正落实；孤儿基本生活费必须全部用于孤儿伙食、衣物、日常用品、教育、医疗等经费在内的开支，专款专用，促进儿童健康、快乐成长，</w:t>
            </w:r>
            <w:r>
              <w:rPr>
                <w:rFonts w:hint="eastAsia" w:ascii="宋体" w:hAnsi="宋体"/>
                <w:sz w:val="16"/>
                <w:lang w:eastAsia="zh-CN"/>
              </w:rPr>
              <w:t>更好地</w:t>
            </w:r>
            <w:r>
              <w:rPr>
                <w:rFonts w:ascii="宋体" w:hAnsi="宋体" w:eastAsia="宋体"/>
                <w:sz w:val="16"/>
              </w:rPr>
              <w:t>融入社会的总目标。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4DB2BA">
            <w:pPr>
              <w:jc w:val="both"/>
            </w:pPr>
            <w:r>
              <w:rPr>
                <w:rFonts w:ascii="宋体" w:hAnsi="宋体" w:eastAsia="宋体"/>
                <w:sz w:val="16"/>
              </w:rPr>
              <w:t>项目总投资9万元，已执行6.04万元。本项目主要用于保障院内9名孤残儿童的基本生活费等，全部用于伙食、衣物、日常用品、教育、医疗等经费在内的开支，社会救助资金按照标准及时发放，发挥资金效益，群众困难得到有效解决。</w:t>
            </w:r>
          </w:p>
        </w:tc>
      </w:tr>
      <w:tr w14:paraId="04E2E6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5EFD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E2B9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43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5CC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DC56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862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76F0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21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0428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F65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C5F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BF00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C33D2">
            <w:pPr>
              <w:jc w:val="center"/>
            </w:pPr>
            <w:r>
              <w:rPr>
                <w:rFonts w:ascii="宋体" w:hAnsi="宋体" w:eastAsia="宋体"/>
                <w:sz w:val="16"/>
              </w:rPr>
              <w:t>偏差原因分析及改进措施</w:t>
            </w:r>
          </w:p>
        </w:tc>
      </w:tr>
      <w:tr w14:paraId="073B15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989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D38A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A34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FC1ED">
            <w:pPr>
              <w:jc w:val="center"/>
            </w:pPr>
            <w:r>
              <w:rPr>
                <w:rFonts w:ascii="宋体" w:hAnsi="宋体" w:eastAsia="宋体"/>
                <w:sz w:val="16"/>
              </w:rPr>
              <w:t>孤弃儿童及事实无人抚养儿童在院供养对象人数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7594">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F21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EE4BD">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946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39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B6F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89397">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8A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FF87B">
            <w:pPr>
              <w:jc w:val="center"/>
            </w:pPr>
          </w:p>
        </w:tc>
      </w:tr>
      <w:tr w14:paraId="5C9F34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E0D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14B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5E6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6457">
            <w:pPr>
              <w:jc w:val="center"/>
            </w:pPr>
            <w:r>
              <w:rPr>
                <w:rFonts w:ascii="宋体" w:hAnsi="宋体" w:eastAsia="宋体"/>
                <w:sz w:val="16"/>
              </w:rPr>
              <w:t>孤弃儿童及事实无人抚养儿童纳入保障范围率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CBA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AB0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E82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700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FAA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AC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53D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3440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A1192">
            <w:pPr>
              <w:jc w:val="center"/>
            </w:pPr>
          </w:p>
        </w:tc>
      </w:tr>
      <w:tr w14:paraId="75685F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C92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9F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14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3101F">
            <w:pPr>
              <w:jc w:val="center"/>
            </w:pPr>
            <w:r>
              <w:rPr>
                <w:rFonts w:ascii="宋体" w:hAnsi="宋体" w:eastAsia="宋体"/>
                <w:sz w:val="16"/>
              </w:rPr>
              <w:t>孤弃儿童及事实无人抚养儿童基本生活保障准确率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F1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2B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45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65F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F212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1B5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E7B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A1BD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1BB99">
            <w:pPr>
              <w:jc w:val="center"/>
            </w:pPr>
          </w:p>
        </w:tc>
      </w:tr>
      <w:tr w14:paraId="46B681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A63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602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F7DE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9075">
            <w:pPr>
              <w:jc w:val="center"/>
            </w:pPr>
            <w:r>
              <w:rPr>
                <w:rFonts w:ascii="宋体" w:hAnsi="宋体" w:eastAsia="宋体"/>
                <w:sz w:val="16"/>
              </w:rPr>
              <w:t>孤儿基本生活费按时支出率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EA9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635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C36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234A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BCE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B7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B6C3">
            <w:pPr>
              <w:jc w:val="center"/>
            </w:pPr>
            <w:r>
              <w:rPr>
                <w:rFonts w:ascii="宋体" w:hAnsi="宋体" w:eastAsia="宋体"/>
                <w:sz w:val="16"/>
              </w:rPr>
              <w:t>=67.11%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8D7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BD50D">
            <w:pPr>
              <w:jc w:val="center"/>
            </w:pPr>
            <w:r>
              <w:rPr>
                <w:rFonts w:ascii="宋体" w:hAnsi="宋体" w:eastAsia="宋体"/>
                <w:sz w:val="16"/>
              </w:rPr>
              <w:t>偏差原因：因为交学费时间不一致，资金支付缓慢，资金zhii。改进建议：精准设置目标值及严格支付资金</w:t>
            </w:r>
          </w:p>
        </w:tc>
      </w:tr>
      <w:tr w14:paraId="0F752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588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D21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1D5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EDD4C">
            <w:pPr>
              <w:jc w:val="center"/>
            </w:pPr>
            <w:r>
              <w:rPr>
                <w:rFonts w:ascii="宋体" w:hAnsi="宋体" w:eastAsia="宋体"/>
                <w:sz w:val="16"/>
              </w:rPr>
              <w:t>对院内患病孤残儿童送医就诊及时率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FD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821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752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6B0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6E13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1C3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C1F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6C5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E104C">
            <w:pPr>
              <w:jc w:val="center"/>
            </w:pPr>
          </w:p>
        </w:tc>
      </w:tr>
      <w:tr w14:paraId="22E26F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F13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96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225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372BC">
            <w:pPr>
              <w:jc w:val="center"/>
            </w:pPr>
            <w:r>
              <w:rPr>
                <w:rFonts w:ascii="宋体" w:hAnsi="宋体" w:eastAsia="宋体"/>
                <w:sz w:val="16"/>
              </w:rPr>
              <w:t>对符合供养条</w:t>
            </w:r>
            <w:r>
              <w:rPr>
                <w:rFonts w:hint="eastAsia" w:ascii="宋体" w:hAnsi="宋体"/>
                <w:sz w:val="16"/>
                <w:lang w:eastAsia="zh-CN"/>
              </w:rPr>
              <w:t>件的</w:t>
            </w:r>
            <w:r>
              <w:rPr>
                <w:rFonts w:ascii="宋体" w:hAnsi="宋体" w:eastAsia="宋体"/>
                <w:sz w:val="16"/>
              </w:rPr>
              <w:t>孤儿办理入住及时率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F6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492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941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164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B65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DCF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18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A043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1F893">
            <w:pPr>
              <w:jc w:val="center"/>
            </w:pPr>
          </w:p>
        </w:tc>
      </w:tr>
      <w:tr w14:paraId="4F5128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698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08C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2CD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9BEF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420BE">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110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D35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0F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729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7E6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6D281">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83B2">
            <w:pPr>
              <w:jc w:val="center"/>
            </w:pPr>
            <w:r>
              <w:rPr>
                <w:rFonts w:ascii="宋体" w:hAnsi="宋体" w:eastAsia="宋体"/>
                <w:sz w:val="16"/>
              </w:rPr>
              <w:t>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F90C9">
            <w:pPr>
              <w:jc w:val="center"/>
            </w:pPr>
            <w:r>
              <w:rPr>
                <w:rFonts w:ascii="宋体" w:hAnsi="宋体" w:eastAsia="宋体"/>
                <w:sz w:val="16"/>
              </w:rPr>
              <w:t>偏差原因：设置完成时间不够严谨。改进建议：合理设置时间节点按时间节点完成项目</w:t>
            </w:r>
          </w:p>
        </w:tc>
      </w:tr>
      <w:tr w14:paraId="51E807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2BD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C956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DB43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4799B">
            <w:pPr>
              <w:jc w:val="center"/>
            </w:pPr>
            <w:r>
              <w:rPr>
                <w:rFonts w:ascii="宋体" w:hAnsi="宋体" w:eastAsia="宋体"/>
                <w:sz w:val="16"/>
              </w:rPr>
              <w:t>补助发放平均数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22AB">
            <w:pPr>
              <w:jc w:val="center"/>
            </w:pPr>
            <w:r>
              <w:rPr>
                <w:rFonts w:ascii="宋体" w:hAnsi="宋体" w:eastAsia="宋体"/>
                <w:sz w:val="16"/>
              </w:rPr>
              <w:t>&lt;=10000元/人/年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197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39A52">
            <w:pPr>
              <w:jc w:val="center"/>
            </w:pPr>
            <w:r>
              <w:rPr>
                <w:rFonts w:ascii="宋体" w:hAnsi="宋体" w:eastAsia="宋体"/>
                <w:sz w:val="16"/>
              </w:rPr>
              <w:t>&lt;=10000元/人/年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90F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9EF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41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D22A">
            <w:pPr>
              <w:jc w:val="center"/>
            </w:pPr>
            <w:r>
              <w:rPr>
                <w:rFonts w:ascii="宋体" w:hAnsi="宋体" w:eastAsia="宋体"/>
                <w:sz w:val="16"/>
              </w:rPr>
              <w:t>&lt;=6711.11元/人/年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F941">
            <w:pPr>
              <w:jc w:val="center"/>
            </w:pPr>
            <w:r>
              <w:rPr>
                <w:rFonts w:ascii="宋体" w:hAnsi="宋体" w:eastAsia="宋体"/>
                <w:sz w:val="16"/>
              </w:rPr>
              <w:t>3.55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CCCF4">
            <w:pPr>
              <w:jc w:val="center"/>
            </w:pPr>
            <w:r>
              <w:rPr>
                <w:rFonts w:ascii="宋体" w:hAnsi="宋体" w:eastAsia="宋体"/>
                <w:sz w:val="16"/>
              </w:rPr>
              <w:t>偏差原因：资金管理不够细化。改进建议：精准设置目标值及严格支付资金</w:t>
            </w:r>
          </w:p>
        </w:tc>
      </w:tr>
      <w:tr w14:paraId="70FAE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FE5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EF0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68B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6C4B6">
            <w:pPr>
              <w:jc w:val="center"/>
            </w:pPr>
            <w:r>
              <w:rPr>
                <w:rFonts w:ascii="宋体" w:hAnsi="宋体" w:eastAsia="宋体"/>
                <w:sz w:val="16"/>
              </w:rPr>
              <w:t>加强孤儿基本生活保障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F91E">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1E3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3A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86E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9A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E32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54234">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031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59105">
            <w:pPr>
              <w:jc w:val="center"/>
            </w:pPr>
          </w:p>
        </w:tc>
      </w:tr>
      <w:tr w14:paraId="2A31E4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937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1C7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5D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9C02A">
            <w:pPr>
              <w:jc w:val="center"/>
            </w:pPr>
            <w:r>
              <w:rPr>
                <w:rFonts w:ascii="宋体" w:hAnsi="宋体" w:eastAsia="宋体"/>
                <w:sz w:val="16"/>
              </w:rPr>
              <w:t>供养对象满意度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43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790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8CD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EC7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E6C5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119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66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DB3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6EF5C">
            <w:pPr>
              <w:jc w:val="center"/>
            </w:pPr>
          </w:p>
        </w:tc>
      </w:tr>
      <w:tr w14:paraId="42EAFD5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428D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6B2C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2A4EF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9EFA0">
            <w:pPr>
              <w:jc w:val="center"/>
            </w:pPr>
            <w:r>
              <w:rPr>
                <w:rFonts w:ascii="宋体" w:hAnsi="宋体" w:eastAsia="宋体"/>
                <w:sz w:val="16"/>
              </w:rPr>
              <w:t>66.22分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59CEB80"/>
        </w:tc>
      </w:tr>
    </w:tbl>
    <w:p w14:paraId="2CC434A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6594E2A">
        <w:tblPrEx>
          <w:tblCellMar>
            <w:top w:w="0" w:type="dxa"/>
            <w:left w:w="108" w:type="dxa"/>
            <w:bottom w:w="0" w:type="dxa"/>
            <w:right w:w="108" w:type="dxa"/>
          </w:tblCellMar>
        </w:tblPrEx>
        <w:tc>
          <w:tcPr>
            <w:tcW w:w="8848" w:type="dxa"/>
            <w:gridSpan w:val="14"/>
            <w:vAlign w:val="center"/>
          </w:tcPr>
          <w:p w14:paraId="0C7CB8AD">
            <w:pPr>
              <w:jc w:val="center"/>
            </w:pPr>
            <w:r>
              <w:rPr>
                <w:rFonts w:ascii="宋体" w:hAnsi="宋体" w:eastAsia="宋体"/>
                <w:sz w:val="24"/>
              </w:rPr>
              <w:t>项目支出绩效自评表</w:t>
            </w:r>
          </w:p>
        </w:tc>
      </w:tr>
      <w:tr w14:paraId="53A0FBA7">
        <w:tblPrEx>
          <w:tblCellMar>
            <w:top w:w="0" w:type="dxa"/>
            <w:left w:w="108" w:type="dxa"/>
            <w:bottom w:w="0" w:type="dxa"/>
            <w:right w:w="108" w:type="dxa"/>
          </w:tblCellMar>
        </w:tblPrEx>
        <w:tc>
          <w:tcPr>
            <w:tcW w:w="8848" w:type="dxa"/>
            <w:gridSpan w:val="14"/>
            <w:vAlign w:val="center"/>
          </w:tcPr>
          <w:p w14:paraId="3CFF3DE3">
            <w:pPr>
              <w:jc w:val="center"/>
            </w:pPr>
            <w:r>
              <w:rPr>
                <w:rFonts w:ascii="宋体" w:hAnsi="宋体" w:eastAsia="宋体"/>
                <w:sz w:val="24"/>
              </w:rPr>
              <w:t>(2024年度)</w:t>
            </w:r>
          </w:p>
        </w:tc>
      </w:tr>
      <w:tr w14:paraId="5C0BE1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8B48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3865CA">
            <w:pPr>
              <w:jc w:val="center"/>
            </w:pPr>
            <w:r>
              <w:rPr>
                <w:rFonts w:ascii="宋体" w:hAnsi="宋体" w:eastAsia="宋体"/>
                <w:sz w:val="16"/>
              </w:rPr>
              <w:t>设施设备维修维护项目</w:t>
            </w:r>
          </w:p>
        </w:tc>
      </w:tr>
      <w:tr w14:paraId="288FAA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98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C3A6C9">
            <w:pPr>
              <w:jc w:val="center"/>
            </w:pPr>
            <w:r>
              <w:rPr>
                <w:rFonts w:ascii="宋体" w:hAnsi="宋体" w:eastAsia="宋体"/>
                <w:sz w:val="16"/>
              </w:rPr>
              <w:t>新疆维吾尔自治区喀什地区儿童福利院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429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5CA84A">
            <w:pPr>
              <w:jc w:val="center"/>
            </w:pPr>
            <w:r>
              <w:rPr>
                <w:rFonts w:ascii="宋体" w:hAnsi="宋体" w:eastAsia="宋体"/>
                <w:sz w:val="16"/>
              </w:rPr>
              <w:t>新疆维吾尔自治区喀什地区儿童福利院</w:t>
            </w:r>
          </w:p>
        </w:tc>
      </w:tr>
      <w:tr w14:paraId="61847E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9269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8DA7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F7D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D380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CFD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347C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E25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FA848">
            <w:pPr>
              <w:jc w:val="center"/>
            </w:pPr>
            <w:r>
              <w:rPr>
                <w:rFonts w:ascii="宋体" w:hAnsi="宋体" w:eastAsia="宋体"/>
                <w:sz w:val="16"/>
              </w:rPr>
              <w:t>得分</w:t>
            </w:r>
          </w:p>
        </w:tc>
      </w:tr>
      <w:tr w14:paraId="5D67AF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0D7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FCB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B689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09FB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4559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DCD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E0FA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D03B4">
            <w:pPr>
              <w:jc w:val="center"/>
            </w:pPr>
            <w:r>
              <w:rPr>
                <w:rFonts w:ascii="宋体" w:hAnsi="宋体" w:eastAsia="宋体"/>
                <w:sz w:val="16"/>
              </w:rPr>
              <w:t>10.00分</w:t>
            </w:r>
          </w:p>
        </w:tc>
      </w:tr>
      <w:tr w14:paraId="164C11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4EA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B0C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4EC2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3999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15D8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88E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D08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3DFAA">
            <w:pPr>
              <w:jc w:val="center"/>
            </w:pPr>
            <w:r>
              <w:rPr>
                <w:rFonts w:ascii="宋体" w:hAnsi="宋体" w:eastAsia="宋体"/>
                <w:sz w:val="16"/>
              </w:rPr>
              <w:t>—</w:t>
            </w:r>
          </w:p>
        </w:tc>
      </w:tr>
      <w:tr w14:paraId="436E0A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AA8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2E02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733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784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441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727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CA7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B22B">
            <w:pPr>
              <w:jc w:val="center"/>
            </w:pPr>
            <w:r>
              <w:rPr>
                <w:rFonts w:ascii="宋体" w:hAnsi="宋体" w:eastAsia="宋体"/>
                <w:sz w:val="16"/>
              </w:rPr>
              <w:t>—</w:t>
            </w:r>
          </w:p>
        </w:tc>
      </w:tr>
      <w:tr w14:paraId="168ACF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B9DAB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4E58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67D348">
            <w:pPr>
              <w:jc w:val="center"/>
            </w:pPr>
            <w:r>
              <w:rPr>
                <w:rFonts w:ascii="宋体" w:hAnsi="宋体" w:eastAsia="宋体"/>
                <w:sz w:val="16"/>
              </w:rPr>
              <w:t>实际完成情况</w:t>
            </w:r>
          </w:p>
        </w:tc>
      </w:tr>
      <w:tr w14:paraId="60B9AA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C719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496A7A">
            <w:pPr>
              <w:jc w:val="both"/>
            </w:pPr>
            <w:r>
              <w:rPr>
                <w:rFonts w:ascii="宋体" w:hAnsi="宋体" w:eastAsia="宋体"/>
                <w:sz w:val="16"/>
              </w:rPr>
              <w:t>项目总成本5万元，项目资金用于院内维修维护，涉及类别为2类，具体内容有水、电、暖、生活设施，消防设施等后勤维修维护保障，设备日常维修维护，消除隐患，改善和提高在院儿童的服务水平，为在院孤残儿童及事实无人抚养儿童提供舒适、安全的生活和学习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D3465F">
            <w:pPr>
              <w:jc w:val="both"/>
            </w:pPr>
            <w:r>
              <w:rPr>
                <w:rFonts w:hint="eastAsia" w:ascii="宋体" w:hAnsi="宋体"/>
                <w:sz w:val="16"/>
                <w:lang w:eastAsia="zh-CN"/>
              </w:rPr>
              <w:t>截至</w:t>
            </w:r>
            <w:r>
              <w:rPr>
                <w:rFonts w:ascii="宋体" w:hAnsi="宋体" w:eastAsia="宋体"/>
                <w:sz w:val="16"/>
              </w:rPr>
              <w:t>2024年12月底，此项目5万元已全部执行完，涉及类别为后勤保障和消防设施设备维护，具体内容有水、电、暖、生活设施，消防设施等后勤维修维护保障，消除了院内的安全隐患，保障了在院人员的安全生活。</w:t>
            </w:r>
          </w:p>
        </w:tc>
      </w:tr>
      <w:tr w14:paraId="45653F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3842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8F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531F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0BF7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72A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35E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959C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56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283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C2E6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6F33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B90C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F7F29">
            <w:pPr>
              <w:jc w:val="center"/>
            </w:pPr>
            <w:r>
              <w:rPr>
                <w:rFonts w:ascii="宋体" w:hAnsi="宋体" w:eastAsia="宋体"/>
                <w:sz w:val="16"/>
              </w:rPr>
              <w:t>偏差原因分析及改进措施</w:t>
            </w:r>
          </w:p>
        </w:tc>
      </w:tr>
      <w:tr w14:paraId="6144D7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178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2BA82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30E2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625A5">
            <w:pPr>
              <w:jc w:val="center"/>
            </w:pPr>
            <w:r>
              <w:rPr>
                <w:rFonts w:ascii="宋体" w:hAnsi="宋体" w:eastAsia="宋体"/>
                <w:sz w:val="16"/>
              </w:rPr>
              <w:t>后勤保障维修维护数量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2F77">
            <w:pPr>
              <w:jc w:val="center"/>
            </w:pPr>
            <w:r>
              <w:rPr>
                <w:rFonts w:ascii="宋体" w:hAnsi="宋体" w:eastAsia="宋体"/>
                <w:sz w:val="16"/>
              </w:rPr>
              <w:t>&gt;=1类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10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B8BE">
            <w:pPr>
              <w:jc w:val="center"/>
            </w:pPr>
            <w:r>
              <w:rPr>
                <w:rFonts w:ascii="宋体" w:hAnsi="宋体" w:eastAsia="宋体"/>
                <w:sz w:val="16"/>
              </w:rPr>
              <w:t>1类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A41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D08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85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D6ACB">
            <w:pPr>
              <w:jc w:val="center"/>
            </w:pPr>
            <w:r>
              <w:rPr>
                <w:rFonts w:ascii="宋体" w:hAnsi="宋体" w:eastAsia="宋体"/>
                <w:sz w:val="16"/>
              </w:rPr>
              <w:t>=1类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CA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C8D80">
            <w:pPr>
              <w:jc w:val="center"/>
            </w:pPr>
          </w:p>
        </w:tc>
      </w:tr>
      <w:tr w14:paraId="37EDE5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249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FB7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5C9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BE37">
            <w:pPr>
              <w:jc w:val="center"/>
            </w:pPr>
            <w:r>
              <w:rPr>
                <w:rFonts w:ascii="宋体" w:hAnsi="宋体" w:eastAsia="宋体"/>
                <w:sz w:val="16"/>
              </w:rPr>
              <w:t>设备维修维护数量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CE3D4">
            <w:pPr>
              <w:jc w:val="center"/>
            </w:pPr>
            <w:r>
              <w:rPr>
                <w:rFonts w:ascii="宋体" w:hAnsi="宋体" w:eastAsia="宋体"/>
                <w:sz w:val="16"/>
              </w:rPr>
              <w:t>&gt;=1类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A7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3DE6">
            <w:pPr>
              <w:jc w:val="center"/>
            </w:pPr>
            <w:r>
              <w:rPr>
                <w:rFonts w:ascii="宋体" w:hAnsi="宋体" w:eastAsia="宋体"/>
                <w:sz w:val="16"/>
              </w:rPr>
              <w:t>1类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2F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CFF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560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CA9C">
            <w:pPr>
              <w:jc w:val="center"/>
            </w:pPr>
            <w:r>
              <w:rPr>
                <w:rFonts w:ascii="宋体" w:hAnsi="宋体" w:eastAsia="宋体"/>
                <w:sz w:val="16"/>
              </w:rPr>
              <w:t>=1类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B8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FF817">
            <w:pPr>
              <w:jc w:val="center"/>
            </w:pPr>
          </w:p>
        </w:tc>
      </w:tr>
      <w:tr w14:paraId="37BDA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E7C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0D1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72D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C34C">
            <w:pPr>
              <w:jc w:val="center"/>
            </w:pPr>
            <w:r>
              <w:rPr>
                <w:rFonts w:ascii="宋体" w:hAnsi="宋体" w:eastAsia="宋体"/>
                <w:sz w:val="16"/>
              </w:rPr>
              <w:t>设施设备维修维护故障率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2E135">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A88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ED3C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DBE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B08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A35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8F4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4F3E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DA558">
            <w:pPr>
              <w:jc w:val="center"/>
            </w:pPr>
          </w:p>
        </w:tc>
      </w:tr>
      <w:tr w14:paraId="71B52F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BB8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FA4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AC7D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0F9A7">
            <w:pPr>
              <w:jc w:val="center"/>
            </w:pPr>
            <w:r>
              <w:rPr>
                <w:rFonts w:ascii="宋体" w:hAnsi="宋体" w:eastAsia="宋体"/>
                <w:sz w:val="16"/>
              </w:rPr>
              <w:t>维修维护及时率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235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F58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0B4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AF5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F29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38B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1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7396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13A24">
            <w:pPr>
              <w:jc w:val="center"/>
            </w:pPr>
          </w:p>
        </w:tc>
      </w:tr>
      <w:tr w14:paraId="63437C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9D1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5AE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D4A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170C">
            <w:pPr>
              <w:jc w:val="center"/>
            </w:pPr>
            <w:r>
              <w:rPr>
                <w:rFonts w:ascii="宋体" w:hAnsi="宋体" w:eastAsia="宋体"/>
                <w:sz w:val="16"/>
              </w:rPr>
              <w:t>维修维护响应时间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3C63">
            <w:pPr>
              <w:jc w:val="center"/>
            </w:pPr>
            <w:r>
              <w:rPr>
                <w:rFonts w:ascii="宋体" w:hAnsi="宋体" w:eastAsia="宋体"/>
                <w:sz w:val="16"/>
              </w:rPr>
              <w:t>&lt;=24小时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AB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93DC">
            <w:pPr>
              <w:jc w:val="center"/>
            </w:pPr>
            <w:r>
              <w:rPr>
                <w:rFonts w:ascii="宋体" w:hAnsi="宋体" w:eastAsia="宋体"/>
                <w:sz w:val="16"/>
              </w:rPr>
              <w: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CB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CD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5A5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2537">
            <w:pPr>
              <w:jc w:val="center"/>
            </w:pPr>
            <w:r>
              <w:rPr>
                <w:rFonts w:ascii="宋体" w:hAnsi="宋体" w:eastAsia="宋体"/>
                <w:sz w:val="16"/>
              </w:rPr>
              <w:t>=24小时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477E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FA7BA">
            <w:pPr>
              <w:jc w:val="center"/>
            </w:pPr>
          </w:p>
        </w:tc>
      </w:tr>
      <w:tr w14:paraId="436876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44E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5F2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696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EE6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965E">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1B9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68A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59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C86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84A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FDBC7">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868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3BB19">
            <w:pPr>
              <w:jc w:val="center"/>
            </w:pPr>
          </w:p>
        </w:tc>
      </w:tr>
      <w:tr w14:paraId="56FE04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425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3ECA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91FA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F938">
            <w:pPr>
              <w:jc w:val="center"/>
            </w:pPr>
            <w:r>
              <w:rPr>
                <w:rFonts w:ascii="宋体" w:hAnsi="宋体" w:eastAsia="宋体"/>
                <w:sz w:val="16"/>
              </w:rPr>
              <w:t>后勤保障维修维护成本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C13D7">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2C5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13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06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5F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5A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6F92C">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FF5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5CC26">
            <w:pPr>
              <w:jc w:val="center"/>
            </w:pPr>
          </w:p>
        </w:tc>
      </w:tr>
      <w:tr w14:paraId="7D8F55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8DA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341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CEF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9C04E">
            <w:pPr>
              <w:jc w:val="center"/>
            </w:pPr>
            <w:r>
              <w:rPr>
                <w:rFonts w:ascii="宋体" w:hAnsi="宋体" w:eastAsia="宋体"/>
                <w:sz w:val="16"/>
              </w:rPr>
              <w:t>设备维修维护成本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8E87">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BB8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86F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590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35F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7CE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539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83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88A08">
            <w:pPr>
              <w:jc w:val="center"/>
            </w:pPr>
          </w:p>
        </w:tc>
      </w:tr>
      <w:tr w14:paraId="2CDD6F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89B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A51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319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FBAB">
            <w:pPr>
              <w:jc w:val="center"/>
            </w:pPr>
            <w:r>
              <w:rPr>
                <w:rFonts w:ascii="宋体" w:hAnsi="宋体" w:eastAsia="宋体"/>
                <w:sz w:val="16"/>
              </w:rPr>
              <w:t>消除院内安全隐患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BAD74">
            <w:pPr>
              <w:jc w:val="center"/>
            </w:pPr>
            <w:r>
              <w:rPr>
                <w:rFonts w:ascii="宋体" w:hAnsi="宋体" w:eastAsia="宋体"/>
                <w:sz w:val="16"/>
              </w:rPr>
              <w:t>消除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28F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089C6">
            <w:pPr>
              <w:jc w:val="center"/>
            </w:pPr>
            <w:r>
              <w:rPr>
                <w:rFonts w:ascii="宋体" w:hAnsi="宋体" w:eastAsia="宋体"/>
                <w:sz w:val="16"/>
              </w:rPr>
              <w:t>消除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488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6F0B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1E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2F48E">
            <w:pPr>
              <w:jc w:val="center"/>
            </w:pPr>
            <w:r>
              <w:rPr>
                <w:rFonts w:ascii="宋体" w:hAnsi="宋体" w:eastAsia="宋体"/>
                <w:sz w:val="16"/>
              </w:rPr>
              <w:t>消除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3B02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DEDF5">
            <w:pPr>
              <w:jc w:val="center"/>
            </w:pPr>
          </w:p>
        </w:tc>
      </w:tr>
      <w:tr w14:paraId="4480E7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7A3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7A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E43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4936B">
            <w:pPr>
              <w:jc w:val="center"/>
            </w:pPr>
            <w:r>
              <w:rPr>
                <w:rFonts w:ascii="宋体" w:hAnsi="宋体" w:eastAsia="宋体"/>
                <w:sz w:val="16"/>
              </w:rPr>
              <w:t>受益儿童对其工作满意度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DB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517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095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D50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92F6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DE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7A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E05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C64F4">
            <w:pPr>
              <w:jc w:val="center"/>
            </w:pPr>
          </w:p>
        </w:tc>
      </w:tr>
      <w:tr w14:paraId="0E3E86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F301F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D59E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AA6E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14B9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7DB6BB7"/>
        </w:tc>
      </w:tr>
    </w:tbl>
    <w:p w14:paraId="0341B8B2">
      <w:r>
        <w:br w:type="page"/>
      </w:r>
    </w:p>
    <w:p w14:paraId="33A690B6">
      <w:pPr>
        <w:spacing w:line="640" w:lineRule="exact"/>
        <w:ind w:firstLine="640"/>
        <w:jc w:val="both"/>
        <w:outlineLvl w:val="2"/>
      </w:pPr>
      <w:r>
        <w:rPr>
          <w:rFonts w:ascii="黑体" w:hAnsi="黑体" w:eastAsia="黑体"/>
          <w:sz w:val="32"/>
        </w:rPr>
        <w:t>十二、其他需说明的事项</w:t>
      </w:r>
    </w:p>
    <w:p w14:paraId="7CEBA247">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项目2个，全年预算数62.74万元，全年执行数58.24万元。</w:t>
      </w:r>
      <w:bookmarkStart w:id="0" w:name="_GoBack"/>
      <w:bookmarkEnd w:id="0"/>
    </w:p>
    <w:p w14:paraId="33D09400">
      <w:r>
        <w:br w:type="page"/>
      </w:r>
    </w:p>
    <w:p w14:paraId="514B0992">
      <w:pPr>
        <w:spacing w:line="240" w:lineRule="auto"/>
        <w:jc w:val="center"/>
        <w:outlineLvl w:val="1"/>
      </w:pPr>
      <w:r>
        <w:rPr>
          <w:rFonts w:ascii="黑体" w:hAnsi="黑体" w:eastAsia="黑体"/>
          <w:sz w:val="32"/>
        </w:rPr>
        <w:t>第三部分 专业名词解释</w:t>
      </w:r>
    </w:p>
    <w:p w14:paraId="1623321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4855A3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25A965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F315F9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CD4244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E9EDA1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2EA647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D9948C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64FC6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647CEE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09EB6B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DE7F98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A77B35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3A7678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FF299CB">
      <w:r>
        <w:br w:type="page"/>
      </w:r>
    </w:p>
    <w:p w14:paraId="39B66AE6">
      <w:pPr>
        <w:spacing w:line="240" w:lineRule="auto"/>
        <w:jc w:val="center"/>
        <w:outlineLvl w:val="1"/>
      </w:pPr>
      <w:r>
        <w:rPr>
          <w:rFonts w:ascii="黑体" w:hAnsi="黑体" w:eastAsia="黑体"/>
          <w:sz w:val="32"/>
        </w:rPr>
        <w:t>第四部分 部门决算报表（见附表）</w:t>
      </w:r>
    </w:p>
    <w:p w14:paraId="6B7D3D83">
      <w:pPr>
        <w:spacing w:line="240" w:lineRule="auto"/>
        <w:ind w:firstLine="640"/>
        <w:jc w:val="both"/>
      </w:pPr>
      <w:r>
        <w:rPr>
          <w:rFonts w:ascii="仿宋_GB2312" w:hAnsi="仿宋_GB2312" w:eastAsia="仿宋_GB2312"/>
          <w:b w:val="0"/>
          <w:sz w:val="32"/>
        </w:rPr>
        <w:t>一、《收入支出决算总表》</w:t>
      </w:r>
    </w:p>
    <w:p w14:paraId="00F075E6">
      <w:pPr>
        <w:spacing w:line="240" w:lineRule="auto"/>
        <w:ind w:firstLine="640"/>
        <w:jc w:val="both"/>
      </w:pPr>
      <w:r>
        <w:rPr>
          <w:rFonts w:ascii="仿宋_GB2312" w:hAnsi="仿宋_GB2312" w:eastAsia="仿宋_GB2312"/>
          <w:b w:val="0"/>
          <w:sz w:val="32"/>
        </w:rPr>
        <w:t>二、《收入决算表》</w:t>
      </w:r>
    </w:p>
    <w:p w14:paraId="2CBA2159">
      <w:pPr>
        <w:spacing w:line="240" w:lineRule="auto"/>
        <w:ind w:firstLine="640"/>
        <w:jc w:val="both"/>
      </w:pPr>
      <w:r>
        <w:rPr>
          <w:rFonts w:ascii="仿宋_GB2312" w:hAnsi="仿宋_GB2312" w:eastAsia="仿宋_GB2312"/>
          <w:b w:val="0"/>
          <w:sz w:val="32"/>
        </w:rPr>
        <w:t>三、《支出决算表》</w:t>
      </w:r>
    </w:p>
    <w:p w14:paraId="3070822A">
      <w:pPr>
        <w:spacing w:line="240" w:lineRule="auto"/>
        <w:ind w:firstLine="640"/>
        <w:jc w:val="both"/>
      </w:pPr>
      <w:r>
        <w:rPr>
          <w:rFonts w:ascii="仿宋_GB2312" w:hAnsi="仿宋_GB2312" w:eastAsia="仿宋_GB2312"/>
          <w:b w:val="0"/>
          <w:sz w:val="32"/>
        </w:rPr>
        <w:t>四、《财政拨款收入支出决算总表》</w:t>
      </w:r>
    </w:p>
    <w:p w14:paraId="4459B5A6">
      <w:pPr>
        <w:spacing w:line="240" w:lineRule="auto"/>
        <w:ind w:firstLine="640"/>
        <w:jc w:val="both"/>
      </w:pPr>
      <w:r>
        <w:rPr>
          <w:rFonts w:ascii="仿宋_GB2312" w:hAnsi="仿宋_GB2312" w:eastAsia="仿宋_GB2312"/>
          <w:b w:val="0"/>
          <w:sz w:val="32"/>
        </w:rPr>
        <w:t>五、《一般公共预算财政拨款支出决算表》</w:t>
      </w:r>
    </w:p>
    <w:p w14:paraId="53CB7CF1">
      <w:pPr>
        <w:spacing w:line="240" w:lineRule="auto"/>
        <w:ind w:firstLine="640"/>
        <w:jc w:val="both"/>
      </w:pPr>
      <w:r>
        <w:rPr>
          <w:rFonts w:ascii="仿宋_GB2312" w:hAnsi="仿宋_GB2312" w:eastAsia="仿宋_GB2312"/>
          <w:b w:val="0"/>
          <w:sz w:val="32"/>
        </w:rPr>
        <w:t>六、《一般公共预算财政拨款基本支出决算表》</w:t>
      </w:r>
    </w:p>
    <w:p w14:paraId="57B4D9AF">
      <w:pPr>
        <w:spacing w:line="240" w:lineRule="auto"/>
        <w:ind w:firstLine="640"/>
        <w:jc w:val="both"/>
      </w:pPr>
      <w:r>
        <w:rPr>
          <w:rFonts w:ascii="仿宋_GB2312" w:hAnsi="仿宋_GB2312" w:eastAsia="仿宋_GB2312"/>
          <w:b w:val="0"/>
          <w:sz w:val="32"/>
        </w:rPr>
        <w:t>七、《政府性基金预算财政拨款收入支出决算表》</w:t>
      </w:r>
    </w:p>
    <w:p w14:paraId="7C30418C">
      <w:pPr>
        <w:spacing w:line="240" w:lineRule="auto"/>
        <w:ind w:firstLine="640"/>
        <w:jc w:val="both"/>
      </w:pPr>
      <w:r>
        <w:rPr>
          <w:rFonts w:ascii="仿宋_GB2312" w:hAnsi="仿宋_GB2312" w:eastAsia="仿宋_GB2312"/>
          <w:b w:val="0"/>
          <w:sz w:val="32"/>
        </w:rPr>
        <w:t>八、《国有资本经营预算财政拨款收入支出决算表》</w:t>
      </w:r>
    </w:p>
    <w:p w14:paraId="0F1CD1CF">
      <w:pPr>
        <w:spacing w:line="240" w:lineRule="auto"/>
        <w:ind w:firstLine="640"/>
        <w:jc w:val="both"/>
      </w:pPr>
      <w:r>
        <w:rPr>
          <w:rFonts w:ascii="仿宋_GB2312" w:hAnsi="仿宋_GB2312" w:eastAsia="仿宋_GB2312"/>
          <w:b w:val="0"/>
          <w:sz w:val="32"/>
        </w:rPr>
        <w:t>九、《财政拨款“三公”经费支出决算表》</w:t>
      </w:r>
    </w:p>
    <w:p w14:paraId="3D99D38F">
      <w:pPr>
        <w:spacing w:line="240" w:lineRule="auto"/>
        <w:ind w:firstLine="640"/>
        <w:jc w:val="both"/>
      </w:pPr>
    </w:p>
    <w:p w14:paraId="04DF1B7E">
      <w:pPr>
        <w:spacing w:line="240" w:lineRule="auto"/>
        <w:ind w:firstLine="640"/>
        <w:jc w:val="both"/>
      </w:pPr>
    </w:p>
    <w:p w14:paraId="2FDA0CEB">
      <w:pPr>
        <w:spacing w:line="240" w:lineRule="auto"/>
        <w:ind w:firstLine="640"/>
        <w:jc w:val="both"/>
      </w:pPr>
    </w:p>
    <w:p w14:paraId="66D71CF5">
      <w:pPr>
        <w:spacing w:line="240" w:lineRule="auto"/>
        <w:ind w:firstLine="640"/>
        <w:jc w:val="both"/>
      </w:pPr>
    </w:p>
    <w:p w14:paraId="6517421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FB2865-EDBA-4F45-AA80-590BAAE0B8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72E0C86-B2AB-4B5F-A5B3-0C19427F0AE1}"/>
  </w:font>
  <w:font w:name="方正小标宋_GBK">
    <w:panose1 w:val="02000000000000000000"/>
    <w:charset w:val="86"/>
    <w:family w:val="script"/>
    <w:pitch w:val="default"/>
    <w:sig w:usb0="A00002BF" w:usb1="38CF7CFA" w:usb2="00082016" w:usb3="00000000" w:csb0="00040001" w:csb1="00000000"/>
    <w:embedRegular r:id="rId3" w:fontKey="{020506A9-31CF-448D-B643-EDD8CCCBE71A}"/>
  </w:font>
  <w:font w:name="楷体_GB2312">
    <w:panose1 w:val="02010609030101010101"/>
    <w:charset w:val="86"/>
    <w:family w:val="auto"/>
    <w:pitch w:val="default"/>
    <w:sig w:usb0="00000001" w:usb1="080E0000" w:usb2="00000000" w:usb3="00000000" w:csb0="00040000" w:csb1="00000000"/>
    <w:embedRegular r:id="rId4" w:fontKey="{DCF191EB-B5CD-4EC3-84C0-9E864058B8E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480B91"/>
    <w:rsid w:val="0DCA6EF7"/>
    <w:rsid w:val="0E4B1576"/>
    <w:rsid w:val="0EA04331"/>
    <w:rsid w:val="0F9811B3"/>
    <w:rsid w:val="11E15093"/>
    <w:rsid w:val="120E0809"/>
    <w:rsid w:val="17571954"/>
    <w:rsid w:val="19071D6C"/>
    <w:rsid w:val="19B5554D"/>
    <w:rsid w:val="1A8D57B5"/>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19750B"/>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214D3F"/>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38709B"/>
    <w:rsid w:val="6D8919A8"/>
    <w:rsid w:val="6E0F7A08"/>
    <w:rsid w:val="6E801ABC"/>
    <w:rsid w:val="71473612"/>
    <w:rsid w:val="718F7F65"/>
    <w:rsid w:val="73423603"/>
    <w:rsid w:val="737A5923"/>
    <w:rsid w:val="738D5656"/>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6052</Words>
  <Characters>6950</Characters>
  <Lines>0</Lines>
  <Paragraphs>0</Paragraphs>
  <TotalTime>3</TotalTime>
  <ScaleCrop>false</ScaleCrop>
  <LinksUpToDate>false</LinksUpToDate>
  <CharactersWithSpaces>6958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2025-09-29T03:01:46Z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