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both"/>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方正小标宋_GBK" w:eastAsia="方正小标宋_GBK" w:hAnsi="华文中宋" w:cs="宋体"/>
          <w:b/>
          <w:kern w:val="0"/>
          <w:sz w:val="44"/>
          <w:szCs w:val="44"/>
        </w:rPr>
      </w:pPr>
      <w:r>
        <w:rPr>
          <w:rFonts w:ascii="方正小标宋_GBK" w:eastAsia="方正小标宋_GBK" w:hAnsi="华文中宋" w:cs="宋体" w:hint="eastAsia"/>
          <w:b/>
          <w:kern w:val="0"/>
          <w:sz w:val="44"/>
          <w:szCs w:val="44"/>
        </w:rPr>
        <w:t xml:space="preserve"> 部门单位项目支出绩效评价报告</w:t>
      </w:r>
    </w:p>
    <w:p>
      <w:pPr>
        <w:spacing w:line="570" w:lineRule="exact"/>
        <w:jc w:val="center"/>
        <w:rPr>
          <w:rFonts w:ascii="华文中宋" w:eastAsia="华文中宋" w:hAnsi="华文中宋" w:cs="宋体"/>
          <w:b/>
          <w:kern w:val="0"/>
          <w:sz w:val="52"/>
          <w:szCs w:val="52"/>
        </w:rPr>
      </w:pPr>
    </w:p>
    <w:p>
      <w:pPr>
        <w:spacing w:line="57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仿宋_GB2312" w:eastAsia="仿宋_GB2312" w:hAnsi="楷体" w:hint="eastAsia"/>
          <w:spacing w:val="-4"/>
          <w:sz w:val="32"/>
          <w:szCs w:val="32"/>
        </w:rPr>
        <w:t xml:space="preserve">2024</w:t>
      </w:r>
      <w:r>
        <w:rPr>
          <w:rFonts w:ascii="方正仿宋_GBK" w:eastAsia="方正仿宋_GBK" w:hAnsi="宋体" w:cs="宋体" w:hint="eastAsia"/>
          <w:kern w:val="0"/>
          <w:sz w:val="36"/>
          <w:szCs w:val="36"/>
        </w:rPr>
        <w:t xml:space="preserve"> </w:t>
      </w:r>
      <w:r>
        <w:rPr>
          <w:rFonts w:eastAsia="仿宋_GB2312" w:hAnsi="宋体" w:cs="宋体" w:hint="eastAsia"/>
          <w:kern w:val="0"/>
          <w:sz w:val="36"/>
          <w:szCs w:val="36"/>
        </w:rPr>
        <w:t xml:space="preserve"> 年度）</w:t>
      </w: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70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项目名称：</w:t>
      </w:r>
      <w:r>
        <w:rPr>
          <w:rStyle w:val="Strong"/>
          <w:rFonts w:ascii="仿宋" w:eastAsia="仿宋" w:hAnsi="仿宋" w:cs="仿宋" w:hint="eastAsia"/>
          <w:b w:val="0"/>
          <w:bCs w:val="0"/>
          <w:spacing w:val="-4"/>
          <w:sz w:val="32"/>
          <w:szCs w:val="32"/>
        </w:rPr>
        <w:t xml:space="preserve">2024年中央医疗服务与保障能力提升（公立医院综合改革）补助项目</w:t>
      </w:r>
    </w:p>
    <w:p>
      <w:pPr>
        <w:spacing w:line="57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实施单位（公章）：</w:t>
      </w:r>
      <w:r>
        <w:rPr>
          <w:rStyle w:val="Strong"/>
          <w:rFonts w:ascii="仿宋" w:eastAsia="仿宋" w:hAnsi="仿宋" w:cs="仿宋" w:hint="eastAsia"/>
          <w:b w:val="0"/>
          <w:bCs w:val="0"/>
          <w:spacing w:val="-4"/>
          <w:sz w:val="32"/>
          <w:szCs w:val="32"/>
        </w:rPr>
        <w:t xml:space="preserve">新疆维吾尔自治区喀什地区妇幼保健院</w:t>
      </w:r>
    </w:p>
    <w:p>
      <w:pPr>
        <w:spacing w:line="540" w:lineRule="exact"/>
        <w:ind w:firstLine="360" w:firstLineChars="100"/>
        <w:rPr>
          <w:rFonts w:ascii="仿宋" w:eastAsia="仿宋" w:hAnsi="仿宋" w:cs="仿宋" w:hint="eastAsia"/>
          <w:spacing w:val="-4"/>
          <w:sz w:val="32"/>
          <w:szCs w:val="32"/>
        </w:rPr>
      </w:pPr>
      <w:r>
        <w:rPr>
          <w:rFonts w:ascii="仿宋" w:eastAsia="仿宋" w:hAnsi="仿宋" w:cs="仿宋" w:hint="eastAsia"/>
          <w:kern w:val="0"/>
          <w:sz w:val="36"/>
          <w:szCs w:val="36"/>
        </w:rPr>
        <w:t xml:space="preserve">主管部门（公章）：</w:t>
      </w:r>
      <w:r>
        <w:rPr>
          <w:rStyle w:val="Strong"/>
          <w:rFonts w:ascii="仿宋" w:eastAsia="仿宋" w:hAnsi="仿宋" w:cs="仿宋" w:hint="eastAsia"/>
          <w:b w:val="0"/>
          <w:bCs w:val="0"/>
          <w:spacing w:val="-4"/>
          <w:sz w:val="32"/>
          <w:szCs w:val="32"/>
        </w:rPr>
        <w:t xml:space="preserve">喀什地区卫健委</w:t>
      </w:r>
    </w:p>
    <w:p>
      <w:pPr>
        <w:spacing w:line="570" w:lineRule="exact"/>
        <w:ind w:firstLine="360" w:firstLineChars="100"/>
        <w:rPr>
          <w:rFonts w:ascii="仿宋" w:eastAsia="仿宋" w:hAnsi="仿宋" w:cs="仿宋"/>
          <w:spacing w:val="-4"/>
          <w:sz w:val="32"/>
          <w:szCs w:val="32"/>
        </w:rPr>
      </w:pPr>
      <w:r>
        <w:rPr>
          <w:rFonts w:ascii="仿宋" w:eastAsia="仿宋" w:hAnsi="仿宋" w:cs="仿宋" w:hint="eastAsia"/>
          <w:kern w:val="0"/>
          <w:sz w:val="36"/>
          <w:szCs w:val="36"/>
        </w:rPr>
        <w:t xml:space="preserve">项目负责人（签章）：</w:t>
      </w:r>
      <w:r>
        <w:rPr>
          <w:rStyle w:val="Strong"/>
          <w:rFonts w:ascii="仿宋" w:eastAsia="仿宋" w:hAnsi="仿宋" w:cs="仿宋" w:hint="eastAsia"/>
          <w:b w:val="0"/>
          <w:bCs w:val="0"/>
          <w:spacing w:val="-4"/>
          <w:sz w:val="32"/>
          <w:szCs w:val="32"/>
        </w:rPr>
        <w:t xml:space="preserve">刘琛琛</w:t>
      </w:r>
    </w:p>
    <w:p>
      <w:pPr>
        <w:spacing w:line="540" w:lineRule="exact"/>
        <w:ind w:firstLine="360" w:firstLineChars="100"/>
        <w:rPr>
          <w:rStyle w:val="Strong"/>
          <w:rFonts w:ascii="仿宋" w:eastAsia="仿宋" w:hAnsi="仿宋" w:cs="仿宋" w:hint="eastAsia"/>
          <w:b w:val="0"/>
          <w:bCs w:val="0"/>
          <w:spacing w:val="-4"/>
          <w:sz w:val="32"/>
          <w:szCs w:val="32"/>
        </w:rPr>
      </w:pPr>
      <w:r>
        <w:rPr>
          <w:rFonts w:ascii="仿宋" w:eastAsia="仿宋" w:hAnsi="仿宋" w:cs="仿宋" w:hint="eastAsia"/>
          <w:kern w:val="0"/>
          <w:sz w:val="36"/>
          <w:szCs w:val="36"/>
        </w:rPr>
        <w:t xml:space="preserve">填报时间：</w:t>
      </w:r>
      <w:r>
        <w:rPr>
          <w:rStyle w:val="Strong"/>
          <w:rFonts w:ascii="仿宋" w:eastAsia="仿宋" w:hAnsi="仿宋" w:cs="仿宋" w:hint="eastAsia"/>
          <w:b w:val="0"/>
          <w:bCs w:val="0"/>
          <w:spacing w:val="-4"/>
          <w:sz w:val="32"/>
          <w:szCs w:val="32"/>
        </w:rPr>
        <w:t xml:space="preserve">2025年04月09日</w:t>
      </w:r>
    </w:p>
    <w:p>
      <w:pPr>
        <w:rPr>
          <w:rStyle w:val="Strong"/>
          <w:rFonts w:ascii="仿宋" w:eastAsia="仿宋" w:hAnsi="仿宋" w:cs="仿宋" w:hint="eastAsia"/>
          <w:b w:val="0"/>
          <w:bCs w:val="0"/>
          <w:spacing w:val="-4"/>
          <w:sz w:val="32"/>
          <w:szCs w:val="32"/>
        </w:rPr>
      </w:pPr>
      <w:r>
        <w:br w:type="page"/>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一、基本情况</w:t>
      </w:r>
    </w:p>
    <w:p>
      <w:pPr>
        <w:spacing w:line="570" w:lineRule="exact"/>
        <w:ind w:firstLine="640" w:firstLineChars="200"/>
        <w:rPr>
          <w:rStyle w:val="Strong"/>
          <w:rFonts w:ascii="方正楷体_GBK" w:eastAsia="方正楷体_GBK" w:hAnsi="方正楷体_GBK" w:cs="方正楷体_GBK"/>
          <w:bCs w:val="0"/>
          <w:spacing w:val="-4"/>
          <w:sz w:val="32"/>
          <w:szCs w:val="32"/>
        </w:rPr>
      </w:pPr>
      <w:r>
        <w:rPr>
          <w:rStyle w:val="Strong"/>
          <w:rFonts w:ascii="楷体" w:eastAsia="楷体" w:hAnsi="楷体" w:cs="楷体" w:hint="eastAsia"/>
          <w:bCs w:val="0"/>
          <w:spacing w:val="-4"/>
          <w:sz w:val="32"/>
          <w:szCs w:val="32"/>
        </w:rPr>
        <w:t xml:space="preserve">（一）项目概况。包括项目背景、主要内容及实施情况、资金投入和使用情况等。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项目背景</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遵循财政部《项目支出绩效评价管理办法》（财预〔2020〕10号）和自治区财政厅《自治区财政支出绩效评价管理暂行办法》（新财预〔2018〕189号）、《关于提前下达2023年中央医疗服务与保障能力提升（公立医院综合改革）补助资金（第一批）的通知》（喀地财社【2023】82），《关于拨付2024年中央医疗服务与保障能力提升（公立医院综合改革）补助资金（第二批）的通知》（喀地财社〔2024〕12号）相关政策文件与规定，旨在评价医疗服务与保障能力提升（公立医院综合改革）补助项目实施前期、过程及效果，评价财政预算资金使用的效率及效益。通过该项目的实施，可持续深化公立医院综合改革，巩固破除以药补医成果。提高服务质量和效率，增进公立医院的活力，健全现代医院管理制度，就巩固改革成果、持续深化改革。</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2.主要内容及实施情况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（1）项目主要内容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建设主要服务于公立医院的改革与发展。利用补助资金购买必要药品，针对妇女儿童常用药、特效药品分两批次购买，药品购买费用4万元，试剂、耗材分10次购买，试剂耗材购买费用36万元，用于喀什地区妇女儿童健康保障能力保证面对各种疾病时，能够提供及时有效的治疗。逐步改善本地区医疗服务水平；持续保障医院正常运转；就诊患者对医疗服务满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实施前由项目负责人刘琛琛进行牵头，首先进行项目的前期调研。评估项目实施的相关性、预期绩效的可实现性、实施方案的有效性、财政资金投入可行性风险。其次在项目实施过程中结合喀什地区妇幼保健计划生育服务中心医务科的实际要求，严格按照《关于提前下达2023年中央医疗服务与保障能力提升（公立医院综合改革）补助资金（第一批）的通知》（喀地财社【2023】82），《关于拨付2024年中央医疗服务与保障能力提升（公立医院综合改革）补助资金（第二批）的通知》（喀地财社〔2024〕12号）等相关文件的规定开展，在项目实施过程中不定期进行监督检查，发现问题及时整改。最后项目结束时实施单位及时进行成果验收，做好项目的后期管护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3.项目实施主体</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喀什地区妇幼保健计划生育服务中心为全额事业单位，纳入2024年部门决算编制范围的有8个办公室。</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本单位主要职能为： 负责全区妇女儿童的健康监测、疾病预防及群体保健工作，包括妇女病普查、儿童体检、孕产妇高危管理、出生缺陷预防等。作为区域妇幼健康服务的核心枢纽，该院承担对基层医疗机构的指导职责，推动妇幼保健技术下沉，并通过培训、督导等方式提升基层服务能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编制人数140人，其中：行政人员编制0人、工勤0人、参公0人、事业编制140人。实有在职人数150人，其中：行政在职0人、工勤0人、参公0人、事业在职150人。离退休人员53人，其中：行政退休人员0人、事业退休53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资金投入和使用情况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按照《提前下达2023年中央医疗服务与保障能力提升（公立医院综合改革）补助资金（第一批）的通知》（喀地财社【2023】82），发放资金28万元，《关于拨付2024年中央医疗服务与保障能力提升（公立医院综合改革）补助资金（第二批）的通知》（喀地财社〔2024〕12号）发放资金12万元，共安排下达资金40万元，为财政性资金，最终确定项目资金总数为40万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截至2024年8月8日，资金主要用于药品购买批次2批次，4万元，试剂耗材购买批次10批次，36万元，实际支出40万元，预算执行率100%。</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（二）项目绩效目标。包括总体目标和阶段性目标。</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项目绩效目标包括项目绩效总目标和阶段性目标。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1.项目绩效总目标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保证实施国家基本药物制度，推进综合改革顺利进行，补助资金统筹用于设备标准化建设工程，保障医疗机构运行发展。对药物制度给予补助，支持国家基本药物制度的顺利实施，推进综合改革顺利进行。</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通过实施公立医院药物“零差率”销售，从而减轻人民群众医药负担，解决群众医药负担，解决看病贵、看病难问题，逐步消除“以药养医”运行机制，促使医院进入良性发展轨道。</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实施的前期准备工作：</w:t>
      </w:r>
      <w:r>
        <w:rPr>
          <w:rStyle w:val="Strong"/>
          <w:rFonts w:ascii="仿宋" w:eastAsia="仿宋" w:hAnsi="仿宋" w:cs="仿宋" w:hint="eastAsia"/>
          <w:b w:val="0"/>
          <w:bCs w:val="0"/>
          <w:spacing w:val="-4"/>
          <w:sz w:val="32"/>
          <w:szCs w:val="32"/>
        </w:rPr>
        <w:t xml:space="preserve">制定</w:t>
      </w:r>
      <w:r>
        <w:rPr>
          <w:rStyle w:val="Strong"/>
          <w:rFonts w:ascii="仿宋" w:eastAsia="仿宋" w:hAnsi="仿宋" w:cs="仿宋" w:hint="eastAsia"/>
          <w:b w:val="0"/>
          <w:bCs w:val="0"/>
          <w:spacing w:val="-4"/>
          <w:sz w:val="32"/>
          <w:szCs w:val="32"/>
        </w:rPr>
        <w:t xml:space="preserve">《喀什地区妇幼保健计划生育服务中心2024年中央医疗服务与保障能力提升（公立医院综合改革）补助项目资金使用方案》，成立领导小组，项目经费主要用于公立医院改革以提升医院医疗服务能力，取消药品加成补贴、基础设施建设等。涉及政府采购的，应当按照政府采购有关法律、法规及制度执行，以及其他与公立医院改革和发展相关其他工作的使用。单位收到补助资金后，要按预算和地区财政管理有关规定，建立健全内部管理机制，加快预算执行。</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具体实施工作：资金主要用于药品购买药品2批次，4万元，试剂耗材购买批次10批次，36万元，支出40万元。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严格按照国家财政法律法规执行，不得擅自扩大支出范围，改变支出用途，不得以任何形式挤占、截留、挪用和滞留。资金使用过程中涉及、政府采购的，严格按照政府采购有关法律法规及制度执行。截止2024年8月8日已支付40万元，支出率100%。用于开展实施公立医院基药补助。</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验收阶段的具体工作：采购办、药剂科/检验科、送货方三方在场的情况下，按照采购计划、送货清单逐项核实；我中心严格按照上级工作要求，严格资金管理和规范使用，资金全部用于实施药品零差率销售后的支出补偿。</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二、绩效评价工作开展情况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（一）绩效评价目的、对象</w:t>
      </w:r>
      <w:r>
        <w:rPr>
          <w:rStyle w:val="Strong"/>
          <w:rFonts w:ascii="楷体" w:eastAsia="楷体" w:hAnsi="楷体" w:cs="楷体" w:hint="eastAsia"/>
          <w:bCs w:val="0"/>
          <w:spacing w:val="-4"/>
          <w:sz w:val="32"/>
          <w:szCs w:val="32"/>
          <w:lang w:eastAsia="zh-CN"/>
        </w:rPr>
        <w:t xml:space="preserve">、时间和</w:t>
      </w:r>
      <w:r>
        <w:rPr>
          <w:rStyle w:val="Strong"/>
          <w:rFonts w:ascii="楷体" w:eastAsia="楷体" w:hAnsi="楷体" w:cs="楷体" w:hint="eastAsia"/>
          <w:bCs w:val="0"/>
          <w:spacing w:val="-4"/>
          <w:sz w:val="32"/>
          <w:szCs w:val="32"/>
        </w:rPr>
        <w:t xml:space="preserve">范围。</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（一）绩效评价目的、对象和范围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1.绩效评价完整性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本项目预算绩效评价报告在编制过程中，严格遵循相关法规与标准，确保评价内容的全面性与准确性。报告涵盖了项目从预算编制、执行到完成的全过程，对项目的各项绩效指标进行了细致的梳理与评估。</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评价指标体系的构建上，充分考虑了项目的性质、目标以及预期成果，选取了具有代表性和可衡量性的关键指标，涵盖了社会效益等维度，力求全方位反映项目的绩效状况。同时，对于每个指标的评价标准和数据来源均进行了明确说明，确保评价结果的客观性和可追溯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绩效评价目的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本次绩效评价遵循财政部《项目支出绩效评价管理办法》（财预〔2020〕10号）、《关于印发〈中央部门项目支出核心绩效目标和指标设置及取值指引（试行）〉的通知》（财预〔2021〕101号）</w:t>
      </w:r>
      <w:r>
        <w:rPr>
          <w:rStyle w:val="Strong"/>
          <w:rFonts w:ascii="仿宋" w:eastAsia="仿宋" w:hAnsi="仿宋" w:cs="仿宋" w:hint="eastAsia"/>
          <w:b w:val="0"/>
          <w:bCs w:val="0"/>
          <w:spacing w:val="-4"/>
          <w:sz w:val="32"/>
          <w:szCs w:val="32"/>
        </w:rPr>
        <w:t xml:space="preserve">以及</w:t>
      </w:r>
      <w:r>
        <w:rPr>
          <w:rStyle w:val="Strong"/>
          <w:rFonts w:ascii="仿宋" w:eastAsia="仿宋" w:hAnsi="仿宋" w:cs="仿宋" w:hint="eastAsia"/>
          <w:b w:val="0"/>
          <w:bCs w:val="0"/>
          <w:spacing w:val="-4"/>
          <w:sz w:val="32"/>
          <w:szCs w:val="32"/>
        </w:rPr>
        <w:t xml:space="preserve">自治区财政厅《关于印发〈自治区项目支出绩效目标设置指引〉的通知》（新财预〔2022〕42号）、《自治区财政支出绩效评价管理暂行办法》（新财预〔2018〕189号）等相关政策文件与规定，结合地区实际情况，实施部门项目绩效评价的具体目的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（1）评估项目实施效果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通过对项目预算执行情况及各项绩效目标达成程度的系统性分析，全面、客观地评估项目在预定周期内的实施效果，包括社会效益、受益对象满意度等多维度指标，为项目后续的改进与优化提供科学依据。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（2）提升资源利用效率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（3）强化项目管理责任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（4）为决策提供支持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（5）促进项目持续改进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绩效评价对象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和《自治区财政支出绩效评价管理暂行办法》（新财预〔2018〕189号）等相关政策文件与规定，以喀什地区妇幼保健计划生育服务中心2024年度实施的医疗服务与保障能力提升（公立医院综合改革）补助项目为评价对象，项目预算涵盖[2024年6月]至[2024年12月25日]的全部资金投入与支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绩效评价范围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本项目预算绩效评价报告的评价范围广泛而全面，涵盖了从项目立项至评价时点期间的所有关键预算活动和财务流程。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（1）项目预算编制与执行：</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医疗服务与保障能力提升公立医院综合改革补助项目的预算编制与执行需立足政策导向与实际需求，确保资金使用精准高效。预算编制阶段，结合医院功能定位和区域医疗需求，科学评估设备购置、信息化建设、学科发展等重点领域资金需求，细化支出范围及绩效目标。预算执行中，建立动态监控机制，通过信息化平台跟踪资金流向，严格专款专用。落实"放管服"要求，简化审批流程，提升资金拨付效率。强化绩效管理，建立量化评价指标（如诊疗效率、成本控制、患者满意度等），定期开展中期评估和结题考核，将评价结果与后续补助挂钩。同时加强内控审计，防范资金挪用或沉淀，确保补助资金切实转化为医院服务能力提升与公益性保障，助力公立医院高质量发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资金管理：资金主要用于药品购买批次2批次，4万元，试剂耗材购买批次10批次，36万元，实际支出40万元，预算执行率100%。资金使用情况：资金40万元主要用于购买药品2批次，试剂耗材购买10批次。支出项目资金4万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实施进度与产出：数量指标指标值为药品购买批次大于等于2批次，试剂耗材购买批次大于等于10批次，三级指标的年度指标值与年度绩效目标中任务数一致，已设置时效指标“等于2024年12月25日前”，相关药品、试剂耗材已于2024年8月8日完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（二）绩效评价原则、评价指标体系（附表说明）、评价方法、评价标准等。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绩效评价原则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（1）科学公正。绩效评价应当运用科学合理的方法，按照规范的程序，对项目绩效进行客观、公正的反映。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（4）公开透明。绩效评价结果应依法依规公开，并自觉接受社会监督。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绩效评价指标体系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效益满意度3个一级指标，其中：产出下设产出数量、产出质量、产出时效、产出成本4个2级指标，效益下设项目效益1个二级指标，满意度下设项满意度1个二级指标。项目绩效评价体系详见附件1。</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一级指标为：决策、过程、产出、效益。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二级指标为：项目立项、绩效目标、资金投入、资金管理、组织实施、产出数量、产出质量、产出时效、产出成本、项目效益。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级指标为：立项依据充分性、立项程序规范性、绩效目标合理性、绩效指标明确性、预算编制科学性、资金分配合理性、资金到位率、预算执行率、资金使用合规性、管理制度健全性、制度执行有效性，以及项目产出和效益等根据项目实际情况设置的个性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2024年中央医疗服务与保障能力提升（公立医院综合改革）补助项目综合评分表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二级指标   三级指标               得分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决策（15分） 项目立项（5分）   立项依据充分性（3分）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立项程序（2分）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绩效目标（5分）   绩效目标合理性（3分）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绩效指标明确性（2分）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资金投入（5分）   预算编制（3分）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资金分配合理性（2分）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过程（20分） 资金管理（10分）  资金到位率（3分）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预算执行率（3分）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资金使用合规性（4分）  4</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组织实施（10分）   管理制度健全性（5分） 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制度执行（5分）  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产出（45分） 产出数量（10分）   实际完成率（10分）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产出质量（10分）   质量达标率（10分）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产出时效（10分）   完成及时性（10分）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产出成本（15分）   成本节约率（15分）  15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效益（10分） 项目效益（10分）   实施效益（10分）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满意度（10分） 满意度（10分）    满意度（10分）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权重分值：100分</w:t>
        <w:tab/>
        <w:t xml:space="preserve">   总得分    </w:t>
        <w:tab/>
        <w:t xml:space="preserve">                100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绩效评价方法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本次评价采用定量与定性评价相结合的比较法，总分由各项指标得分汇总形成。在完成此次绩效评价工作中，每项评价体系中二级指标的评价方法使用情况为：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（1）项目决策方面：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依据充分性：采用比较法、文献法，查找法律法规政策以及规划，对喀什地区妇幼保健计划生育服务中心2024年中央医疗服务与保障能力提升（公立医院综合改革）补助项目资金使用方案实际执行内容和政策支持内容是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程序规范性：采用比较法、文献法，查找相关项目设立的政策和文件要求，对《关于提前下达2023年中央医疗服务与保障能力提升（公立医院综合改革）补助资金（第一批）的通知》（喀地财社【2023】82），《关于拨付2024年中央医疗服务与保障能力提升（公立医院综合改革）补助资金（第二批）的通知》（喀地财社〔2024〕12号）相关这个政策实际执行程序按照政策及文件要求执行，立项程序符合相关规定。</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绩效目标合理性：1. 目标导向明确：绩效目标紧密围绕国家医改政策与公立医院功能定位，以提升医疗服务能力、人才素质、公共卫生防治水平为核心，例如红河州将遏制丙肝流行、基层卫生人才培训列为阶段性目标，强化了区域卫生需求的针对性。2. 指标设置科学：项目采用多维评价体系，涵盖医疗质量、患者满意度、成本控制等关键指标，避免单一经济导向的弊端。3. 资金管理规范:通过专项资金台账、动态监控及绩效自评机制，确保资金精准用于设备采购、学科建设等领域，并建立“投入-执行-结果”闭环管理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绩效指标明确性：项目资金严格限定用于药品、试剂耗材购买等领域，并通过专项资金台账和动态监控机制，确保支出与绩效目标相匹配。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预算编制科学性：预算编制基于历史执行数据（如2023年资金使用效率）和妇幼健康监测指标，并通过科室自评与院级统筹结合的方式优化资金分配。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合理性：资金分配严格遵循中央财政直达基层要求及《公立医院综合改革补助资金分配方案》的公平性、绩效性原则。结合喀什地区妇幼保健院需求，重点倾斜药品、试剂、耗材等核心领域，确保资金投向精准匹配区域卫生规划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（2）项目过程方面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资金到位率：资金到位率预期指标值应为100%，通过实际计算，分析实际完成值为100%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预算执行率：预算执行率预期指标值应为100%，通过实际计算，分析实际完成值为100%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规性：严格按照《关于提前下达2023年中央医疗服务与保障能力提升（公立医院综合改革）补助资金（第一批）的通知》（喀地财社【2023】82），《关于拨付2024年中央医疗服务与保障能力提升（公立医院综合改革）补助资金（第二批）的通知》（喀地财社〔2024〕12号）相关政策文件使用资金，保证资金的使用合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管理制度健全性：制订《喀什地区妇幼保健计划生育服务中心2024年中央医疗服务与保障能力提升（公立医院综合改革）补助项目资金使用方案》，保证资金在使用的过程严格按照方案的规划购买药品、耗材、试剂等分批次购买。</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制度执行有效性：截至2024年8月8日，药品分批次采购2批次；试剂耗材分批次采购10批次，预算支出项目费用4万元，实际支付40万元。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（3）项目产出方面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项目完成时间指标，预期指标值为等于2024年12月25日前，实际完成值为2024年8月8日，指标完成率为100%。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（4）项目效益方面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满意度指标，就诊患者对医疗服务满意度预期指标值为大于等于95%，实际完成值为100%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绩效评价标准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绩效评价标准通常包括计划标准、行业标准、历史标准等，用于对绩效指标完成情况进行比较、分析、评价。本次评价由于时间原因，主要采用了计划标准。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计划标准：指以预先制定的目标、计划、预算、定额等作为评价标准。</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（三）绩效评价工作过程。</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第一阶段：前期准备。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我单位绩效评价人员根据《项目支出绩效评价管理办法》（财预〔2020〕10号）文件精神认真学习相关要求与规定，成立绩效评价工作组，作为绩效评价工作具体实施机构。正式开始前期准备工作，通过对评价对象前期调研，确定了评价的目的、方法以及评价的原则，根据项目的内容和特征制定了评价指标体系及评价标准。成员构成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张庆悦任评价组组长，绩效评价工作职责为负责全盘工作。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古丽阿扎提·买买提依明任评价组副组长，绩效评价工作职责为为对项目实施情况进行实地调查。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刘琛琛、布玛利亚任评价组成员，绩效评价工作职责为负责资料审核等工作。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第二阶段：组织实施。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评价组通过实地调研、查阅资料等方式，采用综合分析法对项目的决策、管理、绩效进行的综合评价分析。在数据采集方面，评价小组整理单位前期提交的资料，与项目实施负责人沟通，了解资金的内容、操作流程、管理机制、资金使用方向等情况并采集信息，了解项目设置背景及资金使用等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第三阶段：分析评价。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首先按照指标体系进行定量、定性分析。其次开展量化打分、综合评价工作，形成初步评价结论。最后归纳整体项目情况与存在问题，撰写部门绩效评价报告。</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三、综合评价情况及评价结论</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（一）综合评价情况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通过实施医疗服务与保障能力提升（公立医院综合改革）补助项目严格落实基本药物制度相关政策，严格执行基本药物网上采购制度，规范了药品采购和配送管理，药品采购执行两票制和集中采购，并实施零差率销售。项目实施主要通过项目决策、项目过程、项目产出以及项目效益等方面进行评价，其中：</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决策：该项目主要根据《关于提前下达2023年中央医疗服务与保障能力提升（公立医院综合改革）补助资金（第一批）的通知》（喀地财社【2023】82），《关于拨付2024年中央医疗服务与保障能力提升（公立医院综合改革）补助资金（第二批）的通知》（喀地财社〔2024〕12号）文件立项，项目实施符合要求，项目立项依据充分，立项程序规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过程：实施医疗服务与保障能力提升（公立医院综合改革）补助项目预算安排40万元，实际支出40万元，预算执行率100%。项目资金使用合规，项目财务管理制度健全，财务监控到位，所有资金支付均按照国库集中支付制度严格执行，现有项目管理制度执行情况良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项目产出：全年共计采购药品2批次，购买试剂耗材10批次，相关药品、试剂耗材等均已验收合格。</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效益：通过过补助项目，可以使得更多基层医疗机构和贫困患者能够获得高质量的医疗服务，缩小城乡、区域间的医疗差距。优质的耗材、试剂和药品的普及有助于提高整体医疗水平，高质量的耗材、试剂和药品能够确保医疗服务的准确性和有效性，减少因质量问题导致的重复检查和治疗，从而节约时间和成本。及时的物资供应能够保障医疗服务的连续性，避免因物资短缺而影响医疗进度和患者满意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（二）综合评价结论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医疗服务与保障能力提升（公立医院综合改革）补助项目进行客观评价，最终评分结果：评价总分100分，绩效等级为“优”。每项一级指标得分情况见下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医疗服务与保障能力提升（公立医院综合改革）补助项目项目绩效评价评分汇总表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标准分值 得分 得分率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决策指标    15.00 15 100%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过程指标    20.00 20 100%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产出指标    45.00 45 100%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效益指标    20.00 20 100%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           100.00 100 100%</w:t>
      </w:r>
    </w:p>
    <w:p>
      <w:pPr>
        <w:spacing w:line="570" w:lineRule="exact"/>
        <w:ind w:firstLine="640" w:firstLineChars="200"/>
        <w:rPr>
          <w:rStyle w:val="Strong"/>
          <w:rFonts w:ascii="黑体" w:eastAsia="黑体" w:hAnsi="黑体" w:cs="黑体"/>
          <w:b w:val="0"/>
          <w:sz w:val="32"/>
          <w:szCs w:val="32"/>
        </w:rPr>
      </w:pPr>
      <w:r>
        <w:rPr>
          <w:rStyle w:val="Strong"/>
          <w:rFonts w:ascii="黑体" w:eastAsia="黑体" w:hAnsi="黑体" w:cs="黑体" w:hint="eastAsia"/>
          <w:b w:val="0"/>
          <w:spacing w:val="-4"/>
          <w:sz w:val="32"/>
          <w:szCs w:val="32"/>
        </w:rPr>
        <w:t xml:space="preserve">四、绩效评价指标分析 </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（一）项目决策情况。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（一）项目决策情况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项目决策类指标包括项目立项、绩效目标和资金投入三方面的内容，由6个三级指标构成，权重分为15分，实际得分15分，得分率为100%。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立项依据充分性：本项目立项符合《喀什地区妇幼保健计划生育服务中心2024年医疗服务与保障能力提升（公立医院综合改革）补助资金实施方案》中：“公立医院综合改革”内容，符合行业发展规划和政策要求；本项目立项符合《喀什地区妇幼保健计划生育服务中心单位配置内设机构和人员编制规定》中职责范围中的“工作重点和工作计划”，属于我单位履职所需；根据《财政资金直接支付申请书》，本项目资金性质为“公共财政预算”功能分类为“ 妇幼保健院医院2100216 ”经济分类为“ 专用材料30218  ”属于公共财政支持范围，符合中央、地方事权支出责任划分原则；经检查我单位财政管理一体化信息系统，本项目不存在重复。《关于喀什地区妇幼保健计划生育服务中心机构设置方案的通知》职责，并组织实施该项目。围绕2024年度工作重点和工作计划制定项目预算，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立项程序规范性：项目申请、设立过程符合相关要求，严格按照审批流程准备符合要求的文件、材料；根据依据编制工作计划和项目预算，经过与喀什地区妇幼保健计划生育服务中心分管领导沟通、筛选确定经费预算计划，确定最终预算方案。项目的审批文件、材料符合相关要求，项目事前经过必要的论证、风险评估、绩效评估、集体决策，保障了程序的规范性。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（3）绩效目标合理性：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①该项目已设置年度绩效目标，具体内容为该项目总40万元，药品购买批次大于等于2批次，试剂耗材购买批次大于等于9批次，药品，试剂，耗材验收合格率 等于100%，公立医院综合改革补助资金等于40万元。深化公立医院综合改革，持续推进公立医院高质量发展，基本建立具有中国特色的权责清晰，管理科学，运行高效，监督有力的现代医院制度，建立维护公益性，保障可持续的运行新机制和科学合理的补偿机制。</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该项目实际工作内容为：该项目总40万元:其中药品4万,试剂、耗材36万，已支出40万，完成率100%。我中心严格按照上级工作要求，严格资金管理和规范使用，资金全部用于实施药品零差率销售后的支出补偿。通过实施医疗服务与保障能力提升（公立医院综合改革）补助项目严格落实基本药物制度相关政策，严格执行基本药物网上采购制度，规范了药品采购和配送管理，药品采购执行两票制和集中采购，并实施零差率销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该项目按照绩效目标完成数量指标（药品购买批次、试剂耗材购买批次）、质量指标（药品，试剂，耗材验收合格率）、时效指标（项目完成时间）、成本指标（经济成本指标），完成了100%，改善本地区医疗服务水平，预期产出效益和效果是否符合正常的业绩水平。</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④该项目批复的预算金额为40.00万元，《项目支出绩效目标表》中预算金额为40.00万元，预算确定的药品采购不超过4万，试剂、耗材采购不超过36万项目资金与预算确定的项目投资额相匹配。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⑤本单位制定《喀什地区妇幼保健计划生育服务中心2024年医疗服务与保障能力提升（公立医院综合改革）补助资金实施方案》，明确了总体思路及目标、并对4万的药品采购和36万的耗材试剂采购进行了详细分解，对目标进行了细化，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（4）绩效指标明确性：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检查我单位年初设置的《项目支出绩效目标表》，得出如下结论：本项目已将年度绩效目标进行细化为绩效指标体系，共设置一级指标4个，二级指标6个，三级指标8个，定量指标7个，定性指标1个，指标量化率为87.5%，量化率达70.0%以上，将项目绩效目标细化分解为具体的绩效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该《项目绩效目标申报表》中，数量指标指标值为药品购买批次大于等于2批次，试剂耗材购买批次大于等于10批次，三级指标的年度指标值与年度绩效目标中任务数一致，已设置时效指标“等于2024年12月25日前”，相关药品、试剂耗材已于2024年8月8日完成。已设置的绩效目标具备明确性、可衡量性、可实现性、相关性、时限性。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（5）预算编制科学性：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本项目喀什地区妇幼保健计划生育服务中心2024年医疗服务与保障能力提升（公立医院综合改革）补助项目，即预算编制较科学且经过论证；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申请内容为药品购买批次大于等于2批次，试剂耗材购买批次大于等于10批次，项目实际内容为药品购买批次等于2批次，试剂耗材购买批次等于10批次，药品购买费用4万元，耗材、实际购买费用36万元，预算申请与《喀什地区妇幼保健计划生育服务中心2024年医疗服务与保障能力提升（公立医院综合改革）补助项目实施方案》中涉及的项目内容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申请资金40.00万元，我单位在预算申请中严格按照项目实施内容及测算标准进行核算，购买药品费用4.00万元、购买耗材款费用36.00万元，预算确定资金量与实际工作任务相匹配。本项目预算额度测算依据充分，严格按照标准编制，预算确定资金量与实际工作任务相匹配；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（6）资金分配合理性：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实际分配资金以《喀什地区妇幼保健计划生育服务中心2024年医疗服务与保障能力提升（公立医院综合改革）补助项目实施方案》为依据进行资金分配，预算资金分配依据充分。根据《项目支出绩效评价管理办法》（财预〔2020〕10号）和自治区财政厅《自治区财政支出绩效评价管理暂行办法》（新财预〔2018〕189号），本项目实际到位资金40.00万元，资金分配额度合理，与我单位实际需求相适应。2023年12月资金28万元到位用于2024年补助项目的开展，2024年6月资金12万元到位与实际相适应，根据评分标准，该指标不扣分，得2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（二）项目过程情况。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项目过程类指标包括资金管理和组织实施两方面的内容，由 5个三级指标构成，权重分为20分，实际得分20分，得分率为100%。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到位率：资金分两批到位，第一批到位28万元，第二批到位12万元，两次资金共计到位40万元，资金到位率为100%，财政资金足额拨付到位，中心能够及时足额按照合同约定将资金支付，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预算执行率：《喀什地区妇幼保健计划生育服务中心2024年医疗服务与保障能力提升（公立医院综合改革）补助项目》预算编制较为详细，2023年12月资金28万元到位用于2024年补助项目的开展，2024年6月资金12万元到位，2024年8月8日实际支出40万元，预算执行率100%，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（3）资金使用合规性：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通过检查项目资金申请文件、国库支付凭证等财务资料，得出本项目资金支出符合国家财经法规、《政府会计制度》《喀什地区妇幼保健计划生育服务中心单位资金管理办法》《XX专项资金管理办法》，资金的拨付有完整的审批程序和手续，资金实际使用方向与预算批复用途一致，不存在截留、挤占、挪用、虚列支出的情况。我单位制定了相关的制度和管理规定对经费使用进行规范管理，财务制度健全、执行严格，根据评分标准，该指标不扣分，得4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管理制度健全性：我单位已制定《喀什地区妇幼保健计划生育服务中心资金管理办法》《喀什地区妇幼保健计划生育服务中心收支业务管理制度》《喀什地区妇幼保健计划生育服务中心政府采购业务管理制度》《喀什地区妇幼保健计划生育服务中心合同管理制度》，相关制度均符合行政事业单位内控管理要求，财务和业务管理制度合法、合规、完整，本项目执行符合上述制度规定。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（5）制度执行有效性：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该项目的实施符合《资金管理办法》《资金管理制度》《喀什地区妇幼保健计划生育服务中心采购业务管理制度》《合同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②经现场查国药集团新疆新特药业有限公司药品购销合同、喀什地区妇幼保健院（检验耗材）入库单等相关资料，资料齐全并及时归档。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③项目存在调整，项目年初到位资金28万元，2024年6月第二批资金12万元到位，待第二批资金到位以后，按照相关规定对项目绩效目标进行调，整调整手续齐全。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该项目实施所需要的项目人员和场地设备均已落实到位，具体涉及内容包括：项目资金支出严格按照自治区、地区以及本单位资金管理办法执行，项目启动实施后，为了加快本项目的实施，成立了喀什地区妇幼保健计划生育服务中心2024年医疗服务与保障能力提升（公立医院综合改革）补项目工作领导小组，由刘琛琛任组长，负责项目的组织工作；刘琛琛任副组长，负责项目的实施工作；组员包括：检验科负责人和设备科人员，主要负责项目监督管理、验收以及资金核拨等工作。根据评分标准，该指标不扣分，得5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（三）项目产出情况。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项目产出类指标包括产出数量、产出质量、产出时效、产出成本四方面的内容，由6个三级指标构成，权重分为45分，实际得分45分，得分率为100%。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（1）对于“产出数量”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药品购买批次指标，预期指标值为大于等于2批次，实际完成值为药品购买批次等于2批次，指标完成率为100%，与预期目标一致，根据评分标准，该指标不扣分，得5分。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试剂耗材购买批次指标，预期指标值为大于等于10批次,试剂耗材购买批次等于10批次，指标完成率为100%，与预期目标一致，根据评分标准，该指标不扣分，得5分。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（2）对于“产出质量”：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药品，试剂，耗材验收合格率指标，预期指标值为100%，实际完成值为100%，指标完成率为100%，与预期目标一致，根据评分标准，该指标不扣分，得10分。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（3）对于“产出时效”：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项目完成时间指标，预期指标值为等于2024年12月25日前，实际完成值为2024年8月8日，指标完成率为100%，与预期目标一致，根据评分标准，该指标不扣分，得10分。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（4）对于“产出成本”：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项目经济成本指标，预期药品采购费小于等于4万元，实际完成值为等于4万元，根据评分标准，该指标不扣分，得7.5分。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试剂耗材购费小等于36万元，实际完成值为等于36万元，根据评分标准，该指标不扣分，得7.5分。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合计得15分。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（四）项目效益情况。</w:t>
      </w:r>
    </w:p>
    <w:p>
      <w:pPr>
        <w:spacing w:line="540" w:lineRule="exact"/>
        <w:ind w:firstLine="567"/>
        <w:rPr>
          <w:rStyle w:val="Strong"/>
          <w:rFonts w:ascii="仿宋" w:eastAsia="仿宋" w:hAnsi="仿宋" w:cs="仿宋" w:hint="eastAsia"/>
          <w:b w:val="0"/>
          <w:bCs w:val="0"/>
          <w:spacing w:val="-4"/>
          <w:sz w:val="32"/>
          <w:szCs w:val="32"/>
        </w:rPr>
      </w:pPr>
      <w:r>
        <w:rPr>
          <w:rStyle w:val="Strong"/>
          <w:rFonts w:ascii="仿宋" w:eastAsia="仿宋" w:hAnsi="仿宋" w:cs="仿宋" w:hint="eastAsia"/>
          <w:b w:val="0"/>
          <w:bCs w:val="0"/>
          <w:spacing w:val="-4"/>
          <w:sz w:val="32"/>
          <w:szCs w:val="32"/>
        </w:rPr>
        <w:t xml:space="preserve">项目效益类指标包括项目效益1个方面的内容，由2个三级指标构成，权重分为10分，实际得分10分，得分率为100%。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（1）对于“社会效益指标”：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改善本地区医疗服务水平，该指标预期指标值为改善，实际完成值为改善，指标完成率为100%，与预期指标一致，根据评分标准，该指标不扣分，得20分。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（2）对于“经济效益指标”：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（3）对于“生态效益指标”：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无</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w:t>
      </w:r>
      <w:r>
        <w:rPr>
          <w:rFonts w:ascii="楷体" w:eastAsia="楷体" w:hAnsi="楷体" w:cs="楷体" w:hint="eastAsia"/>
          <w:b/>
          <w:spacing w:val="-4"/>
          <w:sz w:val="32"/>
          <w:szCs w:val="32"/>
          <w:lang w:val="en-US" w:eastAsia="zh-CN"/>
        </w:rPr>
        <w:t xml:space="preserve">五</w:t>
      </w:r>
      <w:r>
        <w:rPr>
          <w:rFonts w:ascii="楷体" w:eastAsia="楷体" w:hAnsi="楷体" w:cs="楷体" w:hint="eastAsia"/>
          <w:b/>
          <w:spacing w:val="-4"/>
          <w:sz w:val="32"/>
          <w:szCs w:val="32"/>
        </w:rPr>
        <w:t xml:space="preserve">）满意度指标完成情况分析。</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满意度指标分析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意度指标，就诊患者对医疗服务满意度预期指标值为大于等于95%，实际完成值为100%，指标完成率为105%，与预期目标不一致，偏差原因：满意度指标目标值设置偏低，实际完成值高于预期目标值，改进措施：设置目标时结合历史数据以及实际情况设置指标目标值。根据评分标准，该指标不扣分，得10分。</w:t>
      </w:r>
    </w:p>
    <w:p>
      <w:pPr>
        <w:spacing w:line="570" w:lineRule="exact"/>
        <w:ind w:firstLine="640" w:firstLineChars="200"/>
        <w:rPr>
          <w:rStyle w:val="Strong"/>
          <w:rFonts w:ascii="黑体" w:eastAsia="黑体" w:hAnsi="黑体" w:cs="黑体"/>
          <w:b w:val="0"/>
          <w:spacing w:val="-4"/>
          <w:sz w:val="32"/>
          <w:szCs w:val="32"/>
        </w:rPr>
      </w:pPr>
      <w:bookmarkStart w:id="0" w:name="_GoBack"/>
      <w:bookmarkEnd w:id="0"/>
      <w:r>
        <w:rPr>
          <w:rStyle w:val="Strong"/>
          <w:rFonts w:ascii="黑体" w:eastAsia="黑体" w:hAnsi="黑体" w:cs="黑体" w:hint="eastAsia"/>
          <w:b w:val="0"/>
          <w:spacing w:val="-4"/>
          <w:sz w:val="32"/>
          <w:szCs w:val="32"/>
        </w:rPr>
        <w:t xml:space="preserve">五、预算执行进度与绩效指标偏差</w:t>
      </w:r>
    </w:p>
    <w:p>
      <w:pPr>
        <w:spacing w:line="540" w:lineRule="exact"/>
        <w:ind w:firstLine="567"/>
        <w:rPr>
          <w:rFonts w:ascii="仿宋" w:eastAsia="仿宋" w:hAnsi="仿宋" w:cs="仿宋"/>
          <w:spacing w:val="-4"/>
          <w:sz w:val="32"/>
          <w:szCs w:val="32"/>
        </w:rPr>
      </w:pPr>
      <w:r>
        <w:rPr>
          <w:rStyle w:val="Strong"/>
          <w:rFonts w:ascii="仿宋" w:eastAsia="仿宋" w:hAnsi="仿宋" w:cs="仿宋" w:hint="eastAsia"/>
          <w:b w:val="0"/>
          <w:bCs w:val="0"/>
          <w:spacing w:val="-4"/>
          <w:sz w:val="32"/>
          <w:szCs w:val="32"/>
        </w:rPr>
        <w:t xml:space="preserve">2024年医疗服务与保障能力提升（公立医院综合改革）补助项目预算40万元，到位40万元，实际支出40万元，预算执行率为100%，项目绩效指标总体完成率为100.6%，项目绩效指标总体完成率为100%，偏差率为0.6%。偏差原因：满意度指标目标值设置偏低，导致出现偏差，改进措施：设置目标时结合历史数据以及实际情况设置指标目标值。</w:t>
      </w:r>
    </w:p>
    <w:p>
      <w:pPr>
        <w:spacing w:line="570" w:lineRule="exact"/>
        <w:ind w:firstLine="640" w:firstLineChars="200"/>
        <w:rPr>
          <w:rStyle w:val="Strong"/>
          <w:rFonts w:ascii="黑体" w:eastAsia="黑体" w:hAnsi="黑体" w:cs="黑体" w:hint="eastAsia"/>
          <w:b w:val="0"/>
          <w:spacing w:val="-4"/>
          <w:sz w:val="32"/>
          <w:szCs w:val="32"/>
          <w:lang w:eastAsia="zh-CN"/>
        </w:rPr>
      </w:pPr>
      <w:r>
        <w:rPr>
          <w:rStyle w:val="Strong"/>
          <w:rFonts w:ascii="黑体" w:eastAsia="黑体" w:hAnsi="黑体" w:cs="黑体" w:hint="eastAsia"/>
          <w:b w:val="0"/>
          <w:spacing w:val="-4"/>
          <w:sz w:val="32"/>
          <w:szCs w:val="32"/>
        </w:rPr>
        <w:t xml:space="preserve">六、主要经验及做法、存在的问题及原因分析</w:t>
      </w:r>
      <w:r>
        <w:rPr>
          <w:rStyle w:val="Strong"/>
          <w:rFonts w:ascii="黑体" w:eastAsia="黑体" w:hAnsi="黑体" w:cs="黑体" w:hint="eastAsia"/>
          <w:b w:val="0"/>
          <w:spacing w:val="-4"/>
          <w:sz w:val="32"/>
          <w:szCs w:val="32"/>
          <w:lang w:eastAsia="zh-CN"/>
        </w:rPr>
        <w:t xml:space="preserve">、下一步改进措施</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（一）主要经验及做法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一是2024年医疗服务与保障能力提升（公立医院综合改革）补助项目能够严格按照《项目实施方案》执行，项目执行情况较好。二是加强组织领导，本项目绩效评价工作，有主要领导张庆悦亲自负责 ，分管领导古丽阿扎提·买买提依明监管，医务科负责人刘琛琛具体负责从项目到资金，均能够很好的执行。三是加强沟通协调，本单位及时向领导汇报项目进度，加强与相关单位的沟通，确保项目顺利进行。</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（二）存在问题及原因分析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一是本单位年初在制定项目的年初预算时还有许多不确定因素，实际试剂耗材购买情况不一定能预算精准。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二是自评工作还存在自我审定的局限性，缺少带着问题去评价的意识，档案资料归档不全面，会影响评价质量，容易造成问题的疏漏，在客观性和公正性上说服力不强。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（三）下一步措施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一是根据上年历史数据对本单位年初在制定项目的年初预算进行精确统计，避免实际试剂耗材的采购与计划存在较大不确定因素的情况。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二是根据项目立项情况对相关档案资料存档，保证档案的及安全性，提升项目立项评价的质量，在客观性和公正性上更有说服力。</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七、有关建议</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综合考虑不确定因素，提前做好应急方案，及时跟地区财政局沟通更改预算编制；项目建设的程序进一步规范。项目前期做好应急方案，更加细化实施方案，严格执行资金管理办法和财政资金管理制度，严格按照项目实施方案、招投标管理办法等稳步推进工作。强化需求分析，在项目初期，加强需求分析的深度和广度，确保全面捕捉真实需求，提高沟通率和互动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加强目标管理，加强学习《项目支出绩效评价管理办法》（财预〔2020〕10号）和自治区财政厅《自治区财政支出绩效评价管理暂行办法》（新财预〔2018〕189号）等绩效管理办法；提高对绩效工作的认知；加强项目档案资料管理，项目启动时同步做好档案的归纳与整理，及时整理、收集、汇总，健全档案资料。</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八、其他需要说明的问题</w:t>
      </w:r>
    </w:p>
    <w:p>
      <w:pPr>
        <w:spacing w:line="540" w:lineRule="exact"/>
        <w:ind w:firstLine="567"/>
        <w:rPr>
          <w:rStyle w:val="Strong"/>
          <w:rFonts w:ascii="仿宋" w:eastAsia="仿宋" w:hAnsi="仿宋"/>
          <w:b w:val="0"/>
          <w:spacing w:val="-4"/>
          <w:sz w:val="32"/>
          <w:szCs w:val="32"/>
        </w:rPr>
      </w:pPr>
      <w:r>
        <w:rPr>
          <w:rStyle w:val="Strong"/>
          <w:rFonts w:ascii="仿宋" w:eastAsia="仿宋" w:hAnsi="仿宋" w:cs="仿宋" w:hint="eastAsia"/>
          <w:b w:val="0"/>
          <w:bCs w:val="0"/>
          <w:spacing w:val="-4"/>
          <w:sz w:val="32"/>
          <w:szCs w:val="32"/>
        </w:rPr>
        <w:t xml:space="preserve">我单位对上述项目支出绩效评价报告内反映内容的真实性、完整性负责，接受上级部门及社会公众监督。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附件1：综合评分表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附件2：满意度调查分析情况</w:t>
      </w:r>
    </w:p>
    <w:sectPr>
      <w:footerReference w:type="default" r:id="rId2"/>
      <w:pgSz w:w="11906" w:h="16838" w:orient="portrait"/>
      <w:pgMar w:top="1440" w:right="1558" w:bottom="1440" w:left="1800" w:header="851" w:footer="992" w:gutter="0"/>
      <w:pgBorders/>
      <w:cols w:num="1" w:space="425">
        <w:col w:w="8548"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3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OTc0ZGFmZGVlMTU2YmFlODYzODJmYzUzZGI2NmMwNGE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qFormat/>
    <w:rPr>
      <w:rFonts w:ascii="Calibri" w:eastAsia="宋体" w:hAnsi="Calibri"/>
      <w:kern w:val="2"/>
      <w:sz w:val="18"/>
      <w:szCs w:val="18"/>
    </w:rPr>
  </w:style>
  <w:style w:type="character" w:customStyle="1" w:styleId="页脚字符">
    <w:name w:val="页脚 字符"/>
    <w:basedOn w:val="DefaultParagraphFont"/>
    <w:link w:val="Footer"/>
    <w:uiPriority w:val="99"/>
    <w:qFormat/>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0</TotalTime>
  <Pages>3</Pages>
  <Words>341</Words>
  <Characters>646</Characters>
  <Application>WPS Office_11.1.0.14036_F1E327BC-269C-435d-A152-05C5408002CA</Application>
  <DocSecurity>0</DocSecurity>
  <Lines>5</Lines>
  <Paragraphs>1</Paragraphs>
  <Company>Microsoft</Company>
  <CharactersWithSpaces>652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ksjx-admin</cp:lastModifiedBy>
  <cp:revision>19</cp:revision>
  <cp:lastPrinted>2018-12-31T10:56:00Z</cp:lastPrinted>
  <dcterms:created xsi:type="dcterms:W3CDTF">2022-01-14T05:11:00Z</dcterms:created>
  <dcterms:modified xsi:type="dcterms:W3CDTF">2025-03-26T11:27:46Z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2052-11.1.0.14036</vt:lpwstr>
  </property>
  <property fmtid="{D5CDD505-2E9C-101B-9397-08002B2CF9AE}" pid="3" name="ICV">
    <vt:lpwstr>299A846E7742483FADE25949A45A48D3_12</vt:lpwstr>
  </property>
</Properties>
</file>