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DB9C88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新疆维吾尔自治区喀什地区干部休养所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FCFB5C1">
      <w:r>
        <w:br w:type="page"/>
      </w:r>
    </w:p>
    <w:p w14:paraId="5CBFEFA5">
      <w:pPr>
        <w:spacing w:line="640" w:lineRule="exact"/>
        <w:jc w:val="center"/>
        <w:outlineLvl w:val="1"/>
      </w:pPr>
      <w:r>
        <w:rPr>
          <w:rFonts w:ascii="黑体" w:hAnsi="黑体" w:eastAsia="黑体"/>
          <w:sz w:val="32"/>
        </w:rPr>
        <w:t>第一部分 部门概况</w:t>
      </w:r>
    </w:p>
    <w:p w14:paraId="56204356">
      <w:pPr>
        <w:spacing w:line="640" w:lineRule="exact"/>
        <w:ind w:firstLine="640"/>
        <w:jc w:val="both"/>
        <w:outlineLvl w:val="2"/>
      </w:pPr>
      <w:r>
        <w:rPr>
          <w:rFonts w:ascii="黑体" w:hAnsi="黑体" w:eastAsia="黑体"/>
          <w:sz w:val="32"/>
        </w:rPr>
        <w:t>一、主要职能</w:t>
      </w:r>
    </w:p>
    <w:p w14:paraId="1A397EAB">
      <w:pPr>
        <w:spacing w:line="580" w:lineRule="exact"/>
        <w:ind w:firstLine="640"/>
        <w:jc w:val="both"/>
      </w:pPr>
      <w:r>
        <w:rPr>
          <w:rFonts w:ascii="仿宋_GB2312" w:hAnsi="仿宋_GB2312" w:eastAsia="仿宋_GB2312"/>
          <w:sz w:val="32"/>
        </w:rPr>
        <w:t>组织老干部开展有益于身心健康的活动，负责管理老干部的活动经费和其他费用，做好节假日对老干部的慰问工作，解决老干部的各种困难，落实老干部各项待遇。</w:t>
      </w:r>
    </w:p>
    <w:p w14:paraId="511DE165">
      <w:pPr>
        <w:spacing w:line="640" w:lineRule="exact"/>
        <w:ind w:firstLine="640"/>
        <w:jc w:val="both"/>
        <w:outlineLvl w:val="2"/>
      </w:pPr>
      <w:r>
        <w:rPr>
          <w:rFonts w:ascii="黑体" w:hAnsi="黑体" w:eastAsia="黑体"/>
          <w:sz w:val="32"/>
        </w:rPr>
        <w:t>二、机构设置及人员情况</w:t>
      </w:r>
    </w:p>
    <w:p w14:paraId="126F88A4">
      <w:pPr>
        <w:spacing w:line="580" w:lineRule="exact"/>
        <w:ind w:firstLine="640"/>
        <w:jc w:val="both"/>
      </w:pPr>
      <w:r>
        <w:rPr>
          <w:rFonts w:ascii="仿宋_GB2312" w:hAnsi="仿宋_GB2312" w:eastAsia="仿宋_GB2312"/>
          <w:sz w:val="32"/>
        </w:rPr>
        <w:t>新疆维吾尔自治区喀什地区干部休养所2024年度，实有人数15人，其中：在职人员5人，增加0人；离休人员0人，增加0人；退休人员10人,增加0人。</w:t>
      </w:r>
    </w:p>
    <w:p w14:paraId="0404D626">
      <w:pPr>
        <w:spacing w:line="580" w:lineRule="exact"/>
        <w:ind w:firstLine="640"/>
        <w:jc w:val="both"/>
      </w:pPr>
      <w:r>
        <w:rPr>
          <w:rFonts w:ascii="仿宋_GB2312" w:hAnsi="仿宋_GB2312" w:eastAsia="仿宋_GB2312"/>
          <w:sz w:val="32"/>
        </w:rPr>
        <w:t>新疆维吾尔自治区喀什地区干部休养所无下属预算单位，下设2个科室，分别是：办公室、财务室。</w:t>
      </w:r>
    </w:p>
    <w:p w14:paraId="35458242">
      <w:r>
        <w:br w:type="page"/>
      </w:r>
    </w:p>
    <w:p w14:paraId="3C1C9B18">
      <w:pPr>
        <w:spacing w:line="240" w:lineRule="auto"/>
        <w:jc w:val="center"/>
        <w:outlineLvl w:val="1"/>
      </w:pPr>
      <w:r>
        <w:rPr>
          <w:rFonts w:ascii="黑体" w:hAnsi="黑体" w:eastAsia="黑体"/>
          <w:sz w:val="32"/>
        </w:rPr>
        <w:t>第二部分 部门决算情况说明</w:t>
      </w:r>
    </w:p>
    <w:p w14:paraId="3D82A8C7">
      <w:pPr>
        <w:spacing w:line="640" w:lineRule="exact"/>
        <w:ind w:firstLine="640"/>
        <w:jc w:val="both"/>
        <w:outlineLvl w:val="2"/>
      </w:pPr>
      <w:r>
        <w:rPr>
          <w:rFonts w:ascii="黑体" w:hAnsi="黑体" w:eastAsia="黑体"/>
          <w:sz w:val="32"/>
        </w:rPr>
        <w:t>一、收入支出决算总体情况说明</w:t>
      </w:r>
    </w:p>
    <w:p w14:paraId="3FB49BB2">
      <w:pPr>
        <w:spacing w:line="580" w:lineRule="exact"/>
        <w:ind w:firstLine="640"/>
        <w:jc w:val="both"/>
      </w:pPr>
      <w:r>
        <w:rPr>
          <w:rFonts w:ascii="仿宋_GB2312" w:hAnsi="仿宋_GB2312" w:eastAsia="仿宋_GB2312"/>
          <w:b/>
          <w:sz w:val="32"/>
        </w:rPr>
        <w:t>2024年度收入总计158.85万元，</w:t>
      </w:r>
      <w:r>
        <w:rPr>
          <w:rFonts w:ascii="仿宋_GB2312" w:hAnsi="仿宋_GB2312" w:eastAsia="仿宋_GB2312"/>
          <w:b w:val="0"/>
          <w:sz w:val="32"/>
        </w:rPr>
        <w:t>其中：本年收入合计158.85万元，使用非财政拨款结余（含专用结余）0.00万元，年初结转和结余0.00万元。</w:t>
      </w:r>
    </w:p>
    <w:p w14:paraId="74BC0706">
      <w:pPr>
        <w:spacing w:line="580" w:lineRule="exact"/>
        <w:ind w:firstLine="640"/>
        <w:jc w:val="both"/>
      </w:pPr>
      <w:r>
        <w:rPr>
          <w:rFonts w:ascii="仿宋_GB2312" w:hAnsi="仿宋_GB2312" w:eastAsia="仿宋_GB2312"/>
          <w:b/>
          <w:sz w:val="32"/>
        </w:rPr>
        <w:t>2024年度支出总计158.85万元，</w:t>
      </w:r>
      <w:r>
        <w:rPr>
          <w:rFonts w:ascii="仿宋_GB2312" w:hAnsi="仿宋_GB2312" w:eastAsia="仿宋_GB2312"/>
          <w:b w:val="0"/>
          <w:sz w:val="32"/>
        </w:rPr>
        <w:t>其中：本年支出合计158.85万元，结余分配0.00万元，年末结转和结余0.00万元。</w:t>
      </w:r>
    </w:p>
    <w:p w14:paraId="1367683B">
      <w:pPr>
        <w:spacing w:line="580" w:lineRule="exact"/>
        <w:ind w:firstLine="640"/>
        <w:jc w:val="both"/>
        <w:rPr>
          <w:rFonts w:hint="default" w:eastAsia="仿宋_GB2312"/>
          <w:lang w:val="en-US" w:eastAsia="zh-CN"/>
        </w:rPr>
      </w:pPr>
      <w:r>
        <w:rPr>
          <w:rFonts w:ascii="仿宋_GB2312" w:hAnsi="仿宋_GB2312" w:eastAsia="仿宋_GB2312"/>
          <w:b w:val="0"/>
          <w:sz w:val="32"/>
        </w:rPr>
        <w:t>收入支出总体与上年相比，减少57.73万元，下降26.66%，主要原因是：</w:t>
      </w:r>
      <w:r>
        <w:rPr>
          <w:rFonts w:hint="eastAsia" w:ascii="仿宋_GB2312" w:hAnsi="仿宋_GB2312" w:eastAsia="仿宋_GB2312"/>
          <w:b w:val="0"/>
          <w:sz w:val="32"/>
          <w:lang w:val="en-US" w:eastAsia="zh-CN"/>
        </w:rPr>
        <w:t>由于</w:t>
      </w:r>
      <w:r>
        <w:rPr>
          <w:rFonts w:ascii="仿宋_GB2312" w:hAnsi="仿宋_GB2312" w:eastAsia="仿宋_GB2312"/>
          <w:b w:val="0"/>
          <w:sz w:val="32"/>
        </w:rPr>
        <w:t>破产企业离休人员</w:t>
      </w:r>
      <w:r>
        <w:rPr>
          <w:rFonts w:hint="eastAsia" w:ascii="仿宋_GB2312" w:hAnsi="仿宋_GB2312" w:eastAsia="仿宋_GB2312"/>
          <w:b w:val="0"/>
          <w:sz w:val="32"/>
          <w:lang w:val="en-US" w:eastAsia="zh-CN"/>
        </w:rPr>
        <w:t>自然减员，减少</w:t>
      </w:r>
      <w:r>
        <w:rPr>
          <w:rFonts w:ascii="仿宋_GB2312" w:hAnsi="仿宋_GB2312" w:eastAsia="仿宋_GB2312"/>
          <w:b w:val="0"/>
          <w:sz w:val="32"/>
        </w:rPr>
        <w:t>基础绩效奖及补发资金，</w:t>
      </w:r>
      <w:r>
        <w:rPr>
          <w:rFonts w:hint="eastAsia" w:ascii="仿宋_GB2312" w:hAnsi="仿宋_GB2312" w:eastAsia="仿宋_GB2312"/>
          <w:b w:val="0"/>
          <w:sz w:val="32"/>
          <w:lang w:val="en-US" w:eastAsia="zh-CN"/>
        </w:rPr>
        <w:t>导致相关经费减少。</w:t>
      </w:r>
    </w:p>
    <w:p w14:paraId="10C2FF3F">
      <w:pPr>
        <w:spacing w:line="640" w:lineRule="exact"/>
        <w:ind w:firstLine="640"/>
        <w:jc w:val="both"/>
        <w:outlineLvl w:val="2"/>
      </w:pPr>
      <w:r>
        <w:rPr>
          <w:rFonts w:ascii="黑体" w:hAnsi="黑体" w:eastAsia="黑体"/>
          <w:sz w:val="32"/>
        </w:rPr>
        <w:t>二、收入决算情况说明</w:t>
      </w:r>
    </w:p>
    <w:p w14:paraId="221BA629">
      <w:pPr>
        <w:spacing w:line="580" w:lineRule="exact"/>
        <w:ind w:firstLine="640"/>
        <w:jc w:val="both"/>
      </w:pPr>
      <w:r>
        <w:rPr>
          <w:rFonts w:ascii="仿宋_GB2312" w:hAnsi="仿宋_GB2312" w:eastAsia="仿宋_GB2312"/>
          <w:b/>
          <w:sz w:val="32"/>
        </w:rPr>
        <w:t>本年收入158.85万元，</w:t>
      </w:r>
      <w:r>
        <w:rPr>
          <w:rFonts w:ascii="仿宋_GB2312" w:hAnsi="仿宋_GB2312" w:eastAsia="仿宋_GB2312"/>
          <w:b w:val="0"/>
          <w:sz w:val="32"/>
        </w:rPr>
        <w:t>其中：财政拨款收入158.85万元，占100.00%；上级补助收入0.00万元，占0.00%；事业收入0.00万元，占0.00%；经营收入0.00万元，占0.00%；附属单位上缴收入0.00万元，占0.00%；其他收入0.00万元，占0.00%。</w:t>
      </w:r>
    </w:p>
    <w:p w14:paraId="1A3253F4">
      <w:pPr>
        <w:spacing w:line="640" w:lineRule="exact"/>
        <w:ind w:firstLine="640"/>
        <w:jc w:val="both"/>
        <w:outlineLvl w:val="2"/>
      </w:pPr>
      <w:r>
        <w:rPr>
          <w:rFonts w:ascii="黑体" w:hAnsi="黑体" w:eastAsia="黑体"/>
          <w:sz w:val="32"/>
        </w:rPr>
        <w:t>三、支出决算情况说明</w:t>
      </w:r>
    </w:p>
    <w:p w14:paraId="5B88CC68">
      <w:pPr>
        <w:spacing w:line="580" w:lineRule="exact"/>
        <w:ind w:firstLine="640"/>
        <w:jc w:val="both"/>
      </w:pPr>
      <w:r>
        <w:rPr>
          <w:rFonts w:ascii="仿宋_GB2312" w:hAnsi="仿宋_GB2312" w:eastAsia="仿宋_GB2312"/>
          <w:b/>
          <w:sz w:val="32"/>
        </w:rPr>
        <w:t>本年支出158.85万元，</w:t>
      </w:r>
      <w:r>
        <w:rPr>
          <w:rFonts w:ascii="仿宋_GB2312" w:hAnsi="仿宋_GB2312" w:eastAsia="仿宋_GB2312"/>
          <w:b w:val="0"/>
          <w:sz w:val="32"/>
        </w:rPr>
        <w:t>其中：基本支出158.85万元，占100.00%；项目支出0.00万元，占0.00%；上缴上级支出0.00万元，占0.00%；经营支出0.00万元，占0.00%；对附属单位补助支出0.00万元，占0.00%。</w:t>
      </w:r>
    </w:p>
    <w:p w14:paraId="23A2719C">
      <w:pPr>
        <w:spacing w:line="640" w:lineRule="exact"/>
        <w:ind w:firstLine="640"/>
        <w:jc w:val="both"/>
        <w:outlineLvl w:val="2"/>
      </w:pPr>
      <w:r>
        <w:rPr>
          <w:rFonts w:ascii="黑体" w:hAnsi="黑体" w:eastAsia="黑体"/>
          <w:sz w:val="32"/>
        </w:rPr>
        <w:t>四、财政拨款收入支出决算总体情况说明</w:t>
      </w:r>
    </w:p>
    <w:p w14:paraId="210632F6">
      <w:pPr>
        <w:spacing w:line="580" w:lineRule="exact"/>
        <w:ind w:firstLine="640"/>
        <w:jc w:val="both"/>
      </w:pPr>
      <w:r>
        <w:rPr>
          <w:rFonts w:ascii="仿宋_GB2312" w:hAnsi="仿宋_GB2312" w:eastAsia="仿宋_GB2312"/>
          <w:b/>
          <w:sz w:val="32"/>
        </w:rPr>
        <w:t>2024年度财政拨款收入总计158.85万元，</w:t>
      </w:r>
      <w:r>
        <w:rPr>
          <w:rFonts w:ascii="仿宋_GB2312" w:hAnsi="仿宋_GB2312" w:eastAsia="仿宋_GB2312"/>
          <w:b w:val="0"/>
          <w:sz w:val="32"/>
        </w:rPr>
        <w:t>其中：年初财政拨款结转和结余0.00万元，本年财政拨款收入158.85万元。</w:t>
      </w:r>
      <w:r>
        <w:rPr>
          <w:rFonts w:ascii="仿宋_GB2312" w:hAnsi="仿宋_GB2312" w:eastAsia="仿宋_GB2312"/>
          <w:b/>
          <w:sz w:val="32"/>
        </w:rPr>
        <w:t>财政拨款支出总计158.85万元，</w:t>
      </w:r>
      <w:r>
        <w:rPr>
          <w:rFonts w:ascii="仿宋_GB2312" w:hAnsi="仿宋_GB2312" w:eastAsia="仿宋_GB2312"/>
          <w:b w:val="0"/>
          <w:sz w:val="32"/>
        </w:rPr>
        <w:t>其中：年末财政拨款结转和结余0.00万元，本年财政拨款支出158.85万元。</w:t>
      </w:r>
    </w:p>
    <w:p w14:paraId="036C26ED">
      <w:pPr>
        <w:spacing w:line="580" w:lineRule="exact"/>
        <w:ind w:firstLine="640"/>
        <w:jc w:val="both"/>
        <w:rPr>
          <w:rFonts w:hint="default"/>
          <w:lang w:val="en-US"/>
        </w:rPr>
      </w:pPr>
      <w:r>
        <w:rPr>
          <w:rFonts w:ascii="仿宋_GB2312" w:hAnsi="仿宋_GB2312" w:eastAsia="仿宋_GB2312"/>
          <w:b/>
          <w:sz w:val="32"/>
        </w:rPr>
        <w:t>财政拨款收入支出总体与上年相比，</w:t>
      </w:r>
      <w:r>
        <w:rPr>
          <w:rFonts w:ascii="仿宋_GB2312" w:hAnsi="仿宋_GB2312" w:eastAsia="仿宋_GB2312"/>
          <w:b w:val="0"/>
          <w:sz w:val="32"/>
        </w:rPr>
        <w:t>减少57.73万元，下降26.66%，主要原因是：</w:t>
      </w:r>
      <w:r>
        <w:rPr>
          <w:rFonts w:hint="eastAsia" w:ascii="仿宋_GB2312" w:hAnsi="仿宋_GB2312" w:eastAsia="仿宋_GB2312"/>
          <w:b w:val="0"/>
          <w:sz w:val="32"/>
          <w:lang w:val="en-US" w:eastAsia="zh-CN"/>
        </w:rPr>
        <w:t>由于</w:t>
      </w:r>
      <w:r>
        <w:rPr>
          <w:rFonts w:ascii="仿宋_GB2312" w:hAnsi="仿宋_GB2312" w:eastAsia="仿宋_GB2312"/>
          <w:b w:val="0"/>
          <w:sz w:val="32"/>
        </w:rPr>
        <w:t>破产企业离休人员</w:t>
      </w:r>
      <w:r>
        <w:rPr>
          <w:rFonts w:hint="eastAsia" w:ascii="仿宋_GB2312" w:hAnsi="仿宋_GB2312" w:eastAsia="仿宋_GB2312"/>
          <w:b w:val="0"/>
          <w:sz w:val="32"/>
          <w:lang w:val="en-US" w:eastAsia="zh-CN"/>
        </w:rPr>
        <w:t>自然减员，减少</w:t>
      </w:r>
      <w:r>
        <w:rPr>
          <w:rFonts w:ascii="仿宋_GB2312" w:hAnsi="仿宋_GB2312" w:eastAsia="仿宋_GB2312"/>
          <w:b w:val="0"/>
          <w:sz w:val="32"/>
        </w:rPr>
        <w:t>基础绩效奖及补发资金，</w:t>
      </w:r>
      <w:r>
        <w:rPr>
          <w:rFonts w:hint="eastAsia" w:ascii="仿宋_GB2312" w:hAnsi="仿宋_GB2312" w:eastAsia="仿宋_GB2312"/>
          <w:b w:val="0"/>
          <w:sz w:val="32"/>
          <w:lang w:val="en-US" w:eastAsia="zh-CN"/>
        </w:rPr>
        <w:t>导致相关经费减少。</w:t>
      </w:r>
      <w:r>
        <w:rPr>
          <w:rFonts w:ascii="仿宋_GB2312" w:hAnsi="仿宋_GB2312" w:eastAsia="仿宋_GB2312"/>
          <w:b/>
          <w:sz w:val="32"/>
        </w:rPr>
        <w:t>与年初预算相比，</w:t>
      </w:r>
      <w:r>
        <w:rPr>
          <w:rFonts w:ascii="仿宋_GB2312" w:hAnsi="仿宋_GB2312" w:eastAsia="仿宋_GB2312"/>
          <w:b w:val="0"/>
          <w:sz w:val="32"/>
        </w:rPr>
        <w:t>年初预算数163.68万元，决算数158.85万元，预决算差异率-2.95%，主要原因是：</w:t>
      </w:r>
      <w:r>
        <w:rPr>
          <w:rFonts w:hint="eastAsia" w:ascii="仿宋_GB2312" w:hAnsi="仿宋_GB2312" w:eastAsia="仿宋_GB2312"/>
          <w:b w:val="0"/>
          <w:sz w:val="32"/>
          <w:lang w:val="en-US" w:eastAsia="zh-CN"/>
        </w:rPr>
        <w:t>由于</w:t>
      </w:r>
      <w:r>
        <w:rPr>
          <w:rFonts w:ascii="仿宋_GB2312" w:hAnsi="仿宋_GB2312" w:eastAsia="仿宋_GB2312"/>
          <w:b w:val="0"/>
          <w:sz w:val="32"/>
        </w:rPr>
        <w:t>破产企业离休人员</w:t>
      </w:r>
      <w:r>
        <w:rPr>
          <w:rFonts w:hint="eastAsia" w:ascii="仿宋_GB2312" w:hAnsi="仿宋_GB2312" w:eastAsia="仿宋_GB2312"/>
          <w:b w:val="0"/>
          <w:sz w:val="32"/>
          <w:lang w:val="en-US" w:eastAsia="zh-CN"/>
        </w:rPr>
        <w:t>自然减员，年中调减</w:t>
      </w:r>
      <w:r>
        <w:rPr>
          <w:rFonts w:ascii="仿宋_GB2312" w:hAnsi="仿宋_GB2312" w:eastAsia="仿宋_GB2312"/>
          <w:b w:val="0"/>
          <w:sz w:val="32"/>
        </w:rPr>
        <w:t>基础绩效奖及补发资金，</w:t>
      </w:r>
      <w:r>
        <w:rPr>
          <w:rFonts w:hint="eastAsia" w:ascii="仿宋_GB2312" w:hAnsi="仿宋_GB2312" w:eastAsia="仿宋_GB2312"/>
          <w:b w:val="0"/>
          <w:sz w:val="32"/>
          <w:lang w:val="en-US" w:eastAsia="zh-CN"/>
        </w:rPr>
        <w:t>导致预决算差异。</w:t>
      </w:r>
    </w:p>
    <w:p w14:paraId="758DE587">
      <w:pPr>
        <w:spacing w:line="640" w:lineRule="exact"/>
        <w:ind w:firstLine="640"/>
        <w:jc w:val="both"/>
        <w:outlineLvl w:val="2"/>
      </w:pPr>
      <w:r>
        <w:rPr>
          <w:rFonts w:ascii="黑体" w:hAnsi="黑体" w:eastAsia="黑体"/>
          <w:sz w:val="32"/>
        </w:rPr>
        <w:t>五、一般公共预算财政拨款支出决算情况说明</w:t>
      </w:r>
    </w:p>
    <w:p w14:paraId="0C0FAFA8">
      <w:pPr>
        <w:spacing w:line="640" w:lineRule="exact"/>
        <w:ind w:firstLine="640"/>
        <w:jc w:val="both"/>
        <w:outlineLvl w:val="3"/>
      </w:pPr>
      <w:r>
        <w:rPr>
          <w:rFonts w:ascii="楷体_GB2312" w:hAnsi="楷体_GB2312" w:eastAsia="楷体_GB2312"/>
          <w:b/>
          <w:sz w:val="32"/>
        </w:rPr>
        <w:t>（一）一般公共预算财政拨款支出决算总体情况</w:t>
      </w:r>
    </w:p>
    <w:p w14:paraId="600B1084">
      <w:pPr>
        <w:spacing w:line="580" w:lineRule="exact"/>
        <w:ind w:firstLine="640"/>
        <w:jc w:val="both"/>
      </w:pPr>
      <w:r>
        <w:rPr>
          <w:rFonts w:ascii="仿宋_GB2312" w:hAnsi="仿宋_GB2312" w:eastAsia="仿宋_GB2312"/>
          <w:b/>
          <w:sz w:val="32"/>
        </w:rPr>
        <w:t>2024年度一般公共预算财政拨款支出158.85万元，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减少57.73万元，下降26.66%，主要原因是：</w:t>
      </w:r>
      <w:r>
        <w:rPr>
          <w:rFonts w:hint="eastAsia" w:ascii="仿宋_GB2312" w:hAnsi="仿宋_GB2312" w:eastAsia="仿宋_GB2312"/>
          <w:b w:val="0"/>
          <w:sz w:val="32"/>
          <w:lang w:val="en-US" w:eastAsia="zh-CN"/>
        </w:rPr>
        <w:t>由于</w:t>
      </w:r>
      <w:r>
        <w:rPr>
          <w:rFonts w:ascii="仿宋_GB2312" w:hAnsi="仿宋_GB2312" w:eastAsia="仿宋_GB2312"/>
          <w:b w:val="0"/>
          <w:sz w:val="32"/>
        </w:rPr>
        <w:t>破产企业离休人员</w:t>
      </w:r>
      <w:r>
        <w:rPr>
          <w:rFonts w:hint="eastAsia" w:ascii="仿宋_GB2312" w:hAnsi="仿宋_GB2312" w:eastAsia="仿宋_GB2312"/>
          <w:b w:val="0"/>
          <w:sz w:val="32"/>
          <w:lang w:val="en-US" w:eastAsia="zh-CN"/>
        </w:rPr>
        <w:t>自然减员，减少</w:t>
      </w:r>
      <w:r>
        <w:rPr>
          <w:rFonts w:ascii="仿宋_GB2312" w:hAnsi="仿宋_GB2312" w:eastAsia="仿宋_GB2312"/>
          <w:b w:val="0"/>
          <w:sz w:val="32"/>
        </w:rPr>
        <w:t>基础绩效奖及补发资金，</w:t>
      </w:r>
      <w:r>
        <w:rPr>
          <w:rFonts w:hint="eastAsia" w:ascii="仿宋_GB2312" w:hAnsi="仿宋_GB2312" w:eastAsia="仿宋_GB2312"/>
          <w:b w:val="0"/>
          <w:sz w:val="32"/>
          <w:lang w:val="en-US" w:eastAsia="zh-CN"/>
        </w:rPr>
        <w:t>导致相关经费减少。</w:t>
      </w:r>
      <w:r>
        <w:rPr>
          <w:rFonts w:ascii="仿宋_GB2312" w:hAnsi="仿宋_GB2312" w:eastAsia="仿宋_GB2312"/>
          <w:b/>
          <w:sz w:val="32"/>
        </w:rPr>
        <w:t>与年初预算相比,</w:t>
      </w:r>
      <w:r>
        <w:rPr>
          <w:rFonts w:ascii="仿宋_GB2312" w:hAnsi="仿宋_GB2312" w:eastAsia="仿宋_GB2312"/>
          <w:b w:val="0"/>
          <w:sz w:val="32"/>
        </w:rPr>
        <w:t>年初预算数163.68万元，决算数158.85万元，预决算差异率-2.95%，主要原因是：</w:t>
      </w:r>
      <w:r>
        <w:rPr>
          <w:rFonts w:hint="eastAsia" w:ascii="仿宋_GB2312" w:hAnsi="仿宋_GB2312" w:eastAsia="仿宋_GB2312"/>
          <w:b w:val="0"/>
          <w:sz w:val="32"/>
          <w:lang w:val="en-US" w:eastAsia="zh-CN"/>
        </w:rPr>
        <w:t>由于</w:t>
      </w:r>
      <w:r>
        <w:rPr>
          <w:rFonts w:ascii="仿宋_GB2312" w:hAnsi="仿宋_GB2312" w:eastAsia="仿宋_GB2312"/>
          <w:b w:val="0"/>
          <w:sz w:val="32"/>
        </w:rPr>
        <w:t>破产企业离休人员</w:t>
      </w:r>
      <w:r>
        <w:rPr>
          <w:rFonts w:hint="eastAsia" w:ascii="仿宋_GB2312" w:hAnsi="仿宋_GB2312" w:eastAsia="仿宋_GB2312"/>
          <w:b w:val="0"/>
          <w:sz w:val="32"/>
          <w:lang w:val="en-US" w:eastAsia="zh-CN"/>
        </w:rPr>
        <w:t>自然减员，年中调减</w:t>
      </w:r>
      <w:r>
        <w:rPr>
          <w:rFonts w:ascii="仿宋_GB2312" w:hAnsi="仿宋_GB2312" w:eastAsia="仿宋_GB2312"/>
          <w:b w:val="0"/>
          <w:sz w:val="32"/>
        </w:rPr>
        <w:t>基础绩效奖及补发资金，</w:t>
      </w:r>
      <w:r>
        <w:rPr>
          <w:rFonts w:hint="eastAsia" w:ascii="仿宋_GB2312" w:hAnsi="仿宋_GB2312" w:eastAsia="仿宋_GB2312"/>
          <w:b w:val="0"/>
          <w:sz w:val="32"/>
          <w:lang w:val="en-US" w:eastAsia="zh-CN"/>
        </w:rPr>
        <w:t>导致预决算差异。</w:t>
      </w:r>
    </w:p>
    <w:p w14:paraId="3D964C4A">
      <w:pPr>
        <w:spacing w:line="640" w:lineRule="exact"/>
        <w:ind w:firstLine="640"/>
        <w:jc w:val="both"/>
        <w:outlineLvl w:val="3"/>
      </w:pPr>
      <w:r>
        <w:rPr>
          <w:rFonts w:ascii="楷体_GB2312" w:hAnsi="楷体_GB2312" w:eastAsia="楷体_GB2312"/>
          <w:b/>
          <w:sz w:val="32"/>
        </w:rPr>
        <w:t>（二）一般公共预算财政拨款支出决算结构情况</w:t>
      </w:r>
    </w:p>
    <w:p w14:paraId="30CC3AF3">
      <w:pPr>
        <w:spacing w:line="580" w:lineRule="exact"/>
        <w:ind w:firstLine="640"/>
        <w:jc w:val="both"/>
      </w:pPr>
      <w:r>
        <w:rPr>
          <w:rFonts w:ascii="仿宋_GB2312" w:hAnsi="仿宋_GB2312" w:eastAsia="仿宋_GB2312"/>
          <w:b w:val="0"/>
          <w:sz w:val="32"/>
        </w:rPr>
        <w:t>1.社会保障和就业支出(类)146.39万元,占92.16%。</w:t>
      </w:r>
    </w:p>
    <w:p w14:paraId="78BC7F22">
      <w:pPr>
        <w:spacing w:line="580" w:lineRule="exact"/>
        <w:ind w:firstLine="640"/>
        <w:jc w:val="both"/>
      </w:pPr>
      <w:r>
        <w:rPr>
          <w:rFonts w:ascii="仿宋_GB2312" w:hAnsi="仿宋_GB2312" w:eastAsia="仿宋_GB2312"/>
          <w:b w:val="0"/>
          <w:sz w:val="32"/>
        </w:rPr>
        <w:t>2.卫生健康支出(类)4.61万元,占2.90%。</w:t>
      </w:r>
    </w:p>
    <w:p w14:paraId="1A63F72E">
      <w:pPr>
        <w:spacing w:line="580" w:lineRule="exact"/>
        <w:ind w:firstLine="640"/>
        <w:jc w:val="both"/>
      </w:pPr>
      <w:r>
        <w:rPr>
          <w:rFonts w:ascii="仿宋_GB2312" w:hAnsi="仿宋_GB2312" w:eastAsia="仿宋_GB2312"/>
          <w:b w:val="0"/>
          <w:sz w:val="32"/>
        </w:rPr>
        <w:t>3.住房保障支出(类)7.86万元,占4.95%。</w:t>
      </w:r>
    </w:p>
    <w:p w14:paraId="2649D0D0">
      <w:pPr>
        <w:spacing w:line="640" w:lineRule="exact"/>
        <w:ind w:firstLine="640"/>
        <w:jc w:val="both"/>
        <w:outlineLvl w:val="3"/>
      </w:pPr>
      <w:r>
        <w:rPr>
          <w:rFonts w:ascii="楷体_GB2312" w:hAnsi="楷体_GB2312" w:eastAsia="楷体_GB2312"/>
          <w:b/>
          <w:sz w:val="32"/>
        </w:rPr>
        <w:t>（三）一般公共预算财政拨款支出决算具体情况</w:t>
      </w:r>
    </w:p>
    <w:p w14:paraId="3C3850EA">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14.55万元，比上年决算增加3.88万元，增长36.36%,主要原因是：本年增加退休人员基础绩效奖，退休费支出增加；本年功能科目调整，事业单位离退休调整至行政单位离退休，导致经费较上年增加。</w:t>
      </w:r>
    </w:p>
    <w:p w14:paraId="19CABDA5">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0.00万元，比上年决算减少0.37万元，下降100.00%,主要原因是：本年功能科目调整，事业单位离退休调整至行政单位离退休，导致经费较上年减少。</w:t>
      </w:r>
    </w:p>
    <w:p w14:paraId="34248973">
      <w:pPr>
        <w:spacing w:line="580" w:lineRule="exact"/>
        <w:ind w:firstLine="640"/>
        <w:jc w:val="both"/>
      </w:pPr>
      <w:r>
        <w:rPr>
          <w:rFonts w:ascii="仿宋_GB2312" w:hAnsi="仿宋_GB2312" w:eastAsia="仿宋_GB2312"/>
          <w:b w:val="0"/>
          <w:sz w:val="32"/>
        </w:rPr>
        <w:t>3.社会保障和就业支出(类)行政事业单位养老支出(款)离退休人员管理机构(项):支出决算数为122.59万元，比上年决算减少63.67万元，下降34.18%,主要原因是：本部门2023年度3月开始发放37人破产企业离休人员基础绩效奖及补发资金，2024年度</w:t>
      </w:r>
      <w:r>
        <w:rPr>
          <w:rFonts w:hint="eastAsia" w:ascii="仿宋_GB2312" w:hAnsi="仿宋_GB2312" w:eastAsia="仿宋_GB2312"/>
          <w:b w:val="0"/>
          <w:sz w:val="32"/>
          <w:lang w:val="en-US" w:eastAsia="zh-CN"/>
        </w:rPr>
        <w:t>减少</w:t>
      </w:r>
      <w:r>
        <w:rPr>
          <w:rFonts w:ascii="仿宋_GB2312" w:hAnsi="仿宋_GB2312" w:eastAsia="仿宋_GB2312"/>
          <w:b w:val="0"/>
          <w:sz w:val="32"/>
        </w:rPr>
        <w:t>企业离休人员基础绩效奖补发，2024年度发放期间离世3人，相应支出减少。</w:t>
      </w:r>
    </w:p>
    <w:p w14:paraId="1EA17D07">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9.24万元，比上年决算增加0.80万元，增长9.48%,主要原因是：本年在职人员工资基数调增，医疗缴费基数上涨，相应支出增加。</w:t>
      </w:r>
    </w:p>
    <w:p w14:paraId="71CF110E">
      <w:pPr>
        <w:spacing w:line="580" w:lineRule="exact"/>
        <w:ind w:firstLine="640"/>
        <w:jc w:val="both"/>
      </w:pPr>
      <w:r>
        <w:rPr>
          <w:rFonts w:ascii="仿宋_GB2312" w:hAnsi="仿宋_GB2312" w:eastAsia="仿宋_GB2312"/>
          <w:b w:val="0"/>
          <w:sz w:val="32"/>
        </w:rPr>
        <w:t>5.卫生健康支出(类)卫生健康管理事务(款)机关服务(项):支出决算数为0.02万元，比上年决算增加0.02万元，增长100.00%,主要原因是：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功能科目使用错误，此项资金原为公务员医疗补助（2101103），今年使用功能科目时用成机关服务(2100103)导致经费较上年增加。</w:t>
      </w:r>
    </w:p>
    <w:p w14:paraId="272BD59B">
      <w:pPr>
        <w:spacing w:line="580" w:lineRule="exact"/>
        <w:ind w:firstLine="640"/>
        <w:jc w:val="both"/>
      </w:pPr>
      <w:r>
        <w:rPr>
          <w:rFonts w:ascii="仿宋_GB2312" w:hAnsi="仿宋_GB2312" w:eastAsia="仿宋_GB2312"/>
          <w:b w:val="0"/>
          <w:sz w:val="32"/>
        </w:rPr>
        <w:t>6.卫生健康支出(类)行政事业单位医疗(款)行政单位医疗(项):支出决算数为3.93万元，比上年决算增加0.34万元，增长9.47%,主要原因是：本年在职人员工资基数调增，医疗缴费基数上涨，相应支出增加。</w:t>
      </w:r>
    </w:p>
    <w:p w14:paraId="34733CA9">
      <w:pPr>
        <w:spacing w:line="580" w:lineRule="exact"/>
        <w:ind w:firstLine="640"/>
        <w:jc w:val="both"/>
      </w:pPr>
      <w:r>
        <w:rPr>
          <w:rFonts w:ascii="仿宋_GB2312" w:hAnsi="仿宋_GB2312" w:eastAsia="仿宋_GB2312"/>
          <w:b w:val="0"/>
          <w:sz w:val="32"/>
        </w:rPr>
        <w:t>7.卫生健康支出(类)行政事业单位医疗(款)公务员医疗补助(项):支出决算数为0.66万元，比上年决算增加0.04万元，增长6.45%,主要原因是：本年在职人员工资基数调增，医疗缴费基数上涨，相应支出增加。</w:t>
      </w:r>
    </w:p>
    <w:p w14:paraId="2C31CB91">
      <w:pPr>
        <w:spacing w:line="580" w:lineRule="exact"/>
        <w:ind w:firstLine="640"/>
        <w:jc w:val="both"/>
      </w:pPr>
      <w:r>
        <w:rPr>
          <w:rFonts w:ascii="仿宋_GB2312" w:hAnsi="仿宋_GB2312" w:eastAsia="仿宋_GB2312"/>
          <w:b w:val="0"/>
          <w:sz w:val="32"/>
        </w:rPr>
        <w:t>8.住房保障支出(类)住房改革支出(款)住房公积金(项):支出决算数为7.86万元，比上年决算增加1.23万元，增长18.55%,主要原因是：本年在职人员工资基数调增，公积金缴费基数上涨，相应支出增加。</w:t>
      </w:r>
    </w:p>
    <w:p w14:paraId="721F967A">
      <w:pPr>
        <w:spacing w:line="640" w:lineRule="exact"/>
        <w:ind w:firstLine="640"/>
        <w:jc w:val="both"/>
        <w:outlineLvl w:val="2"/>
      </w:pPr>
      <w:r>
        <w:rPr>
          <w:rFonts w:ascii="黑体" w:hAnsi="黑体" w:eastAsia="黑体"/>
          <w:sz w:val="32"/>
        </w:rPr>
        <w:t>六、一般公共预算财政拨款基本支出决算情况说明</w:t>
      </w:r>
    </w:p>
    <w:p w14:paraId="6CBC7B68">
      <w:pPr>
        <w:spacing w:line="580" w:lineRule="exact"/>
        <w:ind w:firstLine="640"/>
        <w:jc w:val="both"/>
      </w:pPr>
      <w:r>
        <w:rPr>
          <w:rFonts w:ascii="仿宋_GB2312" w:hAnsi="仿宋_GB2312" w:eastAsia="仿宋_GB2312"/>
          <w:b w:val="0"/>
          <w:sz w:val="32"/>
        </w:rPr>
        <w:t>2024年度一般公共预算财政拨款基本支出158.85万元，其中：</w:t>
      </w:r>
      <w:r>
        <w:rPr>
          <w:rFonts w:ascii="仿宋_GB2312" w:hAnsi="仿宋_GB2312" w:eastAsia="仿宋_GB2312"/>
          <w:b/>
          <w:sz w:val="32"/>
        </w:rPr>
        <w:t>人员经费154.16万元，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包括：基本工资、津贴补贴、奖金、机关事业单位基本养老保险缴费、职工基本医疗保险缴费、公务员医疗补助缴费、其他社会保障缴费、住房公积金、退休费、生活补助。</w:t>
      </w:r>
    </w:p>
    <w:p w14:paraId="1CFCA5E4">
      <w:pPr>
        <w:spacing w:line="580" w:lineRule="exact"/>
        <w:ind w:firstLine="640"/>
        <w:jc w:val="both"/>
      </w:pPr>
      <w:r>
        <w:rPr>
          <w:rFonts w:ascii="仿宋_GB2312" w:hAnsi="仿宋_GB2312" w:eastAsia="仿宋_GB2312"/>
          <w:b/>
          <w:sz w:val="32"/>
        </w:rPr>
        <w:t>公用经费4.69万元，</w:t>
      </w:r>
      <w:r>
        <w:rPr>
          <w:rFonts w:ascii="仿宋_GB2312" w:hAnsi="仿宋_GB2312" w:eastAsia="仿宋_GB2312"/>
          <w:b w:val="0"/>
          <w:sz w:val="32"/>
        </w:rPr>
        <w:t>包括：办公费、电费、专用材料费、工会经费、公务用车运行维护费、其他商品和服务支出。</w:t>
      </w:r>
    </w:p>
    <w:p w14:paraId="6E88E72F">
      <w:pPr>
        <w:spacing w:line="640" w:lineRule="exact"/>
        <w:ind w:firstLine="640"/>
        <w:jc w:val="both"/>
        <w:outlineLvl w:val="2"/>
      </w:pPr>
      <w:r>
        <w:rPr>
          <w:rFonts w:ascii="黑体" w:hAnsi="黑体" w:eastAsia="黑体"/>
          <w:sz w:val="32"/>
        </w:rPr>
        <w:t>七、政府性基金预算财政拨款收入支出决算情况说明</w:t>
      </w:r>
    </w:p>
    <w:p w14:paraId="475C6EB3">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E228A9B">
      <w:pPr>
        <w:spacing w:line="640" w:lineRule="exact"/>
        <w:ind w:firstLine="640"/>
        <w:jc w:val="both"/>
        <w:outlineLvl w:val="2"/>
      </w:pPr>
      <w:r>
        <w:rPr>
          <w:rFonts w:ascii="黑体" w:hAnsi="黑体" w:eastAsia="黑体"/>
          <w:sz w:val="32"/>
        </w:rPr>
        <w:t>八、国有资本经营预算财政拨款收入支出决算情况说明</w:t>
      </w:r>
    </w:p>
    <w:p w14:paraId="5FDD39C1">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E607BC0">
      <w:pPr>
        <w:spacing w:line="640" w:lineRule="exact"/>
        <w:ind w:firstLine="640"/>
        <w:jc w:val="both"/>
        <w:outlineLvl w:val="2"/>
      </w:pPr>
      <w:r>
        <w:rPr>
          <w:rFonts w:ascii="黑体" w:hAnsi="黑体" w:eastAsia="黑体"/>
          <w:sz w:val="32"/>
        </w:rPr>
        <w:t>九、财政拨款“三公”经费支出决算情况说明</w:t>
      </w:r>
    </w:p>
    <w:p w14:paraId="287DE9BD">
      <w:pPr>
        <w:spacing w:line="580" w:lineRule="exact"/>
        <w:ind w:firstLine="640"/>
        <w:jc w:val="both"/>
      </w:pPr>
      <w:r>
        <w:rPr>
          <w:rFonts w:ascii="仿宋_GB2312" w:hAnsi="仿宋_GB2312" w:eastAsia="仿宋_GB2312"/>
          <w:b/>
          <w:sz w:val="32"/>
        </w:rPr>
        <w:t>2024年度财政拨款“三公”经费支出1.30万元，</w:t>
      </w:r>
      <w:r>
        <w:rPr>
          <w:rFonts w:ascii="仿宋_GB2312" w:hAnsi="仿宋_GB2312" w:eastAsia="仿宋_GB2312"/>
          <w:b w:val="0"/>
          <w:sz w:val="32"/>
        </w:rPr>
        <w:t>比上年增加0.16万元，增长14.04%，主要原因是：本部门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1.30万元，占100.00%，比上年增加0.16万元，增长14.04%，主要原因是：本部门公务用车日渐老化，维修维护成本增加，导致公务用车运行维护费较上年增加。公务接待费支出0.00万元，占0.00%，比上年增加0.00万元，增长0.00%，主要原因是：2023年与2024年均未安排公务接待费支出。</w:t>
      </w:r>
    </w:p>
    <w:p w14:paraId="3009FA39">
      <w:pPr>
        <w:spacing w:line="580" w:lineRule="exact"/>
        <w:ind w:firstLine="640"/>
        <w:jc w:val="both"/>
      </w:pPr>
      <w:r>
        <w:rPr>
          <w:rFonts w:ascii="仿宋_GB2312" w:hAnsi="仿宋_GB2312" w:eastAsia="仿宋_GB2312"/>
          <w:b/>
          <w:sz w:val="32"/>
        </w:rPr>
        <w:t>具体情况如下：</w:t>
      </w:r>
    </w:p>
    <w:p w14:paraId="2394E378">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04F6421">
      <w:pPr>
        <w:spacing w:line="580" w:lineRule="exact"/>
        <w:ind w:firstLine="640"/>
        <w:jc w:val="both"/>
      </w:pPr>
      <w:r>
        <w:rPr>
          <w:rFonts w:ascii="仿宋_GB2312" w:hAnsi="仿宋_GB2312" w:eastAsia="仿宋_GB2312"/>
          <w:b w:val="0"/>
          <w:sz w:val="32"/>
        </w:rPr>
        <w:t>公务用车购置及运行维护费1.30万元，其中：公务用车购置费0.00万元，公务用车运行维护费1.30万元。公务用车运行维护费开支内容包括车辆保险、车辆维修费、加油费。公务用车购置数0辆，公务用车保有量1辆。国有资产占用情况中固定资产车辆1辆，与公务用车保有量差异原因是：本部门固定资产车辆与公务用车保有量一致无差异。</w:t>
      </w:r>
    </w:p>
    <w:p w14:paraId="6A45DFA7">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C80474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万元，决算数1.30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1.30万元，决算数1.30万元，预决算差异率0.00%，主要原因是：严格按照预算执行，预决算无差异。公务接待费全年预算数0.00万元，决算数0.00万元，预决算差异率0.00%，主要原因是：本部门无公务接待费。</w:t>
      </w:r>
    </w:p>
    <w:p w14:paraId="5395E1F2">
      <w:pPr>
        <w:spacing w:line="640" w:lineRule="exact"/>
        <w:ind w:firstLine="640"/>
        <w:jc w:val="both"/>
        <w:outlineLvl w:val="2"/>
      </w:pPr>
      <w:r>
        <w:rPr>
          <w:rFonts w:ascii="黑体" w:hAnsi="黑体" w:eastAsia="黑体"/>
          <w:sz w:val="32"/>
        </w:rPr>
        <w:t>十、其他重要事项的情况说明</w:t>
      </w:r>
    </w:p>
    <w:p w14:paraId="5D85633D">
      <w:pPr>
        <w:spacing w:line="640" w:lineRule="exact"/>
        <w:ind w:firstLine="640"/>
        <w:jc w:val="both"/>
        <w:outlineLvl w:val="3"/>
      </w:pPr>
      <w:r>
        <w:rPr>
          <w:rFonts w:ascii="楷体_GB2312" w:hAnsi="楷体_GB2312" w:eastAsia="楷体_GB2312"/>
          <w:b/>
          <w:sz w:val="32"/>
        </w:rPr>
        <w:t>（一）机关运行经费及公用经费支出情况</w:t>
      </w:r>
    </w:p>
    <w:p w14:paraId="11B166B3">
      <w:pPr>
        <w:spacing w:line="580" w:lineRule="exact"/>
        <w:ind w:firstLine="640"/>
        <w:jc w:val="both"/>
      </w:pPr>
      <w:r>
        <w:rPr>
          <w:rFonts w:ascii="仿宋_GB2312" w:hAnsi="仿宋_GB2312" w:eastAsia="仿宋_GB2312"/>
          <w:b w:val="0"/>
          <w:sz w:val="32"/>
        </w:rPr>
        <w:t>2024年度新疆维吾尔自治区喀什地区干部休养所（行政单位和参照公务员法管理事业单位）机关运行经费支出4.69万元，比上年增加0.16万元，增长3.53%，主要原因是：本年更新、维护补充办公用品，导致机关运行经费较上年增加。</w:t>
      </w:r>
    </w:p>
    <w:p w14:paraId="578F5A89">
      <w:pPr>
        <w:spacing w:line="640" w:lineRule="exact"/>
        <w:ind w:firstLine="640"/>
        <w:jc w:val="both"/>
        <w:outlineLvl w:val="3"/>
      </w:pPr>
      <w:r>
        <w:rPr>
          <w:rFonts w:ascii="楷体_GB2312" w:hAnsi="楷体_GB2312" w:eastAsia="楷体_GB2312"/>
          <w:b/>
          <w:sz w:val="32"/>
        </w:rPr>
        <w:t>（二）政府采购情况</w:t>
      </w:r>
    </w:p>
    <w:p w14:paraId="692206EC">
      <w:pPr>
        <w:spacing w:line="580" w:lineRule="exact"/>
        <w:ind w:firstLine="640"/>
        <w:jc w:val="both"/>
      </w:pPr>
      <w:r>
        <w:rPr>
          <w:rFonts w:ascii="仿宋_GB2312" w:hAnsi="仿宋_GB2312" w:eastAsia="仿宋_GB2312"/>
          <w:b w:val="0"/>
          <w:sz w:val="32"/>
        </w:rPr>
        <w:t>2024年度政府采购支出总额2.42万元，其中：政府采购货物支出2.12万元、政府采购工程支出0.00万元、政府采购服务支出0.30万元。</w:t>
      </w:r>
    </w:p>
    <w:p w14:paraId="68BC91E2">
      <w:pPr>
        <w:spacing w:line="580" w:lineRule="exact"/>
        <w:ind w:firstLine="640"/>
        <w:jc w:val="both"/>
      </w:pPr>
      <w:r>
        <w:rPr>
          <w:rFonts w:ascii="仿宋_GB2312" w:hAnsi="仿宋_GB2312" w:eastAsia="仿宋_GB2312"/>
          <w:b w:val="0"/>
          <w:sz w:val="32"/>
        </w:rPr>
        <w:t>授予中小企业合同金额2.42万元，占政府采购支出总额的100.00%，其中：授予小微企业合同金额2.12万元，占政府采购支出总额的87.60%。</w:t>
      </w:r>
    </w:p>
    <w:p w14:paraId="0F72C2A0">
      <w:pPr>
        <w:spacing w:line="640" w:lineRule="exact"/>
        <w:ind w:firstLine="640"/>
        <w:jc w:val="both"/>
        <w:outlineLvl w:val="3"/>
      </w:pPr>
      <w:r>
        <w:rPr>
          <w:rFonts w:ascii="楷体_GB2312" w:hAnsi="楷体_GB2312" w:eastAsia="楷体_GB2312"/>
          <w:b/>
          <w:sz w:val="32"/>
        </w:rPr>
        <w:t>（三）国有资产占用情况说明</w:t>
      </w:r>
    </w:p>
    <w:p w14:paraId="1C9AFAF9">
      <w:pPr>
        <w:spacing w:line="580" w:lineRule="exact"/>
        <w:ind w:firstLine="640"/>
        <w:jc w:val="both"/>
      </w:pPr>
      <w:r>
        <w:rPr>
          <w:rFonts w:ascii="仿宋_GB2312" w:hAnsi="仿宋_GB2312" w:eastAsia="仿宋_GB2312"/>
          <w:b w:val="0"/>
          <w:sz w:val="32"/>
        </w:rPr>
        <w:t>截至2024年12月31日，房屋608.00平方米，价值10.50万元。车辆1辆，价值21.00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EF64C1D">
      <w:pPr>
        <w:spacing w:line="640" w:lineRule="exact"/>
        <w:ind w:firstLine="640"/>
        <w:jc w:val="both"/>
        <w:outlineLvl w:val="2"/>
      </w:pPr>
      <w:r>
        <w:rPr>
          <w:rFonts w:ascii="黑体" w:hAnsi="黑体" w:eastAsia="黑体"/>
          <w:sz w:val="32"/>
        </w:rPr>
        <w:t>十一、预算绩效的情况说明</w:t>
      </w:r>
    </w:p>
    <w:p w14:paraId="1EF99FBB">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158.85万元，实际执行总额158.85万元；预算绩效评价项目0个，全年预算数0.00万元，全年执行数0.00万元。预算绩效管理取得的成效：本部门无</w:t>
      </w:r>
      <w:r>
        <w:rPr>
          <w:rFonts w:hint="eastAsia" w:ascii="仿宋_GB2312" w:hAnsi="仿宋_GB2312" w:eastAsia="仿宋_GB2312"/>
          <w:b w:val="0"/>
          <w:sz w:val="32"/>
          <w:lang w:val="en-US" w:eastAsia="zh-CN"/>
        </w:rPr>
        <w:t>预算绩效</w:t>
      </w:r>
      <w:r>
        <w:rPr>
          <w:rFonts w:ascii="仿宋_GB2312" w:hAnsi="仿宋_GB2312" w:eastAsia="仿宋_GB2312"/>
          <w:b w:val="0"/>
          <w:sz w:val="32"/>
        </w:rPr>
        <w:t>项目。发现的问题及原因：本部门无</w:t>
      </w:r>
      <w:r>
        <w:rPr>
          <w:rFonts w:hint="eastAsia" w:ascii="仿宋_GB2312" w:hAnsi="仿宋_GB2312" w:eastAsia="仿宋_GB2312"/>
          <w:b w:val="0"/>
          <w:sz w:val="32"/>
          <w:lang w:val="en-US" w:eastAsia="zh-CN"/>
        </w:rPr>
        <w:t>预算绩效</w:t>
      </w:r>
      <w:r>
        <w:rPr>
          <w:rFonts w:ascii="仿宋_GB2312" w:hAnsi="仿宋_GB2312" w:eastAsia="仿宋_GB2312"/>
          <w:b w:val="0"/>
          <w:sz w:val="32"/>
        </w:rPr>
        <w:t>项目。下一步改进措施：本部门无</w:t>
      </w:r>
      <w:r>
        <w:rPr>
          <w:rFonts w:hint="eastAsia" w:ascii="仿宋_GB2312" w:hAnsi="仿宋_GB2312" w:eastAsia="仿宋_GB2312"/>
          <w:b w:val="0"/>
          <w:sz w:val="32"/>
          <w:lang w:val="en-US" w:eastAsia="zh-CN"/>
        </w:rPr>
        <w:t>预算绩效</w:t>
      </w:r>
      <w:r>
        <w:rPr>
          <w:rFonts w:ascii="仿宋_GB2312" w:hAnsi="仿宋_GB2312" w:eastAsia="仿宋_GB2312"/>
          <w:b w:val="0"/>
          <w:sz w:val="32"/>
        </w:rPr>
        <w:t>项目。具体附部门整体支出绩效自评表。</w:t>
      </w:r>
    </w:p>
    <w:p w14:paraId="48F4F63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D322B59">
        <w:tblPrEx>
          <w:tblCellMar>
            <w:top w:w="0" w:type="dxa"/>
            <w:left w:w="108" w:type="dxa"/>
            <w:bottom w:w="0" w:type="dxa"/>
            <w:right w:w="108" w:type="dxa"/>
          </w:tblCellMar>
        </w:tblPrEx>
        <w:tc>
          <w:tcPr>
            <w:tcW w:w="8847" w:type="dxa"/>
            <w:gridSpan w:val="9"/>
            <w:vAlign w:val="center"/>
          </w:tcPr>
          <w:p w14:paraId="6A5EC3C5">
            <w:pPr>
              <w:jc w:val="center"/>
            </w:pPr>
            <w:r>
              <w:rPr>
                <w:rFonts w:ascii="宋体" w:hAnsi="宋体" w:eastAsia="宋体"/>
                <w:sz w:val="24"/>
              </w:rPr>
              <w:t>部门整体支出绩效自评表</w:t>
            </w:r>
          </w:p>
        </w:tc>
      </w:tr>
      <w:tr w14:paraId="418948DB">
        <w:tblPrEx>
          <w:tblCellMar>
            <w:top w:w="0" w:type="dxa"/>
            <w:left w:w="108" w:type="dxa"/>
            <w:bottom w:w="0" w:type="dxa"/>
            <w:right w:w="108" w:type="dxa"/>
          </w:tblCellMar>
        </w:tblPrEx>
        <w:tc>
          <w:tcPr>
            <w:tcW w:w="8847" w:type="dxa"/>
            <w:gridSpan w:val="9"/>
            <w:vAlign w:val="center"/>
          </w:tcPr>
          <w:p w14:paraId="222C1BC4">
            <w:pPr>
              <w:jc w:val="center"/>
            </w:pPr>
            <w:r>
              <w:rPr>
                <w:rFonts w:ascii="宋体" w:hAnsi="宋体" w:eastAsia="宋体"/>
                <w:sz w:val="24"/>
              </w:rPr>
              <w:t>（2024年度）</w:t>
            </w:r>
          </w:p>
        </w:tc>
      </w:tr>
      <w:tr w14:paraId="6DC567A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7D19D">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6BCF329">
            <w:pPr>
              <w:jc w:val="center"/>
            </w:pPr>
            <w:r>
              <w:rPr>
                <w:rFonts w:ascii="宋体" w:hAnsi="宋体" w:eastAsia="宋体"/>
                <w:sz w:val="16"/>
              </w:rPr>
              <w:t>新疆维吾尔自治区喀什地区干部休养所</w:t>
            </w:r>
          </w:p>
        </w:tc>
      </w:tr>
      <w:tr w14:paraId="6790371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DADE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1BC9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76F5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2794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F72C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D110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B37C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0DB86">
            <w:pPr>
              <w:jc w:val="center"/>
            </w:pPr>
            <w:r>
              <w:rPr>
                <w:rFonts w:ascii="宋体" w:hAnsi="宋体" w:eastAsia="宋体"/>
                <w:sz w:val="16"/>
              </w:rPr>
              <w:t>得分</w:t>
            </w:r>
          </w:p>
        </w:tc>
      </w:tr>
      <w:tr w14:paraId="6C533E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E406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7EBB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7F723">
            <w:pPr>
              <w:jc w:val="center"/>
            </w:pPr>
            <w:r>
              <w:rPr>
                <w:rFonts w:ascii="宋体" w:hAnsi="宋体" w:eastAsia="宋体"/>
                <w:sz w:val="16"/>
              </w:rPr>
              <w:t>163.68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5F590">
            <w:pPr>
              <w:jc w:val="center"/>
            </w:pPr>
            <w:r>
              <w:rPr>
                <w:rFonts w:ascii="宋体" w:hAnsi="宋体" w:eastAsia="宋体"/>
                <w:sz w:val="16"/>
              </w:rPr>
              <w:t>158.85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1FA12">
            <w:pPr>
              <w:jc w:val="center"/>
            </w:pPr>
            <w:r>
              <w:rPr>
                <w:rFonts w:ascii="宋体" w:hAnsi="宋体" w:eastAsia="宋体"/>
                <w:sz w:val="16"/>
              </w:rPr>
              <w:t>158.85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FDB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C7197">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00CBA">
            <w:pPr>
              <w:jc w:val="center"/>
            </w:pPr>
            <w:r>
              <w:rPr>
                <w:rFonts w:ascii="宋体" w:hAnsi="宋体" w:eastAsia="宋体"/>
                <w:sz w:val="16"/>
              </w:rPr>
              <w:t>10</w:t>
            </w:r>
          </w:p>
        </w:tc>
      </w:tr>
      <w:tr w14:paraId="3D3D69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9700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3747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2E2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C46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E3E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F9E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5EAB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334DC">
            <w:pPr>
              <w:jc w:val="center"/>
            </w:pPr>
            <w:r>
              <w:rPr>
                <w:rFonts w:ascii="宋体" w:hAnsi="宋体" w:eastAsia="宋体"/>
                <w:sz w:val="16"/>
              </w:rPr>
              <w:t>—</w:t>
            </w:r>
          </w:p>
        </w:tc>
      </w:tr>
      <w:tr w14:paraId="689CD4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0AA8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4AFD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EA4AD">
            <w:pPr>
              <w:jc w:val="center"/>
            </w:pPr>
            <w:r>
              <w:rPr>
                <w:rFonts w:ascii="宋体" w:hAnsi="宋体" w:eastAsia="宋体"/>
                <w:sz w:val="16"/>
              </w:rPr>
              <w:t>163.68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FAC2E">
            <w:pPr>
              <w:jc w:val="center"/>
            </w:pPr>
            <w:r>
              <w:rPr>
                <w:rFonts w:ascii="宋体" w:hAnsi="宋体" w:eastAsia="宋体"/>
                <w:sz w:val="16"/>
              </w:rPr>
              <w:t>158.85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6EBC1">
            <w:pPr>
              <w:jc w:val="center"/>
            </w:pPr>
            <w:r>
              <w:rPr>
                <w:rFonts w:ascii="宋体" w:hAnsi="宋体" w:eastAsia="宋体"/>
                <w:sz w:val="16"/>
              </w:rPr>
              <w:t>158.85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3B7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9D8E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8A19D">
            <w:pPr>
              <w:jc w:val="center"/>
            </w:pPr>
            <w:r>
              <w:rPr>
                <w:rFonts w:ascii="宋体" w:hAnsi="宋体" w:eastAsia="宋体"/>
                <w:sz w:val="16"/>
              </w:rPr>
              <w:t>—</w:t>
            </w:r>
          </w:p>
        </w:tc>
      </w:tr>
      <w:tr w14:paraId="7823C9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4D74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D191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FA2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E58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5B7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D35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DE84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AD519">
            <w:pPr>
              <w:jc w:val="center"/>
            </w:pPr>
            <w:r>
              <w:rPr>
                <w:rFonts w:ascii="宋体" w:hAnsi="宋体" w:eastAsia="宋体"/>
                <w:sz w:val="16"/>
              </w:rPr>
              <w:t>—</w:t>
            </w:r>
          </w:p>
        </w:tc>
      </w:tr>
      <w:tr w14:paraId="2AA897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7F55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1219B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C668D0">
            <w:pPr>
              <w:jc w:val="center"/>
            </w:pPr>
            <w:r>
              <w:rPr>
                <w:rFonts w:ascii="宋体" w:hAnsi="宋体" w:eastAsia="宋体"/>
                <w:sz w:val="16"/>
              </w:rPr>
              <w:t>实际完成情况</w:t>
            </w:r>
          </w:p>
        </w:tc>
      </w:tr>
      <w:tr w14:paraId="477127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9E852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9A2516">
            <w:pPr>
              <w:jc w:val="both"/>
            </w:pPr>
            <w:r>
              <w:rPr>
                <w:rFonts w:ascii="宋体" w:hAnsi="宋体" w:eastAsia="宋体"/>
                <w:sz w:val="16"/>
              </w:rPr>
              <w:t>坚持以习近平新时代中国特色社会主义思想为指导，深入学习贯彻党的二十大精神，学习贯彻习近平总书记视察新疆重要讲话指示精神，盯紧地委老干部服务管理老干部职能作用，认真开展组织老干部参加社区志愿服务活动，退休干部党支部创建工作，组织各级退休干部参加健康讲座，给老干部上门送学等工作，加快推进“五个好”局机关党支部建设。组织老干部文体比赛、文艺演出,组织在喀居住的地厅级退休干部集中学习讨论5次以上，联合举办全地区离退休干部党支部书记和骨干培训班一期，召开一次召开老干部情况通报会，举办老年健康讲座一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7DC0B6">
            <w:pPr>
              <w:jc w:val="both"/>
            </w:pPr>
            <w:r>
              <w:rPr>
                <w:rFonts w:ascii="宋体" w:hAnsi="宋体" w:eastAsia="宋体"/>
                <w:sz w:val="16"/>
              </w:rPr>
              <w:t>今年以来，在地委的坚强领导下坚持以习近平新时代中国特色社会主义思想为指引，扎实推进老干部各项工作。组织在喀居住的地厅级退休干部集中学习讨论5次,通过政治理论学习辅导，用党的创新理论武装老干部头脑，切实从党的创新理论中不断汲取精神养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组织</w:t>
            </w:r>
            <w:r>
              <w:rPr>
                <w:rFonts w:hint="eastAsia" w:ascii="宋体" w:hAnsi="宋体"/>
                <w:sz w:val="16"/>
                <w:lang w:eastAsia="zh-CN"/>
              </w:rPr>
              <w:t>举办</w:t>
            </w:r>
            <w:r>
              <w:rPr>
                <w:rFonts w:ascii="宋体" w:hAnsi="宋体" w:eastAsia="宋体"/>
                <w:sz w:val="16"/>
              </w:rPr>
              <w:t>1期离退休干部党支部书记培训班，严明政治纪律和政治规矩，强化离退休干部党员的政治意识和党性观念，为营造风清气正的老干部领域政治生态奠定了坚实的纪律基础。4月15日组织在喀地厅级退休干部召开老干部情况通报会1次，启发老干部继续发挥政治优势、经验优势和威望优势，做到老有所学、老有所为，为喀什发展大局凝心聚力贡献更多的银发力量。5月12日地委老干部局举办老年健康讲座和义诊活动，通过这次活动老干</w:t>
            </w:r>
            <w:bookmarkStart w:id="0" w:name="_GoBack"/>
            <w:r>
              <w:rPr>
                <w:rFonts w:ascii="宋体" w:hAnsi="宋体" w:eastAsia="宋体"/>
                <w:sz w:val="16"/>
              </w:rPr>
              <w:t>部</w:t>
            </w:r>
            <w:r>
              <w:rPr>
                <w:rFonts w:hint="eastAsia" w:ascii="宋体" w:hAnsi="宋体"/>
                <w:sz w:val="16"/>
                <w:lang w:eastAsia="zh-CN"/>
              </w:rPr>
              <w:t>们</w:t>
            </w:r>
            <w:bookmarkEnd w:id="0"/>
            <w:r>
              <w:rPr>
                <w:rFonts w:ascii="宋体" w:hAnsi="宋体" w:eastAsia="宋体"/>
                <w:sz w:val="16"/>
              </w:rPr>
              <w:t>感受到党组织和援疆干部真切的关怀。结合“七一”、国庆节，组织老干部举行大型文艺演出活动2场次，充分展现了喀什地区退休</w:t>
            </w:r>
            <w:r>
              <w:rPr>
                <w:rFonts w:hint="eastAsia" w:ascii="宋体" w:hAnsi="宋体"/>
                <w:sz w:val="16"/>
                <w:lang w:eastAsia="zh-CN"/>
              </w:rPr>
              <w:t>老干部</w:t>
            </w:r>
            <w:r>
              <w:rPr>
                <w:rFonts w:ascii="宋体" w:hAnsi="宋体" w:eastAsia="宋体"/>
                <w:sz w:val="16"/>
              </w:rPr>
              <w:t>的多才多艺和积极向上的精神风貌，表达了全区各族儿女对伟大祖国的美好祝愿和共同期盼。</w:t>
            </w:r>
          </w:p>
        </w:tc>
      </w:tr>
      <w:tr w14:paraId="61C888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8727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658E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4CA1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CF2C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069E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FC89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BCF5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3342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313E1">
            <w:pPr>
              <w:jc w:val="center"/>
            </w:pPr>
            <w:r>
              <w:rPr>
                <w:rFonts w:ascii="宋体" w:hAnsi="宋体" w:eastAsia="宋体"/>
                <w:sz w:val="16"/>
              </w:rPr>
              <w:t>得分</w:t>
            </w:r>
          </w:p>
        </w:tc>
      </w:tr>
      <w:tr w14:paraId="0DD4352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C461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5B8A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CB63D">
            <w:pPr>
              <w:jc w:val="center"/>
            </w:pPr>
            <w:r>
              <w:rPr>
                <w:rFonts w:ascii="宋体" w:hAnsi="宋体" w:eastAsia="宋体"/>
                <w:sz w:val="16"/>
              </w:rPr>
              <w:t>组织在喀居住的地厅级退休干部集中学习讨论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FE542">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4DEBF">
            <w:pPr>
              <w:jc w:val="center"/>
            </w:pPr>
            <w:r>
              <w:rPr>
                <w:rFonts w:ascii="宋体" w:hAnsi="宋体" w:eastAsia="宋体"/>
                <w:sz w:val="16"/>
              </w:rPr>
              <w:t>地委老干部局班子2023年度述职报告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07BF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03E5B">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73A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72DFE">
            <w:pPr>
              <w:jc w:val="center"/>
            </w:pPr>
            <w:r>
              <w:rPr>
                <w:rFonts w:ascii="宋体" w:hAnsi="宋体" w:eastAsia="宋体"/>
                <w:sz w:val="16"/>
              </w:rPr>
              <w:t>15</w:t>
            </w:r>
          </w:p>
        </w:tc>
      </w:tr>
      <w:tr w14:paraId="72760E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65B1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FCD2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451E1">
            <w:pPr>
              <w:jc w:val="center"/>
            </w:pPr>
            <w:r>
              <w:rPr>
                <w:rFonts w:ascii="宋体" w:hAnsi="宋体" w:eastAsia="宋体"/>
                <w:sz w:val="16"/>
              </w:rPr>
              <w:t>联合举办全地区离退休干部党支部书记和骨干培训班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99095">
            <w:pPr>
              <w:jc w:val="center"/>
            </w:pPr>
            <w:r>
              <w:rPr>
                <w:rFonts w:ascii="宋体" w:hAnsi="宋体" w:eastAsia="宋体"/>
                <w:sz w:val="16"/>
              </w:rPr>
              <w:t>&gt;=1期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7B3A4">
            <w:pPr>
              <w:jc w:val="center"/>
            </w:pPr>
            <w:r>
              <w:rPr>
                <w:rFonts w:ascii="宋体" w:hAnsi="宋体" w:eastAsia="宋体"/>
                <w:sz w:val="16"/>
              </w:rPr>
              <w:t>喀什地委老干部局2024年度工作计划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5662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992C6">
            <w:pPr>
              <w:jc w:val="center"/>
            </w:pPr>
            <w:r>
              <w:rPr>
                <w:rFonts w:ascii="宋体" w:hAnsi="宋体" w:eastAsia="宋体"/>
                <w:sz w:val="16"/>
              </w:rPr>
              <w:t>1期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61F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CEF6F">
            <w:pPr>
              <w:jc w:val="center"/>
            </w:pPr>
            <w:r>
              <w:rPr>
                <w:rFonts w:ascii="宋体" w:hAnsi="宋体" w:eastAsia="宋体"/>
                <w:sz w:val="16"/>
              </w:rPr>
              <w:t>15</w:t>
            </w:r>
          </w:p>
        </w:tc>
      </w:tr>
      <w:tr w14:paraId="6C7248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E535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10D1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DECB6">
            <w:pPr>
              <w:jc w:val="center"/>
            </w:pPr>
            <w:r>
              <w:rPr>
                <w:rFonts w:ascii="宋体" w:hAnsi="宋体" w:eastAsia="宋体"/>
                <w:sz w:val="16"/>
              </w:rPr>
              <w:t>召开老干部情况通报会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40BC7">
            <w:pPr>
              <w:jc w:val="center"/>
            </w:pPr>
            <w:r>
              <w:rPr>
                <w:rFonts w:ascii="宋体" w:hAnsi="宋体" w:eastAsia="宋体"/>
                <w:sz w:val="16"/>
              </w:rPr>
              <w:t>&gt;=1场次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813EF">
            <w:pPr>
              <w:jc w:val="center"/>
            </w:pPr>
            <w:r>
              <w:rPr>
                <w:rFonts w:ascii="宋体" w:hAnsi="宋体" w:eastAsia="宋体"/>
                <w:sz w:val="16"/>
              </w:rPr>
              <w:t>地委老干部局班子2023年度述职报告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917C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8B88B">
            <w:pPr>
              <w:jc w:val="center"/>
            </w:pPr>
            <w:r>
              <w:rPr>
                <w:rFonts w:ascii="宋体" w:hAnsi="宋体" w:eastAsia="宋体"/>
                <w:sz w:val="16"/>
              </w:rPr>
              <w: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0A5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08109">
            <w:pPr>
              <w:jc w:val="center"/>
            </w:pPr>
            <w:r>
              <w:rPr>
                <w:rFonts w:ascii="宋体" w:hAnsi="宋体" w:eastAsia="宋体"/>
                <w:sz w:val="16"/>
              </w:rPr>
              <w:t>20</w:t>
            </w:r>
          </w:p>
        </w:tc>
      </w:tr>
      <w:tr w14:paraId="1158D8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83D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3876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394E4">
            <w:pPr>
              <w:jc w:val="center"/>
            </w:pPr>
            <w:r>
              <w:rPr>
                <w:rFonts w:ascii="宋体" w:hAnsi="宋体" w:eastAsia="宋体"/>
                <w:sz w:val="16"/>
              </w:rPr>
              <w:t>举办老年健康讲座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C225D">
            <w:pPr>
              <w:jc w:val="center"/>
            </w:pPr>
            <w:r>
              <w:rPr>
                <w:rFonts w:ascii="宋体" w:hAnsi="宋体" w:eastAsia="宋体"/>
                <w:sz w:val="16"/>
              </w:rPr>
              <w:t>&gt;=1场次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54141">
            <w:pPr>
              <w:jc w:val="center"/>
            </w:pPr>
            <w:r>
              <w:rPr>
                <w:rFonts w:ascii="宋体" w:hAnsi="宋体" w:eastAsia="宋体"/>
                <w:sz w:val="16"/>
              </w:rPr>
              <w:t>地委老干部局班子2023年度述职报告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C45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1CC39">
            <w:pPr>
              <w:jc w:val="center"/>
            </w:pPr>
            <w:r>
              <w:rPr>
                <w:rFonts w:ascii="宋体" w:hAnsi="宋体" w:eastAsia="宋体"/>
                <w:sz w:val="16"/>
              </w:rPr>
              <w: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D5E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54A6B">
            <w:pPr>
              <w:jc w:val="center"/>
            </w:pPr>
            <w:r>
              <w:rPr>
                <w:rFonts w:ascii="宋体" w:hAnsi="宋体" w:eastAsia="宋体"/>
                <w:sz w:val="16"/>
              </w:rPr>
              <w:t>10</w:t>
            </w:r>
          </w:p>
        </w:tc>
      </w:tr>
      <w:tr w14:paraId="7CDC2F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494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988A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40C2D">
            <w:pPr>
              <w:jc w:val="center"/>
            </w:pPr>
            <w:r>
              <w:rPr>
                <w:rFonts w:ascii="宋体" w:hAnsi="宋体" w:eastAsia="宋体"/>
                <w:sz w:val="16"/>
              </w:rPr>
              <w:t>组织老干部文体比赛、文艺演出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4AE52">
            <w:pPr>
              <w:jc w:val="center"/>
            </w:pPr>
            <w:r>
              <w:rPr>
                <w:rFonts w:ascii="宋体" w:hAnsi="宋体" w:eastAsia="宋体"/>
                <w:sz w:val="16"/>
              </w:rPr>
              <w:t>&gt;=1场次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29613">
            <w:pPr>
              <w:jc w:val="center"/>
            </w:pPr>
            <w:r>
              <w:rPr>
                <w:rFonts w:ascii="宋体" w:hAnsi="宋体" w:eastAsia="宋体"/>
                <w:sz w:val="16"/>
              </w:rPr>
              <w:t>地委老干部局班子2023年度述职报告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2DC4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9E2B1">
            <w:pPr>
              <w:jc w:val="center"/>
            </w:pPr>
            <w:r>
              <w:rPr>
                <w:rFonts w:ascii="宋体" w:hAnsi="宋体" w:eastAsia="宋体"/>
                <w:sz w:val="16"/>
              </w:rPr>
              <w:t>2场次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820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5F7FA">
            <w:pPr>
              <w:jc w:val="center"/>
            </w:pPr>
            <w:r>
              <w:rPr>
                <w:rFonts w:ascii="宋体" w:hAnsi="宋体" w:eastAsia="宋体"/>
                <w:sz w:val="16"/>
              </w:rPr>
              <w:t>30</w:t>
            </w:r>
          </w:p>
        </w:tc>
      </w:tr>
    </w:tbl>
    <w:p w14:paraId="1DF4F1E5">
      <w:r>
        <w:br w:type="page"/>
      </w:r>
    </w:p>
    <w:p w14:paraId="47DFCA91">
      <w:pPr>
        <w:spacing w:line="640" w:lineRule="exact"/>
        <w:ind w:firstLine="640"/>
        <w:jc w:val="both"/>
        <w:outlineLvl w:val="2"/>
      </w:pPr>
      <w:r>
        <w:rPr>
          <w:rFonts w:ascii="黑体" w:hAnsi="黑体" w:eastAsia="黑体"/>
          <w:sz w:val="32"/>
        </w:rPr>
        <w:t>十二、其他需说明的事项</w:t>
      </w:r>
    </w:p>
    <w:p w14:paraId="5C3E5CDA">
      <w:pPr>
        <w:spacing w:line="580" w:lineRule="exact"/>
        <w:ind w:firstLine="640"/>
        <w:jc w:val="both"/>
      </w:pPr>
      <w:r>
        <w:rPr>
          <w:rFonts w:ascii="仿宋_GB2312" w:hAnsi="仿宋_GB2312" w:eastAsia="仿宋_GB2312"/>
          <w:b w:val="0"/>
          <w:sz w:val="32"/>
        </w:rPr>
        <w:t>本部门无其他需说明的事项。</w:t>
      </w:r>
    </w:p>
    <w:p w14:paraId="5E407629">
      <w:r>
        <w:br w:type="page"/>
      </w:r>
    </w:p>
    <w:p w14:paraId="0CC639DA">
      <w:pPr>
        <w:spacing w:line="240" w:lineRule="auto"/>
        <w:jc w:val="center"/>
        <w:outlineLvl w:val="1"/>
      </w:pPr>
      <w:r>
        <w:rPr>
          <w:rFonts w:ascii="黑体" w:hAnsi="黑体" w:eastAsia="黑体"/>
          <w:sz w:val="32"/>
        </w:rPr>
        <w:t>第三部分 专业名词解释</w:t>
      </w:r>
    </w:p>
    <w:p w14:paraId="1907154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2FD2D8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421F5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75D55F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2628C5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ED24E7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68F310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384DE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139E7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A08EF9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8E2B48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6EBBC5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9AB03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A4281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B95CCBD">
      <w:r>
        <w:br w:type="page"/>
      </w:r>
    </w:p>
    <w:p w14:paraId="630D7955">
      <w:pPr>
        <w:spacing w:line="240" w:lineRule="auto"/>
        <w:jc w:val="center"/>
        <w:outlineLvl w:val="1"/>
      </w:pPr>
      <w:r>
        <w:rPr>
          <w:rFonts w:ascii="黑体" w:hAnsi="黑体" w:eastAsia="黑体"/>
          <w:sz w:val="32"/>
        </w:rPr>
        <w:t>第四部分 部门决算报表（见附表）</w:t>
      </w:r>
    </w:p>
    <w:p w14:paraId="40421799">
      <w:pPr>
        <w:spacing w:line="240" w:lineRule="auto"/>
        <w:ind w:firstLine="640"/>
        <w:jc w:val="both"/>
      </w:pPr>
      <w:r>
        <w:rPr>
          <w:rFonts w:ascii="仿宋_GB2312" w:hAnsi="仿宋_GB2312" w:eastAsia="仿宋_GB2312"/>
          <w:b w:val="0"/>
          <w:sz w:val="32"/>
        </w:rPr>
        <w:t>一、《收入支出决算总表》</w:t>
      </w:r>
    </w:p>
    <w:p w14:paraId="663CF256">
      <w:pPr>
        <w:spacing w:line="240" w:lineRule="auto"/>
        <w:ind w:firstLine="640"/>
        <w:jc w:val="both"/>
      </w:pPr>
      <w:r>
        <w:rPr>
          <w:rFonts w:ascii="仿宋_GB2312" w:hAnsi="仿宋_GB2312" w:eastAsia="仿宋_GB2312"/>
          <w:b w:val="0"/>
          <w:sz w:val="32"/>
        </w:rPr>
        <w:t>二、《收入决算表》</w:t>
      </w:r>
    </w:p>
    <w:p w14:paraId="0BBD8108">
      <w:pPr>
        <w:spacing w:line="240" w:lineRule="auto"/>
        <w:ind w:firstLine="640"/>
        <w:jc w:val="both"/>
      </w:pPr>
      <w:r>
        <w:rPr>
          <w:rFonts w:ascii="仿宋_GB2312" w:hAnsi="仿宋_GB2312" w:eastAsia="仿宋_GB2312"/>
          <w:b w:val="0"/>
          <w:sz w:val="32"/>
        </w:rPr>
        <w:t>三、《支出决算表》</w:t>
      </w:r>
    </w:p>
    <w:p w14:paraId="72F10B8A">
      <w:pPr>
        <w:spacing w:line="240" w:lineRule="auto"/>
        <w:ind w:firstLine="640"/>
        <w:jc w:val="both"/>
      </w:pPr>
      <w:r>
        <w:rPr>
          <w:rFonts w:ascii="仿宋_GB2312" w:hAnsi="仿宋_GB2312" w:eastAsia="仿宋_GB2312"/>
          <w:b w:val="0"/>
          <w:sz w:val="32"/>
        </w:rPr>
        <w:t>四、《财政拨款收入支出决算总表》</w:t>
      </w:r>
    </w:p>
    <w:p w14:paraId="3B98E1C5">
      <w:pPr>
        <w:spacing w:line="240" w:lineRule="auto"/>
        <w:ind w:firstLine="640"/>
        <w:jc w:val="both"/>
      </w:pPr>
      <w:r>
        <w:rPr>
          <w:rFonts w:ascii="仿宋_GB2312" w:hAnsi="仿宋_GB2312" w:eastAsia="仿宋_GB2312"/>
          <w:b w:val="0"/>
          <w:sz w:val="32"/>
        </w:rPr>
        <w:t>五、《一般公共预算财政拨款支出决算表》</w:t>
      </w:r>
    </w:p>
    <w:p w14:paraId="60D8C76E">
      <w:pPr>
        <w:spacing w:line="240" w:lineRule="auto"/>
        <w:ind w:firstLine="640"/>
        <w:jc w:val="both"/>
      </w:pPr>
      <w:r>
        <w:rPr>
          <w:rFonts w:ascii="仿宋_GB2312" w:hAnsi="仿宋_GB2312" w:eastAsia="仿宋_GB2312"/>
          <w:b w:val="0"/>
          <w:sz w:val="32"/>
        </w:rPr>
        <w:t>六、《一般公共预算财政拨款基本支出决算表》</w:t>
      </w:r>
    </w:p>
    <w:p w14:paraId="11BA413E">
      <w:pPr>
        <w:spacing w:line="240" w:lineRule="auto"/>
        <w:ind w:firstLine="640"/>
        <w:jc w:val="both"/>
      </w:pPr>
      <w:r>
        <w:rPr>
          <w:rFonts w:ascii="仿宋_GB2312" w:hAnsi="仿宋_GB2312" w:eastAsia="仿宋_GB2312"/>
          <w:b w:val="0"/>
          <w:sz w:val="32"/>
        </w:rPr>
        <w:t>七、《政府性基金预算财政拨款收入支出决算表》</w:t>
      </w:r>
    </w:p>
    <w:p w14:paraId="57380DBB">
      <w:pPr>
        <w:spacing w:line="240" w:lineRule="auto"/>
        <w:ind w:firstLine="640"/>
        <w:jc w:val="both"/>
      </w:pPr>
      <w:r>
        <w:rPr>
          <w:rFonts w:ascii="仿宋_GB2312" w:hAnsi="仿宋_GB2312" w:eastAsia="仿宋_GB2312"/>
          <w:b w:val="0"/>
          <w:sz w:val="32"/>
        </w:rPr>
        <w:t>八、《国有资本经营预算财政拨款收入支出决算表》</w:t>
      </w:r>
    </w:p>
    <w:p w14:paraId="26994169">
      <w:pPr>
        <w:spacing w:line="240" w:lineRule="auto"/>
        <w:ind w:firstLine="640"/>
        <w:jc w:val="both"/>
      </w:pPr>
      <w:r>
        <w:rPr>
          <w:rFonts w:ascii="仿宋_GB2312" w:hAnsi="仿宋_GB2312" w:eastAsia="仿宋_GB2312"/>
          <w:b w:val="0"/>
          <w:sz w:val="32"/>
        </w:rPr>
        <w:t>九、《财政拨款“三公”经费支出决算表》</w:t>
      </w:r>
    </w:p>
    <w:p w14:paraId="3DD00016">
      <w:pPr>
        <w:spacing w:line="240" w:lineRule="auto"/>
        <w:ind w:firstLine="640"/>
        <w:jc w:val="both"/>
      </w:pPr>
    </w:p>
    <w:p w14:paraId="56825A31">
      <w:pPr>
        <w:spacing w:line="240" w:lineRule="auto"/>
        <w:ind w:firstLine="640"/>
        <w:jc w:val="both"/>
      </w:pPr>
    </w:p>
    <w:p w14:paraId="09FA69C5">
      <w:pPr>
        <w:spacing w:line="240" w:lineRule="auto"/>
        <w:ind w:firstLine="640"/>
        <w:jc w:val="both"/>
      </w:pPr>
    </w:p>
    <w:p w14:paraId="18B332AC">
      <w:pPr>
        <w:spacing w:line="240" w:lineRule="auto"/>
        <w:ind w:firstLine="640"/>
        <w:jc w:val="both"/>
      </w:pPr>
    </w:p>
    <w:p w14:paraId="483BE3F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E75AF3"/>
    <w:rsid w:val="313F1D52"/>
    <w:rsid w:val="318029AB"/>
    <w:rsid w:val="31C63837"/>
    <w:rsid w:val="326F0A17"/>
    <w:rsid w:val="3277581B"/>
    <w:rsid w:val="33671144"/>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4424</Words>
  <Characters>5117</Characters>
  <Lines>0</Lines>
  <Paragraphs>0</Paragraphs>
  <TotalTime>5</TotalTime>
  <ScaleCrop>false</ScaleCrop>
  <LinksUpToDate>false</LinksUpToDate>
  <CharactersWithSpaces>5125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2025-09-03T11:18:18Z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