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新疆维吾尔自治区喀什地区干部培训中心2024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C037C9">
      <w:r>
        <w:br w:type="page"/>
      </w:r>
    </w:p>
    <w:p w14:paraId="1A6F3D74">
      <w:pPr>
        <w:spacing w:line="640" w:lineRule="exact"/>
        <w:jc w:val="center"/>
        <w:outlineLvl w:val="1"/>
      </w:pPr>
      <w:r>
        <w:rPr>
          <w:rFonts w:ascii="黑体" w:hAnsi="黑体" w:eastAsia="黑体"/>
          <w:sz w:val="32"/>
        </w:rPr>
        <w:t>第一部分 部门概况</w:t>
      </w:r>
    </w:p>
    <w:p w14:paraId="00E62C59">
      <w:pPr>
        <w:spacing w:line="640" w:lineRule="exact"/>
        <w:ind w:firstLine="640"/>
        <w:jc w:val="both"/>
        <w:outlineLvl w:val="2"/>
      </w:pPr>
      <w:r>
        <w:rPr>
          <w:rFonts w:ascii="黑体" w:hAnsi="黑体" w:eastAsia="黑体"/>
          <w:sz w:val="32"/>
        </w:rPr>
        <w:t>一、主要职能</w:t>
      </w:r>
    </w:p>
    <w:p w14:paraId="27DD3AC6">
      <w:pPr>
        <w:spacing w:line="580" w:lineRule="exact"/>
        <w:ind w:firstLine="640"/>
        <w:jc w:val="both"/>
      </w:pPr>
      <w:r>
        <w:rPr>
          <w:rFonts w:ascii="仿宋_GB2312" w:hAnsi="仿宋_GB2312" w:eastAsia="仿宋_GB2312"/>
          <w:sz w:val="32"/>
        </w:rPr>
        <w:t>（一）为提高喀什地区机关事业单位工人整体素质，促进再就业工程提供培训服务。</w:t>
      </w:r>
    </w:p>
    <w:p w14:paraId="1EE971B7">
      <w:pPr>
        <w:spacing w:line="580" w:lineRule="exact"/>
        <w:ind w:firstLine="640"/>
        <w:jc w:val="both"/>
      </w:pPr>
      <w:r>
        <w:rPr>
          <w:rFonts w:ascii="仿宋_GB2312" w:hAnsi="仿宋_GB2312" w:eastAsia="仿宋_GB2312"/>
          <w:sz w:val="32"/>
        </w:rPr>
        <w:t>（二）地区各类工种工人技术等级职业资格培训、考核。</w:t>
      </w:r>
    </w:p>
    <w:p w14:paraId="1AC27218">
      <w:pPr>
        <w:spacing w:line="580" w:lineRule="exact"/>
        <w:ind w:firstLine="640"/>
        <w:jc w:val="both"/>
      </w:pPr>
      <w:r>
        <w:rPr>
          <w:rFonts w:ascii="仿宋_GB2312" w:hAnsi="仿宋_GB2312" w:eastAsia="仿宋_GB2312"/>
          <w:sz w:val="32"/>
        </w:rPr>
        <w:t>（三）成人短期教育培训;相关社会服务。</w:t>
      </w:r>
    </w:p>
    <w:p w14:paraId="120D65C5">
      <w:pPr>
        <w:spacing w:line="640" w:lineRule="exact"/>
        <w:ind w:firstLine="640"/>
        <w:jc w:val="both"/>
        <w:outlineLvl w:val="2"/>
      </w:pPr>
      <w:r>
        <w:rPr>
          <w:rFonts w:ascii="黑体" w:hAnsi="黑体" w:eastAsia="黑体"/>
          <w:sz w:val="32"/>
        </w:rPr>
        <w:t>二、机构设置及人员情况</w:t>
      </w:r>
    </w:p>
    <w:p w14:paraId="7AE5F555">
      <w:pPr>
        <w:spacing w:line="580" w:lineRule="exact"/>
        <w:ind w:firstLine="640"/>
        <w:jc w:val="both"/>
      </w:pPr>
      <w:r>
        <w:rPr>
          <w:rFonts w:ascii="仿宋_GB2312" w:hAnsi="仿宋_GB2312" w:eastAsia="仿宋_GB2312"/>
          <w:sz w:val="32"/>
        </w:rPr>
        <w:t>新疆维吾尔自治区喀什地区干部培训中心2024年度，实有人数12人，其中：在职人员7人，减少1人；离休人员0人，增加0人；退休人员5人,增加0人。</w:t>
      </w:r>
    </w:p>
    <w:p w14:paraId="3B721590">
      <w:pPr>
        <w:spacing w:line="580" w:lineRule="exact"/>
        <w:ind w:firstLine="640"/>
        <w:jc w:val="both"/>
      </w:pPr>
      <w:r>
        <w:rPr>
          <w:rFonts w:ascii="仿宋_GB2312" w:hAnsi="仿宋_GB2312" w:eastAsia="仿宋_GB2312"/>
          <w:sz w:val="32"/>
        </w:rPr>
        <w:t>新疆维吾尔自治区喀什地区干部培训中心无下属预算单位，下设3个科室，分别是：办公室、财务室、教研室。</w:t>
      </w:r>
    </w:p>
    <w:p w14:paraId="1700649A">
      <w:r>
        <w:br w:type="page"/>
      </w:r>
    </w:p>
    <w:p w14:paraId="6AD41A03">
      <w:pPr>
        <w:spacing w:line="240" w:lineRule="auto"/>
        <w:jc w:val="center"/>
        <w:outlineLvl w:val="1"/>
      </w:pPr>
      <w:r>
        <w:rPr>
          <w:rFonts w:ascii="黑体" w:hAnsi="黑体" w:eastAsia="黑体"/>
          <w:sz w:val="32"/>
        </w:rPr>
        <w:t>第二部分 部门决算情况说明</w:t>
      </w:r>
    </w:p>
    <w:p w14:paraId="63570FF2">
      <w:pPr>
        <w:spacing w:line="640" w:lineRule="exact"/>
        <w:ind w:firstLine="640"/>
        <w:jc w:val="both"/>
        <w:outlineLvl w:val="2"/>
      </w:pPr>
      <w:r>
        <w:rPr>
          <w:rFonts w:ascii="黑体" w:hAnsi="黑体" w:eastAsia="黑体"/>
          <w:sz w:val="32"/>
        </w:rPr>
        <w:t>一、收入支出决算总体情况说明</w:t>
      </w:r>
    </w:p>
    <w:p w14:paraId="4A28494B">
      <w:pPr>
        <w:spacing w:line="580" w:lineRule="exact"/>
        <w:ind w:firstLine="640"/>
        <w:jc w:val="both"/>
      </w:pPr>
      <w:r>
        <w:rPr>
          <w:rFonts w:ascii="仿宋_GB2312" w:hAnsi="仿宋_GB2312" w:eastAsia="仿宋_GB2312"/>
          <w:b/>
          <w:sz w:val="32"/>
        </w:rPr>
        <w:t>2024年度收入总计244.84万元，</w:t>
      </w:r>
      <w:r>
        <w:rPr>
          <w:rFonts w:ascii="仿宋_GB2312" w:hAnsi="仿宋_GB2312" w:eastAsia="仿宋_GB2312"/>
          <w:b w:val="0"/>
          <w:sz w:val="32"/>
        </w:rPr>
        <w:t>其中：本年收入合计154.39万元，使用非财政拨款结余（含专用结余）0.00万元，年初结转和结余90.44万元。</w:t>
      </w:r>
    </w:p>
    <w:p w14:paraId="0AC8C463">
      <w:pPr>
        <w:spacing w:line="580" w:lineRule="exact"/>
        <w:ind w:firstLine="640"/>
        <w:jc w:val="both"/>
      </w:pPr>
      <w:r>
        <w:rPr>
          <w:rFonts w:ascii="仿宋_GB2312" w:hAnsi="仿宋_GB2312" w:eastAsia="仿宋_GB2312"/>
          <w:b/>
          <w:sz w:val="32"/>
        </w:rPr>
        <w:t>2024年度支出总计244.84万元，</w:t>
      </w:r>
      <w:r>
        <w:rPr>
          <w:rFonts w:ascii="仿宋_GB2312" w:hAnsi="仿宋_GB2312" w:eastAsia="仿宋_GB2312"/>
          <w:b w:val="0"/>
          <w:sz w:val="32"/>
        </w:rPr>
        <w:t>其中：本年支出合计155.26万元，结余分配0.00万元，年末结转和结余89.58万元。</w:t>
      </w:r>
    </w:p>
    <w:p w14:paraId="65483942">
      <w:pPr>
        <w:spacing w:line="580" w:lineRule="exact"/>
        <w:ind w:firstLine="640"/>
        <w:jc w:val="both"/>
      </w:pPr>
      <w:r>
        <w:rPr>
          <w:rFonts w:ascii="仿宋_GB2312" w:hAnsi="仿宋_GB2312" w:eastAsia="仿宋_GB2312"/>
          <w:b w:val="0"/>
          <w:sz w:val="32"/>
        </w:rPr>
        <w:t>收入支出总体与上年相比，减少530.08万元，下降68.40%，主要原因是：本年减少用于援疆干部学习交流慰问的援疆资金，减少上年结转结余资金，导致相关经费减少。</w:t>
      </w:r>
    </w:p>
    <w:p w14:paraId="646B0714">
      <w:pPr>
        <w:spacing w:line="640" w:lineRule="exact"/>
        <w:ind w:firstLine="640"/>
        <w:jc w:val="both"/>
        <w:outlineLvl w:val="2"/>
      </w:pPr>
      <w:r>
        <w:rPr>
          <w:rFonts w:ascii="黑体" w:hAnsi="黑体" w:eastAsia="黑体"/>
          <w:sz w:val="32"/>
        </w:rPr>
        <w:t>二、收入决算情况说明</w:t>
      </w:r>
    </w:p>
    <w:p w14:paraId="0FDB57FE">
      <w:pPr>
        <w:spacing w:line="580" w:lineRule="exact"/>
        <w:ind w:firstLine="640"/>
        <w:jc w:val="both"/>
      </w:pPr>
      <w:r>
        <w:rPr>
          <w:rFonts w:ascii="仿宋_GB2312" w:hAnsi="仿宋_GB2312" w:eastAsia="仿宋_GB2312"/>
          <w:b/>
          <w:sz w:val="32"/>
        </w:rPr>
        <w:t>本年收入154.39万元，</w:t>
      </w:r>
      <w:r>
        <w:rPr>
          <w:rFonts w:ascii="仿宋_GB2312" w:hAnsi="仿宋_GB2312" w:eastAsia="仿宋_GB2312"/>
          <w:b w:val="0"/>
          <w:sz w:val="32"/>
        </w:rPr>
        <w:t>其中：财政拨款收入144.91万元，占93.86%；上级补助收入0.00万元，占0.00%；事业收入0.00万元，占0.00%；经营收入0.00万元，占0.00%；附属单位上缴收入0.00万元，占0.00%；其他收入9.48万元，占6.14%。</w:t>
      </w:r>
    </w:p>
    <w:p w14:paraId="2CB17076">
      <w:pPr>
        <w:spacing w:line="640" w:lineRule="exact"/>
        <w:ind w:firstLine="640"/>
        <w:jc w:val="both"/>
        <w:outlineLvl w:val="2"/>
      </w:pPr>
      <w:r>
        <w:rPr>
          <w:rFonts w:ascii="黑体" w:hAnsi="黑体" w:eastAsia="黑体"/>
          <w:sz w:val="32"/>
        </w:rPr>
        <w:t>三、支出决算情况说明</w:t>
      </w:r>
    </w:p>
    <w:p w14:paraId="6D0C929D">
      <w:pPr>
        <w:spacing w:line="580" w:lineRule="exact"/>
        <w:ind w:firstLine="640"/>
        <w:jc w:val="both"/>
      </w:pPr>
      <w:r>
        <w:rPr>
          <w:rFonts w:ascii="仿宋_GB2312" w:hAnsi="仿宋_GB2312" w:eastAsia="仿宋_GB2312"/>
          <w:b/>
          <w:sz w:val="32"/>
        </w:rPr>
        <w:t>本年支出155.26万元，</w:t>
      </w:r>
      <w:r>
        <w:rPr>
          <w:rFonts w:ascii="仿宋_GB2312" w:hAnsi="仿宋_GB2312" w:eastAsia="仿宋_GB2312"/>
          <w:b w:val="0"/>
          <w:sz w:val="32"/>
        </w:rPr>
        <w:t>其中：基本支出144.91万元，占93.33%；项目支出10.35万元，占6.67%；上缴上级支出0.00万元，占0.00%；经营支出0.00万元，占0.00%；对附属单位补助支出0.00万元，占0.00%。</w:t>
      </w:r>
    </w:p>
    <w:p w14:paraId="73A3EFE9">
      <w:pPr>
        <w:spacing w:line="640" w:lineRule="exact"/>
        <w:ind w:firstLine="640"/>
        <w:jc w:val="both"/>
        <w:outlineLvl w:val="2"/>
      </w:pPr>
      <w:r>
        <w:rPr>
          <w:rFonts w:ascii="黑体" w:hAnsi="黑体" w:eastAsia="黑体"/>
          <w:sz w:val="32"/>
        </w:rPr>
        <w:t>四、财政拨款收入支出决算总体情况说明</w:t>
      </w:r>
    </w:p>
    <w:p w14:paraId="3241E9AC">
      <w:pPr>
        <w:spacing w:line="580" w:lineRule="exact"/>
        <w:ind w:firstLine="640"/>
        <w:jc w:val="both"/>
      </w:pPr>
      <w:r>
        <w:rPr>
          <w:rFonts w:ascii="仿宋_GB2312" w:hAnsi="仿宋_GB2312" w:eastAsia="仿宋_GB2312"/>
          <w:b/>
          <w:sz w:val="32"/>
        </w:rPr>
        <w:t>2024年度财政拨款收入总计144.91万元，</w:t>
      </w:r>
      <w:r>
        <w:rPr>
          <w:rFonts w:ascii="仿宋_GB2312" w:hAnsi="仿宋_GB2312" w:eastAsia="仿宋_GB2312"/>
          <w:b w:val="0"/>
          <w:sz w:val="32"/>
        </w:rPr>
        <w:t>其中：年初财政拨款结转和结余0.00万元，本年财政拨款收入144.91万元。</w:t>
      </w:r>
      <w:r>
        <w:rPr>
          <w:rFonts w:ascii="仿宋_GB2312" w:hAnsi="仿宋_GB2312" w:eastAsia="仿宋_GB2312"/>
          <w:b/>
          <w:sz w:val="32"/>
        </w:rPr>
        <w:t>财政拨款支出总计144.91万元，</w:t>
      </w:r>
      <w:r>
        <w:rPr>
          <w:rFonts w:ascii="仿宋_GB2312" w:hAnsi="仿宋_GB2312" w:eastAsia="仿宋_GB2312"/>
          <w:b w:val="0"/>
          <w:sz w:val="32"/>
        </w:rPr>
        <w:t>其中：年末财政拨款结转和结余0.00万元，本年财政拨款支出144.91万元。</w:t>
      </w:r>
    </w:p>
    <w:p w14:paraId="61107C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减少6.69万元，下降4.41%，主要原因是：本年在职人员减少，相关人员经费较上年减少。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年初预算数156.90万元，决算数144.91万元，预决算差异率-7.64%，主要原因是：</w:t>
      </w:r>
      <w:r>
        <w:rPr>
          <w:rFonts w:hint="eastAsia" w:ascii="仿宋_GB2312" w:hAnsi="仿宋_GB2312" w:eastAsia="仿宋_GB2312"/>
          <w:b w:val="0"/>
          <w:sz w:val="32"/>
        </w:rPr>
        <w:t>因厉行节约，调减当年经费预算，导致预决算差异率负数</w:t>
      </w:r>
      <w:r>
        <w:rPr>
          <w:rFonts w:ascii="仿宋_GB2312" w:hAnsi="仿宋_GB2312" w:eastAsia="仿宋_GB2312"/>
          <w:b w:val="0"/>
          <w:sz w:val="32"/>
        </w:rPr>
        <w:t>。</w:t>
      </w:r>
    </w:p>
    <w:p w14:paraId="590C11FC">
      <w:pPr>
        <w:spacing w:line="640" w:lineRule="exact"/>
        <w:ind w:firstLine="640"/>
        <w:jc w:val="both"/>
        <w:outlineLvl w:val="2"/>
      </w:pPr>
      <w:r>
        <w:rPr>
          <w:rFonts w:ascii="黑体" w:hAnsi="黑体" w:eastAsia="黑体"/>
          <w:sz w:val="32"/>
        </w:rPr>
        <w:t>五、一般公共预算财政拨款支出决算情况说明</w:t>
      </w:r>
    </w:p>
    <w:p w14:paraId="27D9BF51">
      <w:pPr>
        <w:spacing w:line="640" w:lineRule="exact"/>
        <w:ind w:firstLine="640"/>
        <w:jc w:val="both"/>
        <w:outlineLvl w:val="3"/>
      </w:pPr>
      <w:r>
        <w:rPr>
          <w:rFonts w:ascii="楷体_GB2312" w:hAnsi="楷体_GB2312" w:eastAsia="楷体_GB2312"/>
          <w:b/>
          <w:sz w:val="32"/>
        </w:rPr>
        <w:t>（一）一般公共预算财政拨款支出决算总体情况</w:t>
      </w:r>
    </w:p>
    <w:p w14:paraId="4862B842">
      <w:pPr>
        <w:spacing w:line="580" w:lineRule="exact"/>
        <w:ind w:firstLine="640"/>
        <w:jc w:val="both"/>
      </w:pPr>
      <w:r>
        <w:rPr>
          <w:rFonts w:ascii="仿宋_GB2312" w:hAnsi="仿宋_GB2312" w:eastAsia="仿宋_GB2312"/>
          <w:b/>
          <w:sz w:val="32"/>
        </w:rPr>
        <w:t>2024年度一般公共预算财政拨款支出144.91万元，</w:t>
      </w:r>
      <w:r>
        <w:rPr>
          <w:rFonts w:ascii="仿宋_GB2312" w:hAnsi="仿宋_GB2312" w:eastAsia="仿宋_GB2312"/>
          <w:b w:val="0"/>
          <w:sz w:val="32"/>
        </w:rPr>
        <w:t>占本年支出合计的93.33%。</w:t>
      </w:r>
      <w:r>
        <w:rPr>
          <w:rFonts w:ascii="仿宋_GB2312" w:hAnsi="仿宋_GB2312" w:eastAsia="仿宋_GB2312"/>
          <w:b/>
          <w:sz w:val="32"/>
        </w:rPr>
        <w:t>与上年相比，</w:t>
      </w:r>
      <w:r>
        <w:rPr>
          <w:rFonts w:ascii="仿宋_GB2312" w:hAnsi="仿宋_GB2312" w:eastAsia="仿宋_GB2312"/>
          <w:b w:val="0"/>
          <w:sz w:val="32"/>
        </w:rPr>
        <w:t>减少6.69万元，下降4.41%，主要原因是：本年在职人员减少，相关人员经费较上年减少。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年初预算数156.90万元，决算数144.91万元，预决算差异率-7.64%，主要原因是：</w:t>
      </w:r>
      <w:r>
        <w:rPr>
          <w:rFonts w:hint="eastAsia" w:ascii="仿宋_GB2312" w:hAnsi="仿宋_GB2312" w:eastAsia="仿宋_GB2312"/>
          <w:b w:val="0"/>
          <w:sz w:val="32"/>
        </w:rPr>
        <w:t>因厉行节约，调减当年经费预算，导致预决算差异率负数</w:t>
      </w:r>
      <w:r>
        <w:rPr>
          <w:rFonts w:ascii="仿宋_GB2312" w:hAnsi="仿宋_GB2312" w:eastAsia="仿宋_GB2312"/>
          <w:b w:val="0"/>
          <w:sz w:val="32"/>
        </w:rPr>
        <w:t>。</w:t>
      </w:r>
    </w:p>
    <w:p w14:paraId="5897541E">
      <w:pPr>
        <w:spacing w:line="640" w:lineRule="exact"/>
        <w:ind w:firstLine="640"/>
        <w:jc w:val="both"/>
        <w:outlineLvl w:val="3"/>
      </w:pPr>
      <w:r>
        <w:rPr>
          <w:rFonts w:ascii="楷体_GB2312" w:hAnsi="楷体_GB2312" w:eastAsia="楷体_GB2312"/>
          <w:b/>
          <w:sz w:val="32"/>
        </w:rPr>
        <w:t>（二）一般公共预算财政拨款支出决算结构情况</w:t>
      </w:r>
    </w:p>
    <w:p w14:paraId="017FF664">
      <w:pPr>
        <w:spacing w:line="580" w:lineRule="exact"/>
        <w:ind w:firstLine="640"/>
        <w:jc w:val="both"/>
      </w:pPr>
      <w:r>
        <w:rPr>
          <w:rFonts w:ascii="仿宋_GB2312" w:hAnsi="仿宋_GB2312" w:eastAsia="仿宋_GB2312"/>
          <w:b w:val="0"/>
          <w:sz w:val="32"/>
        </w:rPr>
        <w:t>1.教育支出(类)131.50万元,占90.75%。</w:t>
      </w:r>
    </w:p>
    <w:p w14:paraId="445ED895">
      <w:pPr>
        <w:spacing w:line="580" w:lineRule="exact"/>
        <w:ind w:firstLine="640"/>
        <w:jc w:val="both"/>
      </w:pPr>
      <w:r>
        <w:rPr>
          <w:rFonts w:ascii="仿宋_GB2312" w:hAnsi="仿宋_GB2312" w:eastAsia="仿宋_GB2312"/>
          <w:b w:val="0"/>
          <w:sz w:val="32"/>
        </w:rPr>
        <w:t>2.社会保障和就业支出(类)13.41万元,占9.25%。</w:t>
      </w:r>
    </w:p>
    <w:p w14:paraId="4C1F6C0C">
      <w:pPr>
        <w:spacing w:line="640" w:lineRule="exact"/>
        <w:ind w:firstLine="640"/>
        <w:jc w:val="both"/>
        <w:outlineLvl w:val="3"/>
      </w:pPr>
      <w:r>
        <w:rPr>
          <w:rFonts w:ascii="楷体_GB2312" w:hAnsi="楷体_GB2312" w:eastAsia="楷体_GB2312"/>
          <w:b/>
          <w:sz w:val="32"/>
        </w:rPr>
        <w:t>（三）一般公共预算财政拨款支出决算具体情况</w:t>
      </w:r>
    </w:p>
    <w:p w14:paraId="46433539">
      <w:pPr>
        <w:spacing w:line="580" w:lineRule="exact"/>
        <w:ind w:firstLine="640"/>
        <w:jc w:val="both"/>
      </w:pPr>
      <w:r>
        <w:rPr>
          <w:rFonts w:ascii="仿宋_GB2312" w:hAnsi="仿宋_GB2312" w:eastAsia="仿宋_GB2312"/>
          <w:b w:val="0"/>
          <w:sz w:val="32"/>
        </w:rPr>
        <w:t>1.教育支出(类)进修及培训(款)干部教育(项):支出决算数为131.50万元，比上年决算减少6.52万元，下降4.72%,主要原因是：本年在职人员减少，相关人员经费支出减少。</w:t>
      </w:r>
    </w:p>
    <w:p w14:paraId="305823B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13.41万元，比上年决算减少0.17万元，下降1.25%,主要原因是：本年在职人员减少，单位基本养老保险缴费较上年减少。</w:t>
      </w:r>
    </w:p>
    <w:p w14:paraId="4ED7212D">
      <w:pPr>
        <w:spacing w:line="640" w:lineRule="exact"/>
        <w:ind w:firstLine="640"/>
        <w:jc w:val="both"/>
        <w:outlineLvl w:val="2"/>
      </w:pPr>
      <w:r>
        <w:rPr>
          <w:rFonts w:ascii="黑体" w:hAnsi="黑体" w:eastAsia="黑体"/>
          <w:sz w:val="32"/>
        </w:rPr>
        <w:t>六、一般公共预算财政拨款基本支出决算情况说明</w:t>
      </w:r>
    </w:p>
    <w:p w14:paraId="5803DDD1">
      <w:pPr>
        <w:spacing w:line="580" w:lineRule="exact"/>
        <w:ind w:firstLine="640"/>
        <w:jc w:val="both"/>
      </w:pPr>
      <w:r>
        <w:rPr>
          <w:rFonts w:ascii="仿宋_GB2312" w:hAnsi="仿宋_GB2312" w:eastAsia="仿宋_GB2312"/>
          <w:b w:val="0"/>
          <w:sz w:val="32"/>
        </w:rPr>
        <w:t>2024年度一般公共预算财政拨款基本支出144.91万元，其中：</w:t>
      </w:r>
      <w:r>
        <w:rPr>
          <w:rFonts w:ascii="仿宋_GB2312" w:hAnsi="仿宋_GB2312" w:eastAsia="仿宋_GB2312"/>
          <w:b/>
          <w:sz w:val="32"/>
        </w:rPr>
        <w:t>人员经费140.50万元，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478E2E18">
      <w:pPr>
        <w:spacing w:line="580" w:lineRule="exact"/>
        <w:ind w:firstLine="640"/>
        <w:jc w:val="both"/>
      </w:pPr>
      <w:r>
        <w:rPr>
          <w:rFonts w:ascii="仿宋_GB2312" w:hAnsi="仿宋_GB2312" w:eastAsia="仿宋_GB2312"/>
          <w:b/>
          <w:sz w:val="32"/>
        </w:rPr>
        <w:t>公用经费4.41万元，</w:t>
      </w:r>
      <w:r>
        <w:rPr>
          <w:rFonts w:ascii="仿宋_GB2312" w:hAnsi="仿宋_GB2312" w:eastAsia="仿宋_GB2312"/>
          <w:b w:val="0"/>
          <w:sz w:val="32"/>
        </w:rPr>
        <w:t>包括：办公费、手续费、邮电费、专用材料费、工会经费、公务用车运行维护费、其他商品和服务支出。</w:t>
      </w:r>
    </w:p>
    <w:p w14:paraId="6448D7F4">
      <w:pPr>
        <w:spacing w:line="640" w:lineRule="exact"/>
        <w:ind w:firstLine="640"/>
        <w:jc w:val="both"/>
        <w:outlineLvl w:val="2"/>
      </w:pPr>
      <w:r>
        <w:rPr>
          <w:rFonts w:ascii="黑体" w:hAnsi="黑体" w:eastAsia="黑体"/>
          <w:sz w:val="32"/>
        </w:rPr>
        <w:t>七、政府性基金预算财政拨款收入支出决算情况说明</w:t>
      </w:r>
    </w:p>
    <w:p w14:paraId="51C0698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4F3FCE6">
      <w:pPr>
        <w:spacing w:line="640" w:lineRule="exact"/>
        <w:ind w:firstLine="640"/>
        <w:jc w:val="both"/>
        <w:outlineLvl w:val="2"/>
      </w:pPr>
      <w:r>
        <w:rPr>
          <w:rFonts w:ascii="黑体" w:hAnsi="黑体" w:eastAsia="黑体"/>
          <w:sz w:val="32"/>
        </w:rPr>
        <w:t>八、国有资本经营预算财政拨款收入支出决算情况说明</w:t>
      </w:r>
    </w:p>
    <w:p w14:paraId="234B1F9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0967CCD">
      <w:pPr>
        <w:spacing w:line="640" w:lineRule="exact"/>
        <w:ind w:firstLine="640"/>
        <w:jc w:val="both"/>
        <w:outlineLvl w:val="2"/>
      </w:pPr>
      <w:r>
        <w:rPr>
          <w:rFonts w:ascii="黑体" w:hAnsi="黑体" w:eastAsia="黑体"/>
          <w:sz w:val="32"/>
        </w:rPr>
        <w:t>九、财政拨款“三公”经费支出决算情况说明</w:t>
      </w:r>
    </w:p>
    <w:p w14:paraId="50AA20EF">
      <w:pPr>
        <w:spacing w:line="580" w:lineRule="exact"/>
        <w:ind w:firstLine="640"/>
        <w:jc w:val="both"/>
      </w:pPr>
      <w:r>
        <w:rPr>
          <w:rFonts w:ascii="仿宋_GB2312" w:hAnsi="仿宋_GB2312" w:eastAsia="仿宋_GB2312"/>
          <w:b/>
          <w:sz w:val="32"/>
        </w:rPr>
        <w:t>2024年度财政拨款“三公”经费支出0.66万元，</w:t>
      </w:r>
      <w:r>
        <w:rPr>
          <w:rFonts w:ascii="仿宋_GB2312" w:hAnsi="仿宋_GB2312" w:eastAsia="仿宋_GB2312"/>
          <w:b w:val="0"/>
          <w:sz w:val="32"/>
        </w:rPr>
        <w:t>比上年减少0.48万元，下降42.11%，主要原因是：严格执行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支出0.00万元，占0.00%，比上年增加0.00万元，增长0.00%，主要原因是：2023年与2024年均未安排因公出国（境）费支出。公务用车购置及运行维护费支出0.66万元，占100.00%，比上年减少0.48万元，下降42.11%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八项规定，厉行节约，减少公务用车运行维护费。公务接待费支出0.00万元，占0.00%，比上年增加0.00万元，增长0.00%，主要原因是：2023年与2024年均未安排公务接待费支出。</w:t>
      </w:r>
    </w:p>
    <w:p w14:paraId="3C329340">
      <w:pPr>
        <w:spacing w:line="580" w:lineRule="exact"/>
        <w:ind w:firstLine="640"/>
        <w:jc w:val="both"/>
      </w:pPr>
      <w:r>
        <w:rPr>
          <w:rFonts w:ascii="仿宋_GB2312" w:hAnsi="仿宋_GB2312" w:eastAsia="仿宋_GB2312"/>
          <w:b/>
          <w:sz w:val="32"/>
        </w:rPr>
        <w:t>具体情况如下：</w:t>
      </w:r>
    </w:p>
    <w:p w14:paraId="00926FC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D1A85AF">
      <w:pPr>
        <w:spacing w:line="580" w:lineRule="exact"/>
        <w:ind w:firstLine="640"/>
        <w:jc w:val="both"/>
      </w:pPr>
      <w:r>
        <w:rPr>
          <w:rFonts w:ascii="仿宋_GB2312" w:hAnsi="仿宋_GB2312" w:eastAsia="仿宋_GB2312"/>
          <w:b w:val="0"/>
          <w:sz w:val="32"/>
        </w:rPr>
        <w:t>公务用车购置及运行维护费0.66万元，其中：公务用车购置费0.00万元，公务用车运行维护费0.66万元。公务用车运行维护费开支内容包括车辆保险费用、车辆维修费用、车辆加油费。公务用车购置数0辆，公务用车保有量1辆。国有资产占用情况中固定资产车辆1辆，与公务用车保有量差异原因是：本部门固定资产车辆与公务用车保有量一致无差异。</w:t>
      </w:r>
    </w:p>
    <w:p w14:paraId="1538B6A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A8E5E7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0.66万元，预决算差异率-49.23%，主要原因是：严格落实中央八项规定精神，厉行节约，减少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0.66万元，预决算差异率-49.23%，主要原因是：严格落实中央八项规定精神，厉行节约，减少经费支出。公务接待费全年预算数0.00万元，决算数0.00万元，预决算差异率0.00%，主要原因是：本部门无公务接待费。</w:t>
      </w:r>
    </w:p>
    <w:p w14:paraId="317FD194">
      <w:pPr>
        <w:spacing w:line="640" w:lineRule="exact"/>
        <w:ind w:firstLine="640"/>
        <w:jc w:val="both"/>
        <w:outlineLvl w:val="2"/>
      </w:pPr>
      <w:r>
        <w:rPr>
          <w:rFonts w:ascii="黑体" w:hAnsi="黑体" w:eastAsia="黑体"/>
          <w:sz w:val="32"/>
        </w:rPr>
        <w:t>十、其他重要事项的情况说明</w:t>
      </w:r>
    </w:p>
    <w:p w14:paraId="5146438B">
      <w:pPr>
        <w:spacing w:line="640" w:lineRule="exact"/>
        <w:ind w:firstLine="640"/>
        <w:jc w:val="both"/>
        <w:outlineLvl w:val="3"/>
      </w:pPr>
      <w:r>
        <w:rPr>
          <w:rFonts w:ascii="楷体_GB2312" w:hAnsi="楷体_GB2312" w:eastAsia="楷体_GB2312"/>
          <w:b/>
          <w:sz w:val="32"/>
        </w:rPr>
        <w:t>（一）机关运行经费及公用经费支出情况</w:t>
      </w:r>
    </w:p>
    <w:p w14:paraId="5174E698">
      <w:pPr>
        <w:spacing w:line="580" w:lineRule="exact"/>
        <w:ind w:firstLine="640"/>
        <w:jc w:val="both"/>
      </w:pPr>
      <w:r>
        <w:rPr>
          <w:rFonts w:ascii="仿宋_GB2312" w:hAnsi="仿宋_GB2312" w:eastAsia="仿宋_GB2312"/>
          <w:b w:val="0"/>
          <w:sz w:val="32"/>
        </w:rPr>
        <w:t>2024年度新疆维吾尔自治区喀什地区干部培训中心（事业单位）公用经费支出4.41万元，比上年减少0.63万元，下降12.50%，主要原因是：严控经费支出，厉行节约，减少经费支出。</w:t>
      </w:r>
    </w:p>
    <w:p w14:paraId="637AE471">
      <w:pPr>
        <w:spacing w:line="640" w:lineRule="exact"/>
        <w:ind w:firstLine="640"/>
        <w:jc w:val="both"/>
        <w:outlineLvl w:val="3"/>
      </w:pPr>
      <w:r>
        <w:rPr>
          <w:rFonts w:ascii="楷体_GB2312" w:hAnsi="楷体_GB2312" w:eastAsia="楷体_GB2312"/>
          <w:b/>
          <w:sz w:val="32"/>
        </w:rPr>
        <w:t>（二）政府采购情况</w:t>
      </w:r>
    </w:p>
    <w:p w14:paraId="7E8563D1">
      <w:pPr>
        <w:spacing w:line="580" w:lineRule="exact"/>
        <w:ind w:firstLine="640"/>
        <w:jc w:val="both"/>
      </w:pPr>
      <w:r>
        <w:rPr>
          <w:rFonts w:ascii="仿宋_GB2312" w:hAnsi="仿宋_GB2312" w:eastAsia="仿宋_GB2312"/>
          <w:b w:val="0"/>
          <w:sz w:val="32"/>
        </w:rPr>
        <w:t>2024年度政府采购支出总额7.56万元，其中：政府采购货物支出7.22万元、政府采购工程支出0.00万元、政府采购服务支出0.33万元。</w:t>
      </w:r>
    </w:p>
    <w:p w14:paraId="2C96EB32">
      <w:pPr>
        <w:spacing w:line="580" w:lineRule="exact"/>
        <w:ind w:firstLine="640"/>
        <w:jc w:val="both"/>
      </w:pPr>
      <w:r>
        <w:rPr>
          <w:rFonts w:ascii="仿宋_GB2312" w:hAnsi="仿宋_GB2312" w:eastAsia="仿宋_GB2312"/>
          <w:b w:val="0"/>
          <w:sz w:val="32"/>
        </w:rPr>
        <w:t>授予中小企业合同金额7.56万元，占政府采购支出总额的100.00%，其中：授予小微企业合同金额7.56万元，占政府采购支出总额的100.00%。</w:t>
      </w:r>
    </w:p>
    <w:p w14:paraId="3CC7E023">
      <w:pPr>
        <w:spacing w:line="640" w:lineRule="exact"/>
        <w:ind w:firstLine="640"/>
        <w:jc w:val="both"/>
        <w:outlineLvl w:val="3"/>
      </w:pPr>
      <w:r>
        <w:rPr>
          <w:rFonts w:ascii="楷体_GB2312" w:hAnsi="楷体_GB2312" w:eastAsia="楷体_GB2312"/>
          <w:b/>
          <w:sz w:val="32"/>
        </w:rPr>
        <w:t>（三）国有资产占用情况说明</w:t>
      </w:r>
    </w:p>
    <w:p w14:paraId="7FCFC1D4">
      <w:pPr>
        <w:spacing w:line="580" w:lineRule="exact"/>
        <w:ind w:firstLine="640"/>
        <w:jc w:val="both"/>
      </w:pPr>
      <w:r>
        <w:rPr>
          <w:rFonts w:ascii="仿宋_GB2312" w:hAnsi="仿宋_GB2312" w:eastAsia="仿宋_GB2312"/>
          <w:b w:val="0"/>
          <w:sz w:val="32"/>
        </w:rPr>
        <w:t>截至2024年12月31日，房屋0.00平方米，价值0.00万元。车辆1辆，价值25.35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860C6EA">
      <w:pPr>
        <w:spacing w:line="640" w:lineRule="exact"/>
        <w:ind w:firstLine="640"/>
        <w:jc w:val="both"/>
        <w:outlineLvl w:val="2"/>
      </w:pPr>
      <w:r>
        <w:rPr>
          <w:rFonts w:ascii="黑体" w:hAnsi="黑体" w:eastAsia="黑体"/>
          <w:sz w:val="32"/>
        </w:rPr>
        <w:t>十一、预算绩效的情况说明</w:t>
      </w:r>
    </w:p>
    <w:p w14:paraId="28B8BDF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根据预算绩效管理要求，本部门2024年度预算绩效管理形成整体支出绩效自评表1个，全年预算总额244.84万元，实际执行总额155.26万元；预算绩效评价项目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99</w:t>
      </w:r>
      <w:r>
        <w:rPr>
          <w:rFonts w:ascii="仿宋_GB2312" w:hAnsi="仿宋_GB2312" w:eastAsia="仿宋_GB2312"/>
          <w:b w:val="0"/>
          <w:sz w:val="32"/>
        </w:rPr>
        <w:t>.</w:t>
      </w:r>
      <w:r>
        <w:rPr>
          <w:rFonts w:hint="eastAsia" w:ascii="仿宋_GB2312" w:hAnsi="仿宋_GB2312" w:eastAsia="仿宋_GB2312"/>
          <w:b w:val="0"/>
          <w:sz w:val="32"/>
          <w:lang w:val="en-US" w:eastAsia="zh-CN"/>
        </w:rPr>
        <w:t>93</w:t>
      </w:r>
      <w:r>
        <w:rPr>
          <w:rFonts w:ascii="仿宋_GB2312" w:hAnsi="仿宋_GB2312" w:eastAsia="仿宋_GB2312"/>
          <w:b w:val="0"/>
          <w:sz w:val="32"/>
        </w:rPr>
        <w:t>万元，全年执行数10.35万元。预算绩效管理取得的成效：一是项目按照预期指标值，达标率高，项目实施成效与利用率较高；二是对项目实施前中后期管控及时科学分析，有效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绩效指标的量化、细化还需进一步提升；二是绩效管理经验还需进一步增强。下一步改进措施：一是加强预算绩效管理业务的系统学习及培训，提升人员各方面管理能力；二是加强预算绩效目标设置工作；对绩效进行实时监督，发现问题</w:t>
      </w:r>
      <w:r>
        <w:rPr>
          <w:rFonts w:hint="eastAsia" w:ascii="仿宋_GB2312" w:hAnsi="仿宋_GB2312" w:eastAsia="仿宋_GB2312"/>
          <w:b w:val="0"/>
          <w:sz w:val="32"/>
          <w:lang w:eastAsia="zh-CN"/>
        </w:rPr>
        <w:t>及时</w:t>
      </w:r>
      <w:r>
        <w:rPr>
          <w:rFonts w:ascii="仿宋_GB2312" w:hAnsi="仿宋_GB2312" w:eastAsia="仿宋_GB2312"/>
          <w:b w:val="0"/>
          <w:sz w:val="32"/>
        </w:rPr>
        <w:t>纠偏、调整。具体附部门整体支出绩效自评表，项目支出绩效自评表。</w:t>
      </w:r>
    </w:p>
    <w:p w14:paraId="7DEB84F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20A37F">
        <w:tblPrEx>
          <w:tblCellMar>
            <w:top w:w="0" w:type="dxa"/>
            <w:left w:w="108" w:type="dxa"/>
            <w:bottom w:w="0" w:type="dxa"/>
            <w:right w:w="108" w:type="dxa"/>
          </w:tblCellMar>
        </w:tblPrEx>
        <w:tc>
          <w:tcPr>
            <w:tcW w:w="8847" w:type="dxa"/>
            <w:gridSpan w:val="9"/>
            <w:vAlign w:val="center"/>
          </w:tcPr>
          <w:p w14:paraId="426982A2">
            <w:pPr>
              <w:jc w:val="center"/>
            </w:pPr>
            <w:r>
              <w:rPr>
                <w:rFonts w:ascii="宋体" w:hAnsi="宋体" w:eastAsia="宋体"/>
                <w:sz w:val="24"/>
              </w:rPr>
              <w:t>部门整体支出绩效自评表</w:t>
            </w:r>
          </w:p>
        </w:tc>
      </w:tr>
      <w:tr w14:paraId="4DA23B77">
        <w:tblPrEx>
          <w:tblCellMar>
            <w:top w:w="0" w:type="dxa"/>
            <w:left w:w="108" w:type="dxa"/>
            <w:bottom w:w="0" w:type="dxa"/>
            <w:right w:w="108" w:type="dxa"/>
          </w:tblCellMar>
        </w:tblPrEx>
        <w:tc>
          <w:tcPr>
            <w:tcW w:w="8847" w:type="dxa"/>
            <w:gridSpan w:val="9"/>
            <w:vAlign w:val="center"/>
          </w:tcPr>
          <w:p w14:paraId="53FECA9E">
            <w:pPr>
              <w:jc w:val="center"/>
            </w:pPr>
            <w:r>
              <w:rPr>
                <w:rFonts w:ascii="宋体" w:hAnsi="宋体" w:eastAsia="宋体"/>
                <w:sz w:val="24"/>
              </w:rPr>
              <w:t>（2024年度）</w:t>
            </w:r>
          </w:p>
        </w:tc>
      </w:tr>
      <w:tr w14:paraId="0C304E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FD56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6AC9D2">
            <w:pPr>
              <w:jc w:val="center"/>
            </w:pPr>
            <w:r>
              <w:rPr>
                <w:rFonts w:ascii="宋体" w:hAnsi="宋体" w:eastAsia="宋体"/>
                <w:sz w:val="16"/>
              </w:rPr>
              <w:t>新疆维吾尔自治区喀什地区干部培训中心</w:t>
            </w:r>
          </w:p>
        </w:tc>
      </w:tr>
      <w:tr w14:paraId="1DE650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2825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EEE8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1B62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89BE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3C45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C748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007E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CED9A">
            <w:pPr>
              <w:jc w:val="center"/>
            </w:pPr>
            <w:r>
              <w:rPr>
                <w:rFonts w:ascii="宋体" w:hAnsi="宋体" w:eastAsia="宋体"/>
                <w:sz w:val="16"/>
              </w:rPr>
              <w:t>得分</w:t>
            </w:r>
          </w:p>
        </w:tc>
      </w:tr>
      <w:tr w14:paraId="2C1415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90B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2219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0C9F5">
            <w:pPr>
              <w:jc w:val="center"/>
            </w:pPr>
            <w:r>
              <w:rPr>
                <w:rFonts w:ascii="宋体" w:hAnsi="宋体" w:eastAsia="宋体"/>
                <w:sz w:val="16"/>
              </w:rPr>
              <w:t>247.30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0F1D7">
            <w:pPr>
              <w:jc w:val="center"/>
            </w:pPr>
            <w:r>
              <w:rPr>
                <w:rFonts w:ascii="宋体" w:hAnsi="宋体" w:eastAsia="宋体"/>
                <w:sz w:val="16"/>
              </w:rPr>
              <w:t>244.84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87996">
            <w:pPr>
              <w:jc w:val="center"/>
            </w:pPr>
            <w:r>
              <w:rPr>
                <w:rFonts w:ascii="宋体" w:hAnsi="宋体" w:eastAsia="宋体"/>
                <w:sz w:val="16"/>
              </w:rPr>
              <w:t>155.26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51E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52C3E">
            <w:pPr>
              <w:jc w:val="center"/>
            </w:pPr>
            <w:r>
              <w:rPr>
                <w:rFonts w:ascii="宋体" w:hAnsi="宋体" w:eastAsia="宋体"/>
                <w:sz w:val="16"/>
              </w:rPr>
              <w:t>63.41%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63DC1">
            <w:pPr>
              <w:jc w:val="center"/>
            </w:pPr>
            <w:r>
              <w:rPr>
                <w:rFonts w:ascii="宋体" w:hAnsi="宋体" w:eastAsia="宋体"/>
                <w:sz w:val="16"/>
              </w:rPr>
              <w:t>6.3</w:t>
            </w:r>
          </w:p>
        </w:tc>
      </w:tr>
      <w:tr w14:paraId="7CA42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E67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6379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F8C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52E33">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AC5B">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ECC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36F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5897C">
            <w:pPr>
              <w:jc w:val="center"/>
            </w:pPr>
            <w:r>
              <w:rPr>
                <w:rFonts w:ascii="宋体" w:hAnsi="宋体" w:eastAsia="宋体"/>
                <w:sz w:val="16"/>
              </w:rPr>
              <w:t>—</w:t>
            </w:r>
          </w:p>
        </w:tc>
      </w:tr>
      <w:tr w14:paraId="26D5BB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92C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65A3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4B738">
            <w:pPr>
              <w:jc w:val="center"/>
            </w:pPr>
            <w:r>
              <w:rPr>
                <w:rFonts w:ascii="宋体" w:hAnsi="宋体" w:eastAsia="宋体"/>
                <w:sz w:val="16"/>
              </w:rPr>
              <w:t>156.90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B2222">
            <w:pPr>
              <w:jc w:val="center"/>
            </w:pPr>
            <w:r>
              <w:rPr>
                <w:rFonts w:ascii="宋体" w:hAnsi="宋体" w:eastAsia="宋体"/>
                <w:sz w:val="16"/>
              </w:rPr>
              <w:t>142.72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B4324">
            <w:pPr>
              <w:jc w:val="center"/>
            </w:pPr>
            <w:r>
              <w:rPr>
                <w:rFonts w:ascii="宋体" w:hAnsi="宋体" w:eastAsia="宋体"/>
                <w:sz w:val="16"/>
              </w:rPr>
              <w:t>142.72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C2C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2E3F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1D4A">
            <w:pPr>
              <w:jc w:val="center"/>
            </w:pPr>
            <w:r>
              <w:rPr>
                <w:rFonts w:ascii="宋体" w:hAnsi="宋体" w:eastAsia="宋体"/>
                <w:sz w:val="16"/>
              </w:rPr>
              <w:t>—</w:t>
            </w:r>
          </w:p>
        </w:tc>
      </w:tr>
      <w:tr w14:paraId="4B4A76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7BA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B9AA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0B3D9">
            <w:pPr>
              <w:jc w:val="center"/>
            </w:pPr>
            <w:r>
              <w:rPr>
                <w:rFonts w:ascii="宋体" w:hAnsi="宋体" w:eastAsia="宋体"/>
                <w:sz w:val="16"/>
              </w:rPr>
              <w:t>90.40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DE12A">
            <w:pPr>
              <w:jc w:val="center"/>
            </w:pPr>
            <w:r>
              <w:rPr>
                <w:rFonts w:ascii="宋体" w:hAnsi="宋体" w:eastAsia="宋体"/>
                <w:sz w:val="16"/>
              </w:rPr>
              <w:t>99.93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7083B">
            <w:pPr>
              <w:jc w:val="center"/>
            </w:pPr>
            <w:r>
              <w:rPr>
                <w:rFonts w:ascii="宋体" w:hAnsi="宋体" w:eastAsia="宋体"/>
                <w:sz w:val="16"/>
              </w:rPr>
              <w:t>10.35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DF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C50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56F4E">
            <w:pPr>
              <w:jc w:val="center"/>
            </w:pPr>
            <w:r>
              <w:rPr>
                <w:rFonts w:ascii="宋体" w:hAnsi="宋体" w:eastAsia="宋体"/>
                <w:sz w:val="16"/>
              </w:rPr>
              <w:t>—</w:t>
            </w:r>
          </w:p>
        </w:tc>
      </w:tr>
      <w:tr w14:paraId="46AA86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E628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D0FC6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768554">
            <w:pPr>
              <w:jc w:val="center"/>
            </w:pPr>
            <w:r>
              <w:rPr>
                <w:rFonts w:ascii="宋体" w:hAnsi="宋体" w:eastAsia="宋体"/>
                <w:sz w:val="16"/>
              </w:rPr>
              <w:t>实际完成情况</w:t>
            </w:r>
          </w:p>
        </w:tc>
      </w:tr>
      <w:tr w14:paraId="679481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5125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BD86B1">
            <w:pPr>
              <w:jc w:val="both"/>
            </w:pPr>
            <w:r>
              <w:rPr>
                <w:rFonts w:ascii="宋体" w:hAnsi="宋体" w:eastAsia="宋体"/>
                <w:sz w:val="16"/>
              </w:rPr>
              <w:t>新疆维吾尔自治区喀什地区干部培训中心是隶属于地委组织部管理的公益一类事业单位，中心主要承担留疆战士、招生初任培训及根据组织部工作安排开展各类干部培训，2024年度，中心围绕提高干部队伍的政治素质、业务能力和领导水平为核心目标，通过系统化、针对性的培训课程，按期完成130名招生、58名留疆战士培训和招留疆战士61名、开展一批援疆干部人才交流慰问工作，培训期数合计不低于6期，培训合格率达到100%，强化干部的实践能力和创新能力，基层干部履职能力提升90%，为组织的长远发展提供坚实的人才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1CA84A">
            <w:pPr>
              <w:jc w:val="both"/>
            </w:pPr>
            <w:r>
              <w:rPr>
                <w:rFonts w:hint="eastAsia" w:ascii="宋体" w:hAnsi="宋体"/>
                <w:sz w:val="16"/>
                <w:lang w:eastAsia="zh-CN"/>
              </w:rPr>
              <w:t>本部门</w:t>
            </w:r>
            <w:r>
              <w:rPr>
                <w:rFonts w:ascii="宋体" w:hAnsi="宋体" w:eastAsia="宋体"/>
                <w:sz w:val="16"/>
              </w:rPr>
              <w:t>年初预算数为247.3万元，预算调整后为244.84万元，实际预算执行数155.26万元，预算执行率为63.41%，本年度共计3个项目，分别为招生培训项目，预算金额为67.83万元，执行金额为0万元；援疆干部交流学习慰问项目，预算金额为 22.62万元，执行金额为10.35万元，达到团结关爱援疆干部的效益。丝路人才大厦培训设施改造提升项目，预算金额为9.48万元，执行金额为0万元</w:t>
            </w:r>
            <w:r>
              <w:rPr>
                <w:rFonts w:hint="eastAsia" w:ascii="宋体" w:hAnsi="宋体"/>
                <w:sz w:val="16"/>
                <w:lang w:eastAsia="zh-CN"/>
              </w:rPr>
              <w:t>。本部门</w:t>
            </w:r>
            <w:r>
              <w:rPr>
                <w:rFonts w:ascii="宋体" w:hAnsi="宋体" w:eastAsia="宋体"/>
                <w:sz w:val="16"/>
              </w:rPr>
              <w:t>今年开展留疆招生培训期数3期，培训留疆战士人数58人，开展培训期数3期，培训人数130人，</w:t>
            </w:r>
            <w:r>
              <w:rPr>
                <w:rFonts w:hint="eastAsia" w:ascii="宋体" w:hAnsi="宋体"/>
                <w:sz w:val="16"/>
                <w:lang w:val="en-US" w:eastAsia="zh-CN"/>
              </w:rPr>
              <w:t>录用</w:t>
            </w:r>
            <w:r>
              <w:rPr>
                <w:rFonts w:ascii="宋体" w:hAnsi="宋体" w:eastAsia="宋体"/>
                <w:sz w:val="16"/>
              </w:rPr>
              <w:t>留疆战士人数58人，培训按期完成率达到100%，培训合格率达到100%，提升基层干部履职能力达到100%</w:t>
            </w:r>
          </w:p>
        </w:tc>
      </w:tr>
      <w:tr w14:paraId="10352C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6D71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11A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62C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837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1683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CD2D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0373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471C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86612">
            <w:pPr>
              <w:jc w:val="center"/>
            </w:pPr>
            <w:r>
              <w:rPr>
                <w:rFonts w:ascii="宋体" w:hAnsi="宋体" w:eastAsia="宋体"/>
                <w:sz w:val="16"/>
              </w:rPr>
              <w:t>得分</w:t>
            </w:r>
          </w:p>
        </w:tc>
      </w:tr>
      <w:tr w14:paraId="743F00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21DF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078D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984C6">
            <w:pPr>
              <w:jc w:val="center"/>
            </w:pPr>
            <w:r>
              <w:rPr>
                <w:rFonts w:ascii="宋体" w:hAnsi="宋体" w:eastAsia="宋体"/>
                <w:sz w:val="16"/>
              </w:rPr>
              <w:t>开展留疆招生培训期数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162B">
            <w:pPr>
              <w:jc w:val="center"/>
            </w:pPr>
            <w:r>
              <w:rPr>
                <w:rFonts w:ascii="宋体" w:hAnsi="宋体" w:eastAsia="宋体"/>
                <w:sz w:val="16"/>
              </w:rPr>
              <w:t>&gt;=3期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D4B9">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342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EB6CA">
            <w:pPr>
              <w:jc w:val="center"/>
            </w:pPr>
            <w:r>
              <w:rPr>
                <w:rFonts w:ascii="宋体" w:hAnsi="宋体" w:eastAsia="宋体"/>
                <w:sz w:val="16"/>
              </w:rPr>
              <w: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18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FE1BC">
            <w:pPr>
              <w:jc w:val="center"/>
            </w:pPr>
            <w:r>
              <w:rPr>
                <w:rFonts w:ascii="宋体" w:hAnsi="宋体" w:eastAsia="宋体"/>
                <w:sz w:val="16"/>
              </w:rPr>
              <w:t>10</w:t>
            </w:r>
          </w:p>
        </w:tc>
      </w:tr>
      <w:tr w14:paraId="2BB692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1FD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3FE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8FEF9">
            <w:pPr>
              <w:jc w:val="center"/>
            </w:pPr>
            <w:r>
              <w:rPr>
                <w:rFonts w:ascii="宋体" w:hAnsi="宋体" w:eastAsia="宋体"/>
                <w:sz w:val="16"/>
              </w:rPr>
              <w:t>培训留疆战士人数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E692F">
            <w:pPr>
              <w:jc w:val="center"/>
            </w:pPr>
            <w:r>
              <w:rPr>
                <w:rFonts w:ascii="宋体" w:hAnsi="宋体" w:eastAsia="宋体"/>
                <w:sz w:val="16"/>
              </w:rPr>
              <w:t>&gt;=58人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E73A1">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877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5CCDC">
            <w:pPr>
              <w:jc w:val="center"/>
            </w:pPr>
            <w:r>
              <w:rPr>
                <w:rFonts w:ascii="宋体" w:hAnsi="宋体" w:eastAsia="宋体"/>
                <w:sz w:val="16"/>
              </w:rPr>
              <w:t>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F1B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B59A4">
            <w:pPr>
              <w:jc w:val="center"/>
            </w:pPr>
            <w:r>
              <w:rPr>
                <w:rFonts w:ascii="宋体" w:hAnsi="宋体" w:eastAsia="宋体"/>
                <w:sz w:val="16"/>
              </w:rPr>
              <w:t>10</w:t>
            </w:r>
          </w:p>
        </w:tc>
      </w:tr>
      <w:tr w14:paraId="21EE33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0EA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EE7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2C63B">
            <w:pPr>
              <w:jc w:val="center"/>
            </w:pPr>
            <w:r>
              <w:rPr>
                <w:rFonts w:ascii="宋体" w:hAnsi="宋体" w:eastAsia="宋体"/>
                <w:sz w:val="16"/>
              </w:rPr>
              <w:t>开展培训期数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F28C9">
            <w:pPr>
              <w:jc w:val="center"/>
            </w:pPr>
            <w:r>
              <w:rPr>
                <w:rFonts w:ascii="宋体" w:hAnsi="宋体" w:eastAsia="宋体"/>
                <w:sz w:val="16"/>
              </w:rPr>
              <w:t>&gt;=3期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90AEC">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C0A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EC00B">
            <w:pPr>
              <w:jc w:val="center"/>
            </w:pPr>
            <w:r>
              <w:rPr>
                <w:rFonts w:ascii="宋体" w:hAnsi="宋体" w:eastAsia="宋体"/>
                <w:sz w:val="16"/>
              </w:rPr>
              <w:t>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490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E734D">
            <w:pPr>
              <w:jc w:val="center"/>
            </w:pPr>
            <w:r>
              <w:rPr>
                <w:rFonts w:ascii="宋体" w:hAnsi="宋体" w:eastAsia="宋体"/>
                <w:sz w:val="16"/>
              </w:rPr>
              <w:t>10</w:t>
            </w:r>
          </w:p>
        </w:tc>
      </w:tr>
      <w:tr w14:paraId="641DE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034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2C0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97B55">
            <w:pPr>
              <w:jc w:val="center"/>
            </w:pPr>
            <w:r>
              <w:rPr>
                <w:rFonts w:ascii="宋体" w:hAnsi="宋体" w:eastAsia="宋体"/>
                <w:sz w:val="16"/>
              </w:rPr>
              <w:t>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BCE8D">
            <w:pPr>
              <w:jc w:val="center"/>
            </w:pPr>
            <w:r>
              <w:rPr>
                <w:rFonts w:ascii="宋体" w:hAnsi="宋体" w:eastAsia="宋体"/>
                <w:sz w:val="16"/>
              </w:rPr>
              <w:t>&gt;=130人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8058A">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5CB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9CFC">
            <w:pPr>
              <w:jc w:val="center"/>
            </w:pPr>
            <w:r>
              <w:rPr>
                <w:rFonts w:ascii="宋体" w:hAnsi="宋体" w:eastAsia="宋体"/>
                <w:sz w:val="16"/>
              </w:rPr>
              <w: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0F3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A517">
            <w:pPr>
              <w:jc w:val="center"/>
            </w:pPr>
            <w:r>
              <w:rPr>
                <w:rFonts w:ascii="宋体" w:hAnsi="宋体" w:eastAsia="宋体"/>
                <w:sz w:val="16"/>
              </w:rPr>
              <w:t>10</w:t>
            </w:r>
          </w:p>
        </w:tc>
      </w:tr>
      <w:tr w14:paraId="5393C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51F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DE4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74C7A">
            <w:pPr>
              <w:jc w:val="center"/>
            </w:pPr>
            <w:r>
              <w:rPr>
                <w:rFonts w:hint="eastAsia" w:ascii="宋体" w:hAnsi="宋体"/>
                <w:sz w:val="16"/>
                <w:lang w:val="en-US" w:eastAsia="zh-CN"/>
              </w:rPr>
              <w:t>录用</w:t>
            </w:r>
            <w:r>
              <w:rPr>
                <w:rFonts w:ascii="宋体" w:hAnsi="宋体" w:eastAsia="宋体"/>
                <w:sz w:val="16"/>
              </w:rPr>
              <w:t>留疆战士人数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F7764">
            <w:pPr>
              <w:jc w:val="center"/>
            </w:pPr>
            <w:r>
              <w:rPr>
                <w:rFonts w:ascii="宋体" w:hAnsi="宋体" w:eastAsia="宋体"/>
                <w:sz w:val="16"/>
              </w:rPr>
              <w:t>&gt;=61人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2D40D">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A4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20707">
            <w:pPr>
              <w:jc w:val="center"/>
            </w:pPr>
            <w:r>
              <w:rPr>
                <w:rFonts w:ascii="宋体" w:hAnsi="宋体" w:eastAsia="宋体"/>
                <w:sz w:val="16"/>
              </w:rPr>
              <w:t>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A9BA7">
            <w:pPr>
              <w:jc w:val="center"/>
            </w:pPr>
            <w:r>
              <w:rPr>
                <w:rFonts w:ascii="宋体" w:hAnsi="宋体" w:eastAsia="宋体"/>
                <w:sz w:val="16"/>
              </w:rPr>
              <w:t>95.08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2606A">
            <w:pPr>
              <w:jc w:val="center"/>
            </w:pPr>
            <w:r>
              <w:rPr>
                <w:rFonts w:ascii="宋体" w:hAnsi="宋体" w:eastAsia="宋体"/>
                <w:sz w:val="16"/>
              </w:rPr>
              <w:t>9.5</w:t>
            </w:r>
          </w:p>
        </w:tc>
      </w:tr>
      <w:tr w14:paraId="25B106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691D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F636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3F12">
            <w:pPr>
              <w:jc w:val="center"/>
            </w:pPr>
            <w:r>
              <w:rPr>
                <w:rFonts w:ascii="宋体" w:hAnsi="宋体" w:eastAsia="宋体"/>
                <w:sz w:val="16"/>
              </w:rPr>
              <w:t>培训按期完成率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ADD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7C2F8">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FA6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CFB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C3C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0E8FB">
            <w:pPr>
              <w:jc w:val="center"/>
            </w:pPr>
            <w:r>
              <w:rPr>
                <w:rFonts w:ascii="宋体" w:hAnsi="宋体" w:eastAsia="宋体"/>
                <w:sz w:val="16"/>
              </w:rPr>
              <w:t>10</w:t>
            </w:r>
          </w:p>
        </w:tc>
      </w:tr>
      <w:tr w14:paraId="398BC0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475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B2D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06110">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A69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F598F">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F5C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787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591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E49B2">
            <w:pPr>
              <w:jc w:val="center"/>
            </w:pPr>
            <w:r>
              <w:rPr>
                <w:rFonts w:ascii="宋体" w:hAnsi="宋体" w:eastAsia="宋体"/>
                <w:sz w:val="16"/>
              </w:rPr>
              <w:t>20</w:t>
            </w:r>
          </w:p>
        </w:tc>
      </w:tr>
      <w:tr w14:paraId="022A6D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989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D91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BDA61">
            <w:pPr>
              <w:jc w:val="center"/>
            </w:pPr>
            <w:r>
              <w:rPr>
                <w:rFonts w:ascii="宋体" w:hAnsi="宋体" w:eastAsia="宋体"/>
                <w:sz w:val="16"/>
              </w:rPr>
              <w:t>提升基层干部履职能力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2576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52C81">
            <w:pPr>
              <w:jc w:val="center"/>
            </w:pPr>
            <w:r>
              <w:rPr>
                <w:rFonts w:ascii="宋体" w:hAnsi="宋体" w:eastAsia="宋体"/>
                <w:sz w:val="16"/>
              </w:rPr>
              <w:t>喀什地区干部培训中心2024年工作计划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2C2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854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AAB99">
            <w:pPr>
              <w:jc w:val="center"/>
            </w:pPr>
            <w:r>
              <w:rPr>
                <w:rFonts w:ascii="宋体" w:hAnsi="宋体" w:eastAsia="宋体"/>
                <w:sz w:val="16"/>
              </w:rPr>
              <w:t>111.11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56CF6">
            <w:pPr>
              <w:jc w:val="center"/>
            </w:pPr>
            <w:r>
              <w:rPr>
                <w:rFonts w:ascii="宋体" w:hAnsi="宋体" w:eastAsia="宋体"/>
                <w:sz w:val="16"/>
              </w:rPr>
              <w:t>10</w:t>
            </w:r>
          </w:p>
        </w:tc>
      </w:tr>
    </w:tbl>
    <w:p w14:paraId="756DD192">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8"/>
        <w:gridCol w:w="1016"/>
        <w:gridCol w:w="618"/>
        <w:gridCol w:w="618"/>
        <w:gridCol w:w="622"/>
        <w:gridCol w:w="618"/>
        <w:gridCol w:w="618"/>
        <w:gridCol w:w="622"/>
        <w:gridCol w:w="624"/>
        <w:gridCol w:w="599"/>
        <w:gridCol w:w="627"/>
      </w:tblGrid>
      <w:tr w14:paraId="2A287604">
        <w:tblPrEx>
          <w:tblCellMar>
            <w:top w:w="0" w:type="dxa"/>
            <w:left w:w="108" w:type="dxa"/>
            <w:bottom w:w="0" w:type="dxa"/>
            <w:right w:w="108" w:type="dxa"/>
          </w:tblCellMar>
        </w:tblPrEx>
        <w:tc>
          <w:tcPr>
            <w:tcW w:w="8848" w:type="dxa"/>
            <w:gridSpan w:val="14"/>
            <w:vAlign w:val="center"/>
          </w:tcPr>
          <w:p w14:paraId="40B94038">
            <w:pPr>
              <w:jc w:val="center"/>
            </w:pPr>
            <w:r>
              <w:rPr>
                <w:rFonts w:ascii="宋体" w:hAnsi="宋体" w:eastAsia="宋体"/>
                <w:sz w:val="24"/>
              </w:rPr>
              <w:t>项目支出绩效自评表</w:t>
            </w:r>
          </w:p>
        </w:tc>
      </w:tr>
      <w:tr w14:paraId="2093694E">
        <w:tblPrEx>
          <w:tblCellMar>
            <w:top w:w="0" w:type="dxa"/>
            <w:left w:w="108" w:type="dxa"/>
            <w:bottom w:w="0" w:type="dxa"/>
            <w:right w:w="108" w:type="dxa"/>
          </w:tblCellMar>
        </w:tblPrEx>
        <w:tc>
          <w:tcPr>
            <w:tcW w:w="8848" w:type="dxa"/>
            <w:gridSpan w:val="14"/>
            <w:vAlign w:val="center"/>
          </w:tcPr>
          <w:p w14:paraId="3BCC03D9">
            <w:pPr>
              <w:jc w:val="center"/>
            </w:pPr>
            <w:r>
              <w:rPr>
                <w:rFonts w:ascii="宋体" w:hAnsi="宋体" w:eastAsia="宋体"/>
                <w:sz w:val="24"/>
              </w:rPr>
              <w:t>(2024年度)</w:t>
            </w:r>
          </w:p>
        </w:tc>
      </w:tr>
      <w:tr w14:paraId="40F6BB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F3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32D9D9">
            <w:pPr>
              <w:jc w:val="center"/>
            </w:pPr>
            <w:r>
              <w:rPr>
                <w:rFonts w:ascii="宋体" w:hAnsi="宋体" w:eastAsia="宋体"/>
                <w:sz w:val="16"/>
              </w:rPr>
              <w:t>丝路人才大厦培训设施改造提升项目</w:t>
            </w:r>
          </w:p>
        </w:tc>
      </w:tr>
      <w:tr w14:paraId="0D8F92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4E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2DAEC">
            <w:pPr>
              <w:jc w:val="center"/>
            </w:pPr>
            <w:r>
              <w:rPr>
                <w:rFonts w:ascii="宋体" w:hAnsi="宋体" w:eastAsia="宋体"/>
                <w:sz w:val="16"/>
              </w:rPr>
              <w:t>新疆维吾尔自治区喀什地区干部培训中心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4E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2809CA">
            <w:pPr>
              <w:jc w:val="center"/>
            </w:pPr>
            <w:r>
              <w:rPr>
                <w:rFonts w:ascii="宋体" w:hAnsi="宋体" w:eastAsia="宋体"/>
                <w:sz w:val="16"/>
              </w:rPr>
              <w:t>新疆维吾尔自治区喀什地区干部培训中心</w:t>
            </w:r>
          </w:p>
        </w:tc>
      </w:tr>
      <w:tr w14:paraId="4F6972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D0B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94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F75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0A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EA3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2A4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73F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99E6">
            <w:pPr>
              <w:jc w:val="center"/>
            </w:pPr>
            <w:r>
              <w:rPr>
                <w:rFonts w:ascii="宋体" w:hAnsi="宋体" w:eastAsia="宋体"/>
                <w:sz w:val="16"/>
              </w:rPr>
              <w:t>得分</w:t>
            </w:r>
          </w:p>
        </w:tc>
      </w:tr>
      <w:tr w14:paraId="5E97F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80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27D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71F5">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E450">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A83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D18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5B97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747A">
            <w:pPr>
              <w:jc w:val="center"/>
            </w:pPr>
            <w:r>
              <w:rPr>
                <w:rFonts w:ascii="宋体" w:hAnsi="宋体" w:eastAsia="宋体"/>
                <w:sz w:val="16"/>
              </w:rPr>
              <w:t>0.00分</w:t>
            </w:r>
          </w:p>
        </w:tc>
      </w:tr>
      <w:tr w14:paraId="6BB8C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F5D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DF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E1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4D9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432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EF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826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53CA">
            <w:pPr>
              <w:jc w:val="center"/>
            </w:pPr>
            <w:r>
              <w:rPr>
                <w:rFonts w:ascii="宋体" w:hAnsi="宋体" w:eastAsia="宋体"/>
                <w:sz w:val="16"/>
              </w:rPr>
              <w:t>—</w:t>
            </w:r>
          </w:p>
        </w:tc>
      </w:tr>
      <w:tr w14:paraId="0C8FE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891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48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101C">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8135">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386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F0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78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9E68">
            <w:pPr>
              <w:jc w:val="center"/>
            </w:pPr>
            <w:r>
              <w:rPr>
                <w:rFonts w:ascii="宋体" w:hAnsi="宋体" w:eastAsia="宋体"/>
                <w:sz w:val="16"/>
              </w:rPr>
              <w:t>—</w:t>
            </w:r>
          </w:p>
        </w:tc>
      </w:tr>
      <w:tr w14:paraId="21202B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4C2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2C2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613B6">
            <w:pPr>
              <w:jc w:val="center"/>
            </w:pPr>
            <w:r>
              <w:rPr>
                <w:rFonts w:ascii="宋体" w:hAnsi="宋体" w:eastAsia="宋体"/>
                <w:sz w:val="16"/>
              </w:rPr>
              <w:t>实际完成情况</w:t>
            </w:r>
          </w:p>
        </w:tc>
      </w:tr>
      <w:tr w14:paraId="32622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AAF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4BD863">
            <w:pPr>
              <w:jc w:val="both"/>
            </w:pPr>
            <w:r>
              <w:rPr>
                <w:rFonts w:ascii="宋体" w:hAnsi="宋体" w:eastAsia="宋体"/>
                <w:sz w:val="16"/>
              </w:rPr>
              <w:t>通过实施丝路人才大厦培训设施改造升级项目，将中心办公区划分为6个功能区域，购买20套办公桌椅，并对4005室进行电路改造、墙面处理、隔断分区、书柜打造，完善相关配套设施，提高党员教育信息化、规范化、现代化水平，优化完善地区党员教育中心指导协调服务职能，更好发挥党员作用、凝聚组织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80CBD8">
            <w:pPr>
              <w:jc w:val="both"/>
            </w:pPr>
            <w:r>
              <w:rPr>
                <w:rFonts w:ascii="宋体" w:hAnsi="宋体" w:eastAsia="宋体"/>
                <w:sz w:val="16"/>
              </w:rPr>
              <w:t>因时间较短，设计方案未定，项目未及时开展，项目资料未及时整理完成。下一步将尽快确定设计方案，加快推进项目实施完成。</w:t>
            </w:r>
          </w:p>
        </w:tc>
      </w:tr>
      <w:tr w14:paraId="311FEA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87C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0B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90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66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9B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62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AA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28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FF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0D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19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7E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D098">
            <w:pPr>
              <w:jc w:val="center"/>
            </w:pPr>
            <w:r>
              <w:rPr>
                <w:rFonts w:ascii="宋体" w:hAnsi="宋体" w:eastAsia="宋体"/>
                <w:sz w:val="16"/>
              </w:rPr>
              <w:t>偏差原因分析及改进措施</w:t>
            </w:r>
          </w:p>
        </w:tc>
      </w:tr>
      <w:tr w14:paraId="2BDCF2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E5E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84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4A7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49AA">
            <w:pPr>
              <w:jc w:val="center"/>
            </w:pPr>
            <w:r>
              <w:rPr>
                <w:rFonts w:ascii="宋体" w:hAnsi="宋体" w:eastAsia="宋体"/>
                <w:sz w:val="16"/>
              </w:rPr>
              <w:t>培训设施升级改造总</w:t>
            </w:r>
            <w:r>
              <w:rPr>
                <w:rFonts w:hint="eastAsia" w:ascii="宋体" w:hAnsi="宋体"/>
                <w:sz w:val="16"/>
                <w:lang w:eastAsia="zh-CN"/>
              </w:rPr>
              <w:t>平方</w:t>
            </w:r>
            <w:r>
              <w:rPr>
                <w:rFonts w:ascii="宋体" w:hAnsi="宋体" w:eastAsia="宋体"/>
                <w:sz w:val="16"/>
              </w:rPr>
              <w:t>米数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57F8">
            <w:pPr>
              <w:jc w:val="center"/>
            </w:pPr>
            <w:r>
              <w:rPr>
                <w:rFonts w:ascii="宋体" w:hAnsi="宋体" w:eastAsia="宋体"/>
                <w:sz w:val="16"/>
              </w:rPr>
              <w:t>&gt;=145平方米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7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F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A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1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2E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D9DD">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37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8CF46">
            <w:pPr>
              <w:jc w:val="center"/>
            </w:pPr>
            <w:r>
              <w:rPr>
                <w:rFonts w:ascii="宋体" w:hAnsi="宋体" w:eastAsia="宋体"/>
                <w:sz w:val="16"/>
              </w:rPr>
              <w:t>项目未开展。改进措施：加快推进项目实施。</w:t>
            </w:r>
          </w:p>
        </w:tc>
      </w:tr>
      <w:tr w14:paraId="6F16F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C4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4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B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DB08">
            <w:pPr>
              <w:jc w:val="center"/>
            </w:pPr>
            <w:r>
              <w:rPr>
                <w:rFonts w:ascii="宋体" w:hAnsi="宋体" w:eastAsia="宋体"/>
                <w:sz w:val="16"/>
              </w:rPr>
              <w:t>设置功能分区数量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6A50">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C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5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94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E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E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563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B5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C586">
            <w:pPr>
              <w:jc w:val="center"/>
            </w:pPr>
            <w:r>
              <w:rPr>
                <w:rFonts w:ascii="宋体" w:hAnsi="宋体" w:eastAsia="宋体"/>
                <w:sz w:val="16"/>
              </w:rPr>
              <w:t>设计方案未确定，项目未开展。改进措施：尽快确定设计方案，加快实施项目。</w:t>
            </w:r>
          </w:p>
        </w:tc>
      </w:tr>
      <w:tr w14:paraId="70120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87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C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C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043B">
            <w:pPr>
              <w:jc w:val="center"/>
            </w:pPr>
            <w:r>
              <w:rPr>
                <w:rFonts w:ascii="宋体" w:hAnsi="宋体" w:eastAsia="宋体"/>
                <w:sz w:val="16"/>
              </w:rPr>
              <w:t>购买办公转椅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C4DD">
            <w:pPr>
              <w:jc w:val="center"/>
            </w:pPr>
            <w:r>
              <w:rPr>
                <w:rFonts w:ascii="宋体" w:hAnsi="宋体" w:eastAsia="宋体"/>
                <w:sz w:val="16"/>
              </w:rPr>
              <w:t>&gt;=20把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F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BF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5E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A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2F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5069">
            <w:pPr>
              <w:jc w:val="center"/>
            </w:pPr>
            <w:r>
              <w:rPr>
                <w:rFonts w:ascii="宋体" w:hAnsi="宋体" w:eastAsia="宋体"/>
                <w:sz w:val="16"/>
              </w:rPr>
              <w:t>=0把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22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CEE1">
            <w:pPr>
              <w:jc w:val="center"/>
            </w:pPr>
            <w:r>
              <w:rPr>
                <w:rFonts w:ascii="宋体" w:hAnsi="宋体" w:eastAsia="宋体"/>
                <w:sz w:val="16"/>
              </w:rPr>
              <w:t>采购未开始。改进措施：加快采购进度，推进项目实施。</w:t>
            </w:r>
          </w:p>
        </w:tc>
      </w:tr>
      <w:tr w14:paraId="63338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87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20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43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A086">
            <w:pPr>
              <w:jc w:val="center"/>
            </w:pPr>
            <w:r>
              <w:rPr>
                <w:rFonts w:ascii="宋体" w:hAnsi="宋体" w:eastAsia="宋体"/>
                <w:sz w:val="16"/>
              </w:rPr>
              <w:t>购买办公桌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8EAF">
            <w:pPr>
              <w:jc w:val="center"/>
            </w:pPr>
            <w:r>
              <w:rPr>
                <w:rFonts w:ascii="宋体" w:hAnsi="宋体" w:eastAsia="宋体"/>
                <w:sz w:val="16"/>
              </w:rPr>
              <w:t>&gt;=20张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3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C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73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5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21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3531">
            <w:pPr>
              <w:jc w:val="center"/>
            </w:pPr>
            <w:r>
              <w:rPr>
                <w:rFonts w:ascii="宋体" w:hAnsi="宋体" w:eastAsia="宋体"/>
                <w:sz w:val="16"/>
              </w:rPr>
              <w:t>=0张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79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3489">
            <w:pPr>
              <w:jc w:val="center"/>
            </w:pPr>
            <w:r>
              <w:rPr>
                <w:rFonts w:ascii="宋体" w:hAnsi="宋体" w:eastAsia="宋体"/>
                <w:sz w:val="16"/>
              </w:rPr>
              <w:t>采购工作未及时开展。改进措施：加快采购进度，推进项目实施。</w:t>
            </w:r>
          </w:p>
        </w:tc>
      </w:tr>
      <w:tr w14:paraId="5E0B4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57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A4A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CBC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A427">
            <w:pPr>
              <w:jc w:val="center"/>
            </w:pPr>
            <w:r>
              <w:rPr>
                <w:rFonts w:ascii="宋体" w:hAnsi="宋体" w:eastAsia="宋体"/>
                <w:sz w:val="16"/>
              </w:rPr>
              <w:t>改造升级验收合格率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1C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6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6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07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61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9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1C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E1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EF020">
            <w:pPr>
              <w:jc w:val="center"/>
            </w:pPr>
            <w:r>
              <w:rPr>
                <w:rFonts w:ascii="宋体" w:hAnsi="宋体" w:eastAsia="宋体"/>
                <w:sz w:val="16"/>
              </w:rPr>
              <w:t>项目未如期完工。改进措施：加快完成项目实施，及时验收。</w:t>
            </w:r>
          </w:p>
        </w:tc>
      </w:tr>
      <w:tr w14:paraId="4E9FF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3D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0C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0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0D8C">
            <w:pPr>
              <w:jc w:val="center"/>
            </w:pPr>
            <w:r>
              <w:rPr>
                <w:rFonts w:ascii="宋体" w:hAnsi="宋体" w:eastAsia="宋体"/>
                <w:sz w:val="16"/>
              </w:rPr>
              <w:t>配套设施采购验收合格率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4F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3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A5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7D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B7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6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84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40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CB464">
            <w:pPr>
              <w:jc w:val="center"/>
            </w:pPr>
            <w:r>
              <w:rPr>
                <w:rFonts w:ascii="宋体" w:hAnsi="宋体" w:eastAsia="宋体"/>
                <w:sz w:val="16"/>
              </w:rPr>
              <w:t>项目未如期实施完成。改进措施：加快推进项目实施，及时做好项目验收工作</w:t>
            </w:r>
            <w:r>
              <w:rPr>
                <w:rFonts w:hint="eastAsia" w:ascii="宋体" w:hAnsi="宋体"/>
                <w:sz w:val="16"/>
                <w:lang w:eastAsia="zh-CN"/>
              </w:rPr>
              <w:t>。</w:t>
            </w:r>
          </w:p>
        </w:tc>
      </w:tr>
      <w:tr w14:paraId="7B6C2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E3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E1E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996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CBCB">
            <w:pPr>
              <w:jc w:val="center"/>
            </w:pPr>
            <w:r>
              <w:rPr>
                <w:rFonts w:ascii="宋体" w:hAnsi="宋体" w:eastAsia="宋体"/>
                <w:sz w:val="16"/>
              </w:rPr>
              <w:t>项目实施开始时间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911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D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27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78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04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F3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B7F0">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77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86806">
            <w:pPr>
              <w:jc w:val="center"/>
            </w:pPr>
            <w:r>
              <w:rPr>
                <w:rFonts w:ascii="宋体" w:hAnsi="宋体" w:eastAsia="宋体"/>
                <w:sz w:val="16"/>
              </w:rPr>
              <w:t>设计方案尚未确定，项目开展慢。改进措施：尽快确定设计方案，加快推进项目实施。</w:t>
            </w:r>
          </w:p>
        </w:tc>
      </w:tr>
      <w:tr w14:paraId="6E62F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6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BE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CB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8C44">
            <w:pPr>
              <w:jc w:val="center"/>
            </w:pPr>
            <w:r>
              <w:rPr>
                <w:rFonts w:ascii="宋体" w:hAnsi="宋体" w:eastAsia="宋体"/>
                <w:sz w:val="16"/>
              </w:rPr>
              <w:t>改造升级完成时间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79F4">
            <w:pPr>
              <w:jc w:val="center"/>
            </w:pPr>
            <w:r>
              <w:rPr>
                <w:rFonts w:ascii="宋体" w:hAnsi="宋体" w:eastAsia="宋体"/>
                <w:sz w:val="16"/>
              </w:rPr>
              <w:t>=2025年5月前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7D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B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8E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1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EB0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45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E7E6">
            <w:pPr>
              <w:jc w:val="center"/>
            </w:pPr>
            <w:r>
              <w:rPr>
                <w:rFonts w:ascii="宋体" w:hAnsi="宋体" w:eastAsia="宋体"/>
                <w:sz w:val="16"/>
              </w:rPr>
              <w:t>改造升级未及时开展。改进措施：加快推进完成项目。</w:t>
            </w:r>
          </w:p>
        </w:tc>
      </w:tr>
      <w:tr w14:paraId="340C6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24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25E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6CB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FF2E">
            <w:pPr>
              <w:jc w:val="center"/>
            </w:pPr>
            <w:r>
              <w:rPr>
                <w:rFonts w:ascii="宋体" w:hAnsi="宋体" w:eastAsia="宋体"/>
                <w:sz w:val="16"/>
              </w:rPr>
              <w:t>配套设施采购成本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AA1F">
            <w:pPr>
              <w:jc w:val="center"/>
            </w:pPr>
            <w:r>
              <w:rPr>
                <w:rFonts w:ascii="宋体" w:hAnsi="宋体" w:eastAsia="宋体"/>
                <w:sz w:val="16"/>
              </w:rPr>
              <w:t>&lt;=44040元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9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29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2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D1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A1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16EF">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B5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722D">
            <w:pPr>
              <w:jc w:val="center"/>
            </w:pPr>
            <w:r>
              <w:rPr>
                <w:rFonts w:ascii="宋体" w:hAnsi="宋体" w:eastAsia="宋体"/>
                <w:sz w:val="16"/>
              </w:rPr>
              <w:t>项目未开展，经费未拨付。改进措施：加快完成项目，严格控制成本。</w:t>
            </w:r>
          </w:p>
        </w:tc>
      </w:tr>
      <w:tr w14:paraId="3B0E3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A3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97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25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ED6B">
            <w:pPr>
              <w:jc w:val="center"/>
            </w:pPr>
            <w:r>
              <w:rPr>
                <w:rFonts w:ascii="宋体" w:hAnsi="宋体" w:eastAsia="宋体"/>
                <w:sz w:val="16"/>
              </w:rPr>
              <w:t>设施升级改造成本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8D5E">
            <w:pPr>
              <w:jc w:val="center"/>
            </w:pPr>
            <w:r>
              <w:rPr>
                <w:rFonts w:ascii="宋体" w:hAnsi="宋体" w:eastAsia="宋体"/>
                <w:sz w:val="16"/>
              </w:rPr>
              <w:t>&lt;=50793.06元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8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6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5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7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34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2B5E">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C1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3674">
            <w:pPr>
              <w:jc w:val="center"/>
            </w:pPr>
            <w:r>
              <w:rPr>
                <w:rFonts w:ascii="宋体" w:hAnsi="宋体" w:eastAsia="宋体"/>
                <w:sz w:val="16"/>
              </w:rPr>
              <w:t>经费未拨付。改进措施：加快推进项目实施，严格控制项目成本。</w:t>
            </w:r>
          </w:p>
        </w:tc>
      </w:tr>
      <w:tr w14:paraId="61DC6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F2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38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FB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4851">
            <w:pPr>
              <w:jc w:val="center"/>
            </w:pPr>
            <w:r>
              <w:rPr>
                <w:rFonts w:ascii="宋体" w:hAnsi="宋体" w:eastAsia="宋体"/>
                <w:sz w:val="16"/>
              </w:rPr>
              <w:t>优化中心党员加强学习交流的平台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8E93">
            <w:pPr>
              <w:jc w:val="center"/>
            </w:pPr>
            <w:r>
              <w:rPr>
                <w:rFonts w:ascii="宋体" w:hAnsi="宋体" w:eastAsia="宋体"/>
                <w:sz w:val="16"/>
              </w:rPr>
              <w:t>不断优化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8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EF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FD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73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F6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EDFC">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0B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A27C">
            <w:pPr>
              <w:jc w:val="center"/>
            </w:pPr>
            <w:r>
              <w:rPr>
                <w:rFonts w:ascii="宋体" w:hAnsi="宋体" w:eastAsia="宋体"/>
                <w:sz w:val="16"/>
              </w:rPr>
              <w:t>未及时实施项目。改进措施：加快推进项目实施，充分发挥项目作用。</w:t>
            </w:r>
          </w:p>
        </w:tc>
      </w:tr>
      <w:tr w14:paraId="76FCB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F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6A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2C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1E29">
            <w:pPr>
              <w:jc w:val="center"/>
            </w:pPr>
            <w:r>
              <w:rPr>
                <w:rFonts w:ascii="宋体" w:hAnsi="宋体" w:eastAsia="宋体"/>
                <w:sz w:val="16"/>
              </w:rPr>
              <w:t>干部对设施升级改造情况的满意度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D3E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AF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2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4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A1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7D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1E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D0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115C">
            <w:pPr>
              <w:jc w:val="center"/>
            </w:pPr>
            <w:r>
              <w:rPr>
                <w:rFonts w:ascii="宋体" w:hAnsi="宋体" w:eastAsia="宋体"/>
                <w:sz w:val="16"/>
              </w:rPr>
              <w:t>项目未完成，满意度无法统计。改进措施：加快完成项目实施，不断提高干部满意度。</w:t>
            </w:r>
          </w:p>
        </w:tc>
      </w:tr>
      <w:tr w14:paraId="7C2672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FD3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DA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C7E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7A4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3370D"/>
        </w:tc>
      </w:tr>
    </w:tbl>
    <w:p w14:paraId="29E9FE77">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22"/>
        <w:gridCol w:w="622"/>
        <w:gridCol w:w="617"/>
        <w:gridCol w:w="617"/>
        <w:gridCol w:w="776"/>
        <w:gridCol w:w="631"/>
        <w:gridCol w:w="596"/>
        <w:gridCol w:w="628"/>
      </w:tblGrid>
      <w:tr w14:paraId="7D072DD8">
        <w:tblPrEx>
          <w:tblCellMar>
            <w:top w:w="0" w:type="dxa"/>
            <w:left w:w="108" w:type="dxa"/>
            <w:bottom w:w="0" w:type="dxa"/>
            <w:right w:w="108" w:type="dxa"/>
          </w:tblCellMar>
        </w:tblPrEx>
        <w:tc>
          <w:tcPr>
            <w:tcW w:w="8848" w:type="dxa"/>
            <w:gridSpan w:val="14"/>
            <w:vAlign w:val="center"/>
          </w:tcPr>
          <w:p w14:paraId="34996561">
            <w:pPr>
              <w:jc w:val="center"/>
            </w:pPr>
            <w:r>
              <w:rPr>
                <w:rFonts w:ascii="宋体" w:hAnsi="宋体" w:eastAsia="宋体"/>
                <w:sz w:val="24"/>
              </w:rPr>
              <w:t>项目支出绩效自评表</w:t>
            </w:r>
          </w:p>
        </w:tc>
      </w:tr>
      <w:tr w14:paraId="5D9D5B8D">
        <w:tblPrEx>
          <w:tblCellMar>
            <w:top w:w="0" w:type="dxa"/>
            <w:left w:w="108" w:type="dxa"/>
            <w:bottom w:w="0" w:type="dxa"/>
            <w:right w:w="108" w:type="dxa"/>
          </w:tblCellMar>
        </w:tblPrEx>
        <w:tc>
          <w:tcPr>
            <w:tcW w:w="8848" w:type="dxa"/>
            <w:gridSpan w:val="14"/>
            <w:vAlign w:val="center"/>
          </w:tcPr>
          <w:p w14:paraId="3D03A333">
            <w:pPr>
              <w:jc w:val="center"/>
            </w:pPr>
            <w:r>
              <w:rPr>
                <w:rFonts w:ascii="宋体" w:hAnsi="宋体" w:eastAsia="宋体"/>
                <w:sz w:val="24"/>
              </w:rPr>
              <w:t>(2024年度)</w:t>
            </w:r>
          </w:p>
        </w:tc>
      </w:tr>
      <w:tr w14:paraId="2BBAFA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2B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B3F3E2">
            <w:pPr>
              <w:jc w:val="center"/>
            </w:pPr>
            <w:r>
              <w:rPr>
                <w:rFonts w:ascii="宋体" w:hAnsi="宋体" w:eastAsia="宋体"/>
                <w:sz w:val="16"/>
              </w:rPr>
              <w:t>援疆干部学习、培训、交流、活动、慰问经费项目</w:t>
            </w:r>
          </w:p>
        </w:tc>
      </w:tr>
      <w:tr w14:paraId="7BC95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87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AF46B">
            <w:pPr>
              <w:jc w:val="center"/>
            </w:pPr>
            <w:r>
              <w:rPr>
                <w:rFonts w:ascii="宋体" w:hAnsi="宋体" w:eastAsia="宋体"/>
                <w:sz w:val="16"/>
              </w:rPr>
              <w:t>新疆维吾尔自治区喀什地区干部培训中心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CA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81435B">
            <w:pPr>
              <w:jc w:val="center"/>
            </w:pPr>
            <w:r>
              <w:rPr>
                <w:rFonts w:ascii="宋体" w:hAnsi="宋体" w:eastAsia="宋体"/>
                <w:sz w:val="16"/>
              </w:rPr>
              <w:t>新疆维吾尔自治区喀什地区干部培训中心</w:t>
            </w:r>
          </w:p>
        </w:tc>
      </w:tr>
      <w:tr w14:paraId="487C90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744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4F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B1E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95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8A7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3D1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D8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9EDF">
            <w:pPr>
              <w:jc w:val="center"/>
            </w:pPr>
            <w:r>
              <w:rPr>
                <w:rFonts w:ascii="宋体" w:hAnsi="宋体" w:eastAsia="宋体"/>
                <w:sz w:val="16"/>
              </w:rPr>
              <w:t>得分</w:t>
            </w:r>
          </w:p>
        </w:tc>
      </w:tr>
      <w:tr w14:paraId="72FEC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CA0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C7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05B49">
            <w:pPr>
              <w:jc w:val="center"/>
            </w:pPr>
            <w:r>
              <w:rPr>
                <w:rFonts w:ascii="宋体" w:hAnsi="宋体" w:eastAsia="宋体"/>
                <w:sz w:val="16"/>
              </w:rPr>
              <w:t>22.62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8FF9">
            <w:pPr>
              <w:jc w:val="center"/>
            </w:pPr>
            <w:r>
              <w:rPr>
                <w:rFonts w:ascii="宋体" w:hAnsi="宋体" w:eastAsia="宋体"/>
                <w:sz w:val="16"/>
              </w:rPr>
              <w:t>22.62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EF64">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9C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004AE">
            <w:pPr>
              <w:jc w:val="center"/>
            </w:pPr>
            <w:r>
              <w:rPr>
                <w:rFonts w:ascii="宋体" w:hAnsi="宋体" w:eastAsia="宋体"/>
                <w:sz w:val="16"/>
              </w:rPr>
              <w:t>45.8%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AF4F">
            <w:pPr>
              <w:jc w:val="center"/>
            </w:pPr>
            <w:r>
              <w:rPr>
                <w:rFonts w:ascii="宋体" w:hAnsi="宋体" w:eastAsia="宋体"/>
                <w:sz w:val="16"/>
              </w:rPr>
              <w:t>0.00分</w:t>
            </w:r>
          </w:p>
        </w:tc>
      </w:tr>
      <w:tr w14:paraId="0B51E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D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97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D2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7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AD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B73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46D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79F6">
            <w:pPr>
              <w:jc w:val="center"/>
            </w:pPr>
            <w:r>
              <w:rPr>
                <w:rFonts w:ascii="宋体" w:hAnsi="宋体" w:eastAsia="宋体"/>
                <w:sz w:val="16"/>
              </w:rPr>
              <w:t>—</w:t>
            </w:r>
          </w:p>
        </w:tc>
      </w:tr>
      <w:tr w14:paraId="6394C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A9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876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87B96">
            <w:pPr>
              <w:jc w:val="center"/>
            </w:pPr>
            <w:r>
              <w:rPr>
                <w:rFonts w:ascii="宋体" w:hAnsi="宋体" w:eastAsia="宋体"/>
                <w:sz w:val="16"/>
              </w:rPr>
              <w:t>22.62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17D93">
            <w:pPr>
              <w:jc w:val="center"/>
            </w:pPr>
            <w:r>
              <w:rPr>
                <w:rFonts w:ascii="宋体" w:hAnsi="宋体" w:eastAsia="宋体"/>
                <w:sz w:val="16"/>
              </w:rPr>
              <w:t>22.62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53713">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20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5B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34A4">
            <w:pPr>
              <w:jc w:val="center"/>
            </w:pPr>
            <w:r>
              <w:rPr>
                <w:rFonts w:ascii="宋体" w:hAnsi="宋体" w:eastAsia="宋体"/>
                <w:sz w:val="16"/>
              </w:rPr>
              <w:t>—</w:t>
            </w:r>
          </w:p>
        </w:tc>
      </w:tr>
      <w:tr w14:paraId="16E9E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54D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3E0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95B75">
            <w:pPr>
              <w:jc w:val="center"/>
            </w:pPr>
            <w:r>
              <w:rPr>
                <w:rFonts w:ascii="宋体" w:hAnsi="宋体" w:eastAsia="宋体"/>
                <w:sz w:val="16"/>
              </w:rPr>
              <w:t>实际完成情况</w:t>
            </w:r>
          </w:p>
        </w:tc>
      </w:tr>
      <w:tr w14:paraId="4F62B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ED9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0B81E">
            <w:pPr>
              <w:jc w:val="both"/>
            </w:pPr>
            <w:r>
              <w:rPr>
                <w:rFonts w:ascii="宋体" w:hAnsi="宋体" w:eastAsia="宋体"/>
                <w:sz w:val="16"/>
              </w:rPr>
              <w:t>落实喀什地委组织部面向援疆干部人才开展关心慰问、学习交流工作。完成2024年援疆干部人才学习交流、文体比赛、关心关爱活动22.62万元的发放，计划开展第三届红石榴</w:t>
            </w:r>
            <w:r>
              <w:rPr>
                <w:rFonts w:hint="eastAsia" w:ascii="宋体" w:hAnsi="宋体"/>
                <w:sz w:val="16"/>
                <w:lang w:eastAsia="zh-CN"/>
              </w:rPr>
              <w:t>文体</w:t>
            </w:r>
            <w:r>
              <w:rPr>
                <w:rFonts w:ascii="宋体" w:hAnsi="宋体" w:eastAsia="宋体"/>
                <w:sz w:val="16"/>
              </w:rPr>
              <w:t>比赛以及端午节、中秋节等节日慰问等活动，提升援疆干部人才工作能力，促进各项援疆工作有效开展。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682CD2">
            <w:pPr>
              <w:jc w:val="both"/>
            </w:pPr>
            <w:r>
              <w:rPr>
                <w:rFonts w:ascii="宋体" w:hAnsi="宋体" w:eastAsia="宋体"/>
                <w:sz w:val="16"/>
              </w:rPr>
              <w:t>2024年完成援疆干部人才学习交流、文体比赛、关心关爱活动经费10.35万元的发放，涉及援疆干部人才273人，推进喀什地区援疆干部综合素质完成率达100%，提升援疆干部人才工作能力完成率100%。</w:t>
            </w:r>
          </w:p>
        </w:tc>
      </w:tr>
      <w:tr w14:paraId="463F4E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6FB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66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0D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65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98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BC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D1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86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50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E4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F2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D6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083AE">
            <w:pPr>
              <w:jc w:val="center"/>
            </w:pPr>
            <w:r>
              <w:rPr>
                <w:rFonts w:ascii="宋体" w:hAnsi="宋体" w:eastAsia="宋体"/>
                <w:sz w:val="16"/>
              </w:rPr>
              <w:t>偏差原因分析及改进措施</w:t>
            </w:r>
          </w:p>
        </w:tc>
      </w:tr>
      <w:tr w14:paraId="7E328E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7DA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AC62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4E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EE6C">
            <w:pPr>
              <w:jc w:val="center"/>
            </w:pPr>
            <w:r>
              <w:rPr>
                <w:rFonts w:ascii="宋体" w:hAnsi="宋体" w:eastAsia="宋体"/>
                <w:sz w:val="16"/>
              </w:rPr>
              <w:t>援疆干部人才数量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556A">
            <w:pPr>
              <w:jc w:val="center"/>
            </w:pPr>
            <w:r>
              <w:rPr>
                <w:rFonts w:ascii="宋体" w:hAnsi="宋体" w:eastAsia="宋体"/>
                <w:sz w:val="16"/>
              </w:rPr>
              <w:t>&gt;=273人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D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3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4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9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8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26EC">
            <w:pPr>
              <w:jc w:val="center"/>
            </w:pPr>
            <w:r>
              <w:rPr>
                <w:rFonts w:ascii="宋体" w:hAnsi="宋体" w:eastAsia="宋体"/>
                <w:sz w:val="16"/>
              </w:rPr>
              <w:t>=273人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4E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71AD">
            <w:pPr>
              <w:jc w:val="center"/>
            </w:pPr>
          </w:p>
        </w:tc>
      </w:tr>
      <w:tr w14:paraId="36B2B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5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24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6A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22AC">
            <w:pPr>
              <w:jc w:val="center"/>
            </w:pPr>
            <w:r>
              <w:rPr>
                <w:rFonts w:ascii="宋体" w:hAnsi="宋体" w:eastAsia="宋体"/>
                <w:sz w:val="16"/>
              </w:rPr>
              <w:t>项目经费保障各项工作覆盖率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C02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83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C2FC">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F7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9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53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D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8171">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14BD6">
            <w:pPr>
              <w:jc w:val="center"/>
            </w:pPr>
            <w:r>
              <w:rPr>
                <w:rFonts w:ascii="宋体" w:hAnsi="宋体" w:eastAsia="宋体"/>
                <w:sz w:val="16"/>
              </w:rPr>
              <w:t>项目预期值设计较低。改进措施：合理设置项目经费保障各项工作覆盖率预期值。</w:t>
            </w:r>
          </w:p>
        </w:tc>
      </w:tr>
      <w:tr w14:paraId="6168E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2C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BD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94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CA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DF42">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A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64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7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6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4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DEB6">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85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9128A">
            <w:pPr>
              <w:jc w:val="center"/>
            </w:pPr>
          </w:p>
        </w:tc>
      </w:tr>
      <w:tr w14:paraId="19535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6C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26D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6B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EA2C">
            <w:pPr>
              <w:jc w:val="center"/>
            </w:pPr>
            <w:r>
              <w:rPr>
                <w:rFonts w:ascii="宋体" w:hAnsi="宋体" w:eastAsia="宋体"/>
                <w:sz w:val="16"/>
              </w:rPr>
              <w:t>援疆干部学习培训交流等平均成本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6697">
            <w:pPr>
              <w:jc w:val="center"/>
            </w:pPr>
            <w:r>
              <w:rPr>
                <w:rFonts w:ascii="宋体" w:hAnsi="宋体" w:eastAsia="宋体"/>
                <w:sz w:val="16"/>
              </w:rPr>
              <w:t>&lt;=825.68元/人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C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7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83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4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B5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9EC0">
            <w:pPr>
              <w:jc w:val="center"/>
            </w:pPr>
            <w:r>
              <w:rPr>
                <w:rFonts w:ascii="宋体" w:hAnsi="宋体" w:eastAsia="宋体"/>
                <w:sz w:val="16"/>
              </w:rPr>
              <w:t>=379.12元/人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22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1CFA">
            <w:pPr>
              <w:jc w:val="center"/>
            </w:pPr>
            <w:r>
              <w:rPr>
                <w:rFonts w:ascii="宋体" w:hAnsi="宋体" w:eastAsia="宋体"/>
                <w:sz w:val="16"/>
              </w:rPr>
              <w:t>项目经费预算偏高，开展活动内容少，项目经费执行率</w:t>
            </w:r>
            <w:r>
              <w:rPr>
                <w:rFonts w:hint="eastAsia" w:ascii="宋体" w:hAnsi="宋体"/>
                <w:sz w:val="16"/>
                <w:lang w:eastAsia="zh-CN"/>
              </w:rPr>
              <w:t>低</w:t>
            </w:r>
            <w:r>
              <w:rPr>
                <w:rFonts w:ascii="宋体" w:hAnsi="宋体" w:eastAsia="宋体"/>
                <w:sz w:val="16"/>
              </w:rPr>
              <w:t>。改进措施：加大活动宣传，认真梳理援疆干部生日信息，将更多援疆干部纳入活动范围。</w:t>
            </w:r>
          </w:p>
        </w:tc>
      </w:tr>
      <w:tr w14:paraId="3DF97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0D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A30A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06E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9C7B">
            <w:pPr>
              <w:jc w:val="center"/>
            </w:pPr>
            <w:r>
              <w:rPr>
                <w:rFonts w:ascii="宋体" w:hAnsi="宋体" w:eastAsia="宋体"/>
                <w:sz w:val="16"/>
              </w:rPr>
              <w:t>提升援疆干部人才工作能力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F2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99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537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52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02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06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9D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A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9C7B">
            <w:pPr>
              <w:jc w:val="center"/>
            </w:pPr>
          </w:p>
        </w:tc>
      </w:tr>
      <w:tr w14:paraId="1C555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8C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3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C2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4314">
            <w:pPr>
              <w:jc w:val="center"/>
            </w:pPr>
            <w:r>
              <w:rPr>
                <w:rFonts w:ascii="宋体" w:hAnsi="宋体" w:eastAsia="宋体"/>
                <w:sz w:val="16"/>
              </w:rPr>
              <w:t>推进喀什地区援疆干部综合素质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0E34">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BB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86D5">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32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40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A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4296">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2B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62E44">
            <w:pPr>
              <w:jc w:val="center"/>
            </w:pPr>
          </w:p>
        </w:tc>
      </w:tr>
      <w:tr w14:paraId="5BEC6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BC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95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0C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6460">
            <w:pPr>
              <w:jc w:val="center"/>
            </w:pPr>
            <w:r>
              <w:rPr>
                <w:rFonts w:ascii="宋体" w:hAnsi="宋体" w:eastAsia="宋体"/>
                <w:sz w:val="16"/>
              </w:rPr>
              <w:t>援疆干部人才满意度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909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9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AAD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E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06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99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E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68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DE45">
            <w:pPr>
              <w:jc w:val="center"/>
            </w:pPr>
            <w:r>
              <w:rPr>
                <w:rFonts w:ascii="宋体" w:hAnsi="宋体" w:eastAsia="宋体"/>
                <w:sz w:val="16"/>
              </w:rPr>
              <w:t>项目预期值编制较低。改进措施：更加合理设置满意度预期值。</w:t>
            </w:r>
          </w:p>
        </w:tc>
      </w:tr>
      <w:tr w14:paraId="731F1D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2F83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04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E77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5B1D">
            <w:pPr>
              <w:jc w:val="center"/>
            </w:pPr>
            <w:r>
              <w:rPr>
                <w:rFonts w:ascii="宋体" w:hAnsi="宋体" w:eastAsia="宋体"/>
                <w:sz w:val="16"/>
              </w:rPr>
              <w:t>69.17分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DE9B93"/>
        </w:tc>
      </w:tr>
    </w:tbl>
    <w:p w14:paraId="51803D9B">
      <w:r>
        <w:br w:type="page"/>
      </w:r>
    </w:p>
    <w:p w14:paraId="17F20939">
      <w:pPr>
        <w:spacing w:line="640" w:lineRule="exact"/>
        <w:ind w:firstLine="640"/>
        <w:jc w:val="both"/>
        <w:outlineLvl w:val="2"/>
      </w:pPr>
      <w:r>
        <w:rPr>
          <w:rFonts w:ascii="黑体" w:hAnsi="黑体" w:eastAsia="黑体"/>
          <w:sz w:val="32"/>
        </w:rPr>
        <w:t>十二、其他需说明的事项</w:t>
      </w:r>
    </w:p>
    <w:p w14:paraId="121D48C5">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w:t>
      </w:r>
      <w:bookmarkStart w:id="0" w:name="_GoBack"/>
      <w:bookmarkEnd w:id="0"/>
      <w:r>
        <w:rPr>
          <w:rFonts w:ascii="仿宋_GB2312" w:hAnsi="仿宋_GB2312" w:eastAsia="仿宋_GB2312"/>
          <w:b w:val="0"/>
          <w:sz w:val="32"/>
        </w:rPr>
        <w:t>预算数为67.83万元，全年执行数为0万元。</w:t>
      </w:r>
    </w:p>
    <w:p w14:paraId="14893F31">
      <w:r>
        <w:br w:type="page"/>
      </w:r>
    </w:p>
    <w:p w14:paraId="40950CE8">
      <w:pPr>
        <w:spacing w:line="240" w:lineRule="auto"/>
        <w:jc w:val="center"/>
        <w:outlineLvl w:val="1"/>
      </w:pPr>
      <w:r>
        <w:rPr>
          <w:rFonts w:ascii="黑体" w:hAnsi="黑体" w:eastAsia="黑体"/>
          <w:sz w:val="32"/>
        </w:rPr>
        <w:t>第三部分 专业名词解释</w:t>
      </w:r>
    </w:p>
    <w:p w14:paraId="2A2B5BA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81987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78E1B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DC25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A4B9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25DE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846D8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F270C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2E20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AF73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B992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A05F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A005E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C9C5F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D47C51">
      <w:r>
        <w:br w:type="page"/>
      </w:r>
    </w:p>
    <w:p w14:paraId="2F324CA7">
      <w:pPr>
        <w:spacing w:line="240" w:lineRule="auto"/>
        <w:jc w:val="center"/>
        <w:outlineLvl w:val="1"/>
      </w:pPr>
      <w:r>
        <w:rPr>
          <w:rFonts w:ascii="黑体" w:hAnsi="黑体" w:eastAsia="黑体"/>
          <w:sz w:val="32"/>
        </w:rPr>
        <w:t>第四部分 部门决算报表（见附表）</w:t>
      </w:r>
    </w:p>
    <w:p w14:paraId="0A8FAE6C">
      <w:pPr>
        <w:spacing w:line="240" w:lineRule="auto"/>
        <w:ind w:firstLine="640"/>
        <w:jc w:val="both"/>
      </w:pPr>
      <w:r>
        <w:rPr>
          <w:rFonts w:ascii="仿宋_GB2312" w:hAnsi="仿宋_GB2312" w:eastAsia="仿宋_GB2312"/>
          <w:b w:val="0"/>
          <w:sz w:val="32"/>
        </w:rPr>
        <w:t>一、《收入支出决算总表》</w:t>
      </w:r>
    </w:p>
    <w:p w14:paraId="6DD15FF7">
      <w:pPr>
        <w:spacing w:line="240" w:lineRule="auto"/>
        <w:ind w:firstLine="640"/>
        <w:jc w:val="both"/>
      </w:pPr>
      <w:r>
        <w:rPr>
          <w:rFonts w:ascii="仿宋_GB2312" w:hAnsi="仿宋_GB2312" w:eastAsia="仿宋_GB2312"/>
          <w:b w:val="0"/>
          <w:sz w:val="32"/>
        </w:rPr>
        <w:t>二、《收入决算表》</w:t>
      </w:r>
    </w:p>
    <w:p w14:paraId="1A71C0A6">
      <w:pPr>
        <w:spacing w:line="240" w:lineRule="auto"/>
        <w:ind w:firstLine="640"/>
        <w:jc w:val="both"/>
      </w:pPr>
      <w:r>
        <w:rPr>
          <w:rFonts w:ascii="仿宋_GB2312" w:hAnsi="仿宋_GB2312" w:eastAsia="仿宋_GB2312"/>
          <w:b w:val="0"/>
          <w:sz w:val="32"/>
        </w:rPr>
        <w:t>三、《支出决算表》</w:t>
      </w:r>
    </w:p>
    <w:p w14:paraId="39EB2EEB">
      <w:pPr>
        <w:spacing w:line="240" w:lineRule="auto"/>
        <w:ind w:firstLine="640"/>
        <w:jc w:val="both"/>
      </w:pPr>
      <w:r>
        <w:rPr>
          <w:rFonts w:ascii="仿宋_GB2312" w:hAnsi="仿宋_GB2312" w:eastAsia="仿宋_GB2312"/>
          <w:b w:val="0"/>
          <w:sz w:val="32"/>
        </w:rPr>
        <w:t>四、《财政拨款收入支出决算总表》</w:t>
      </w:r>
    </w:p>
    <w:p w14:paraId="376864A3">
      <w:pPr>
        <w:spacing w:line="240" w:lineRule="auto"/>
        <w:ind w:firstLine="640"/>
        <w:jc w:val="both"/>
      </w:pPr>
      <w:r>
        <w:rPr>
          <w:rFonts w:ascii="仿宋_GB2312" w:hAnsi="仿宋_GB2312" w:eastAsia="仿宋_GB2312"/>
          <w:b w:val="0"/>
          <w:sz w:val="32"/>
        </w:rPr>
        <w:t>五、《一般公共预算财政拨款支出决算表》</w:t>
      </w:r>
    </w:p>
    <w:p w14:paraId="18325E3A">
      <w:pPr>
        <w:spacing w:line="240" w:lineRule="auto"/>
        <w:ind w:firstLine="640"/>
        <w:jc w:val="both"/>
      </w:pPr>
      <w:r>
        <w:rPr>
          <w:rFonts w:ascii="仿宋_GB2312" w:hAnsi="仿宋_GB2312" w:eastAsia="仿宋_GB2312"/>
          <w:b w:val="0"/>
          <w:sz w:val="32"/>
        </w:rPr>
        <w:t>六、《一般公共预算财政拨款基本支出决算表》</w:t>
      </w:r>
    </w:p>
    <w:p w14:paraId="72ADFB9A">
      <w:pPr>
        <w:spacing w:line="240" w:lineRule="auto"/>
        <w:ind w:firstLine="640"/>
        <w:jc w:val="both"/>
      </w:pPr>
      <w:r>
        <w:rPr>
          <w:rFonts w:ascii="仿宋_GB2312" w:hAnsi="仿宋_GB2312" w:eastAsia="仿宋_GB2312"/>
          <w:b w:val="0"/>
          <w:sz w:val="32"/>
        </w:rPr>
        <w:t>七、《政府性基金预算财政拨款收入支出决算表》</w:t>
      </w:r>
    </w:p>
    <w:p w14:paraId="457150A4">
      <w:pPr>
        <w:spacing w:line="240" w:lineRule="auto"/>
        <w:ind w:firstLine="640"/>
        <w:jc w:val="both"/>
      </w:pPr>
      <w:r>
        <w:rPr>
          <w:rFonts w:ascii="仿宋_GB2312" w:hAnsi="仿宋_GB2312" w:eastAsia="仿宋_GB2312"/>
          <w:b w:val="0"/>
          <w:sz w:val="32"/>
        </w:rPr>
        <w:t>八、《国有资本经营预算财政拨款收入支出决算表》</w:t>
      </w:r>
    </w:p>
    <w:p w14:paraId="248473CD">
      <w:pPr>
        <w:spacing w:line="240" w:lineRule="auto"/>
        <w:ind w:firstLine="640"/>
        <w:jc w:val="both"/>
      </w:pPr>
      <w:r>
        <w:rPr>
          <w:rFonts w:ascii="仿宋_GB2312" w:hAnsi="仿宋_GB2312" w:eastAsia="仿宋_GB2312"/>
          <w:b w:val="0"/>
          <w:sz w:val="32"/>
        </w:rPr>
        <w:t>九、《财政拨款“三公”经费支出决算表》</w:t>
      </w:r>
    </w:p>
    <w:p w14:paraId="217F9798">
      <w:pPr>
        <w:spacing w:line="240" w:lineRule="auto"/>
        <w:ind w:firstLine="640"/>
        <w:jc w:val="both"/>
      </w:pPr>
    </w:p>
    <w:p w14:paraId="36E75C32">
      <w:pPr>
        <w:spacing w:line="240" w:lineRule="auto"/>
        <w:ind w:firstLine="640"/>
        <w:jc w:val="both"/>
      </w:pPr>
    </w:p>
    <w:p w14:paraId="2223B42A">
      <w:pPr>
        <w:spacing w:line="240" w:lineRule="auto"/>
        <w:ind w:firstLine="640"/>
        <w:jc w:val="both"/>
      </w:pPr>
    </w:p>
    <w:p w14:paraId="01071C10">
      <w:pPr>
        <w:spacing w:line="240" w:lineRule="auto"/>
        <w:ind w:firstLine="640"/>
        <w:jc w:val="both"/>
      </w:pPr>
    </w:p>
    <w:p w14:paraId="34CAFFC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CBED89-5657-4135-8487-D66A01C438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CBE5040-0696-4E74-AAD3-7D8CC364C1B4}"/>
  </w:font>
  <w:font w:name="方正小标宋_GBK">
    <w:panose1 w:val="02000000000000000000"/>
    <w:charset w:val="86"/>
    <w:family w:val="script"/>
    <w:pitch w:val="default"/>
    <w:sig w:usb0="A00002BF" w:usb1="38CF7CFA" w:usb2="00082016" w:usb3="00000000" w:csb0="00040001" w:csb1="00000000"/>
    <w:embedRegular r:id="rId3" w:fontKey="{5746F026-1923-4AB0-BE82-79A477C6CE52}"/>
  </w:font>
  <w:font w:name="楷体_GB2312">
    <w:panose1 w:val="02010609030101010101"/>
    <w:charset w:val="86"/>
    <w:family w:val="auto"/>
    <w:pitch w:val="default"/>
    <w:sig w:usb0="00000001" w:usb1="080E0000" w:usb2="00000000" w:usb3="00000000" w:csb0="00040000" w:csb1="00000000"/>
    <w:embedRegular r:id="rId4" w:fontKey="{C0F3B5DA-60C0-49B9-A4BC-768D7107B10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13053F"/>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EA08FE"/>
    <w:rsid w:val="4B4C0111"/>
    <w:rsid w:val="4B780451"/>
    <w:rsid w:val="4BB23021"/>
    <w:rsid w:val="4F3F074E"/>
    <w:rsid w:val="4F8937D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9E030F"/>
    <w:rsid w:val="73423603"/>
    <w:rsid w:val="737A5923"/>
    <w:rsid w:val="73DE4104"/>
    <w:rsid w:val="73FB6630"/>
    <w:rsid w:val="74CE04EC"/>
    <w:rsid w:val="74E76DCD"/>
    <w:rsid w:val="7584549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4575</Words>
  <Characters>5330</Characters>
  <Lines>0</Lines>
  <Paragraphs>0</Paragraphs>
  <TotalTime>3</TotalTime>
  <ScaleCrop>false</ScaleCrop>
  <LinksUpToDate>false</LinksUpToDate>
  <CharactersWithSpaces>5339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