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2259B0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新疆维吾尔自治区喀什地区康宁医院2024</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424722">
      <w:r>
        <w:br w:type="page"/>
      </w:r>
    </w:p>
    <w:p w14:paraId="08BEA20E">
      <w:pPr>
        <w:spacing w:line="640" w:lineRule="exact"/>
        <w:jc w:val="center"/>
        <w:outlineLvl w:val="1"/>
      </w:pPr>
      <w:r>
        <w:rPr>
          <w:rFonts w:ascii="黑体" w:hAnsi="黑体" w:eastAsia="黑体"/>
          <w:sz w:val="32"/>
        </w:rPr>
        <w:t>第一部分 部门概况</w:t>
      </w:r>
    </w:p>
    <w:p w14:paraId="2DC75B3D">
      <w:pPr>
        <w:spacing w:line="640" w:lineRule="exact"/>
        <w:ind w:firstLine="640"/>
        <w:jc w:val="both"/>
        <w:outlineLvl w:val="2"/>
      </w:pPr>
      <w:r>
        <w:rPr>
          <w:rFonts w:ascii="黑体" w:hAnsi="黑体" w:eastAsia="黑体"/>
          <w:sz w:val="32"/>
        </w:rPr>
        <w:t>一、主要职能</w:t>
      </w:r>
    </w:p>
    <w:p w14:paraId="0CC8A567">
      <w:pPr>
        <w:spacing w:line="580" w:lineRule="exact"/>
        <w:ind w:firstLine="640"/>
        <w:jc w:val="both"/>
      </w:pPr>
      <w:r>
        <w:rPr>
          <w:rFonts w:ascii="仿宋_GB2312" w:hAnsi="仿宋_GB2312" w:eastAsia="仿宋_GB2312"/>
          <w:sz w:val="32"/>
        </w:rPr>
        <w:t>承担着喀什地区精神障碍患者的</w:t>
      </w:r>
      <w:r>
        <w:rPr>
          <w:rFonts w:hint="eastAsia" w:ascii="仿宋_GB2312" w:hAnsi="仿宋_GB2312" w:eastAsia="仿宋_GB2312"/>
          <w:sz w:val="32"/>
          <w:lang w:eastAsia="zh-CN"/>
        </w:rPr>
        <w:t>收治</w:t>
      </w:r>
      <w:r>
        <w:rPr>
          <w:rFonts w:ascii="仿宋_GB2312" w:hAnsi="仿宋_GB2312" w:eastAsia="仿宋_GB2312"/>
          <w:sz w:val="32"/>
        </w:rPr>
        <w:t>和治疗任务</w:t>
      </w:r>
      <w:r>
        <w:rPr>
          <w:rFonts w:hint="eastAsia" w:ascii="仿宋_GB2312" w:hAnsi="仿宋_GB2312" w:eastAsia="仿宋_GB2312"/>
          <w:sz w:val="32"/>
          <w:lang w:eastAsia="zh-CN"/>
        </w:rPr>
        <w:t>。</w:t>
      </w:r>
      <w:r>
        <w:rPr>
          <w:rFonts w:ascii="仿宋_GB2312" w:hAnsi="仿宋_GB2312" w:eastAsia="仿宋_GB2312"/>
          <w:sz w:val="32"/>
        </w:rPr>
        <w:t>我院开展各类精神障碍患</w:t>
      </w:r>
      <w:r>
        <w:rPr>
          <w:rFonts w:hint="eastAsia" w:ascii="仿宋_GB2312" w:hAnsi="仿宋_GB2312" w:eastAsia="仿宋_GB2312"/>
          <w:sz w:val="32"/>
          <w:lang w:eastAsia="zh-CN"/>
        </w:rPr>
        <w:t>者的</w:t>
      </w:r>
      <w:r>
        <w:rPr>
          <w:rFonts w:ascii="仿宋_GB2312" w:hAnsi="仿宋_GB2312" w:eastAsia="仿宋_GB2312"/>
          <w:sz w:val="32"/>
        </w:rPr>
        <w:t>诊治、</w:t>
      </w:r>
      <w:r>
        <w:rPr>
          <w:rFonts w:hint="eastAsia" w:ascii="仿宋_GB2312" w:hAnsi="仿宋_GB2312" w:eastAsia="仿宋_GB2312"/>
          <w:sz w:val="32"/>
          <w:lang w:eastAsia="zh-CN"/>
        </w:rPr>
        <w:t>心理咨询</w:t>
      </w:r>
      <w:r>
        <w:rPr>
          <w:rFonts w:ascii="仿宋_GB2312" w:hAnsi="仿宋_GB2312" w:eastAsia="仿宋_GB2312"/>
          <w:sz w:val="32"/>
        </w:rPr>
        <w:t>、治疗；喀什地区康宁医院是面向全社会</w:t>
      </w:r>
      <w:r>
        <w:rPr>
          <w:rFonts w:hint="eastAsia" w:ascii="仿宋_GB2312" w:hAnsi="仿宋_GB2312" w:eastAsia="仿宋_GB2312"/>
          <w:sz w:val="32"/>
          <w:lang w:eastAsia="zh-CN"/>
        </w:rPr>
        <w:t>收治</w:t>
      </w:r>
      <w:r>
        <w:rPr>
          <w:rFonts w:ascii="仿宋_GB2312" w:hAnsi="仿宋_GB2312" w:eastAsia="仿宋_GB2312"/>
          <w:sz w:val="32"/>
        </w:rPr>
        <w:t>和治疗弱势群体精神障碍患者，救死扶伤，实行社会主义人道主义，直接为精神病人服务的医疗机构。</w:t>
      </w:r>
    </w:p>
    <w:p w14:paraId="2DC3EE73">
      <w:pPr>
        <w:spacing w:line="640" w:lineRule="exact"/>
        <w:ind w:firstLine="640"/>
        <w:jc w:val="both"/>
        <w:outlineLvl w:val="2"/>
      </w:pPr>
      <w:r>
        <w:rPr>
          <w:rFonts w:ascii="黑体" w:hAnsi="黑体" w:eastAsia="黑体"/>
          <w:sz w:val="32"/>
        </w:rPr>
        <w:t>二、机构设置及人员情况</w:t>
      </w:r>
    </w:p>
    <w:p w14:paraId="55ED6C48">
      <w:pPr>
        <w:spacing w:line="580" w:lineRule="exact"/>
        <w:ind w:firstLine="640"/>
        <w:jc w:val="both"/>
      </w:pPr>
      <w:r>
        <w:rPr>
          <w:rFonts w:ascii="仿宋_GB2312" w:hAnsi="仿宋_GB2312" w:eastAsia="仿宋_GB2312"/>
          <w:sz w:val="32"/>
        </w:rPr>
        <w:t>新疆维吾尔自治区喀什地区康宁医院2024年度，实有人数131人，其中：在职人员88人，增加1人；离休人员0人，增加0人；退休人员43人,增加0人。</w:t>
      </w:r>
    </w:p>
    <w:p w14:paraId="3324424D">
      <w:pPr>
        <w:spacing w:line="580" w:lineRule="exact"/>
        <w:ind w:firstLine="640"/>
        <w:jc w:val="both"/>
      </w:pPr>
      <w:r>
        <w:rPr>
          <w:rFonts w:ascii="仿宋_GB2312" w:hAnsi="仿宋_GB2312" w:eastAsia="仿宋_GB2312"/>
          <w:sz w:val="32"/>
        </w:rPr>
        <w:t>新疆维吾尔自治区喀什地区康宁医院无下属预算单位，下设6个科室，分别是：行政办、财务科、总务科、医务科、护理部、心理咨询科。</w:t>
      </w:r>
    </w:p>
    <w:p w14:paraId="1BA9209E">
      <w:r>
        <w:br w:type="page"/>
      </w:r>
    </w:p>
    <w:p w14:paraId="13ECFC77">
      <w:pPr>
        <w:spacing w:line="240" w:lineRule="auto"/>
        <w:jc w:val="center"/>
        <w:outlineLvl w:val="1"/>
      </w:pPr>
      <w:r>
        <w:rPr>
          <w:rFonts w:ascii="黑体" w:hAnsi="黑体" w:eastAsia="黑体"/>
          <w:sz w:val="32"/>
        </w:rPr>
        <w:t>第二部分 部门决算情况说明</w:t>
      </w:r>
    </w:p>
    <w:p w14:paraId="1AE594E7">
      <w:pPr>
        <w:spacing w:line="640" w:lineRule="exact"/>
        <w:ind w:firstLine="640"/>
        <w:jc w:val="both"/>
        <w:outlineLvl w:val="2"/>
      </w:pPr>
      <w:r>
        <w:rPr>
          <w:rFonts w:ascii="黑体" w:hAnsi="黑体" w:eastAsia="黑体"/>
          <w:sz w:val="32"/>
        </w:rPr>
        <w:t>一、收入支出决算总体情况说明</w:t>
      </w:r>
    </w:p>
    <w:p w14:paraId="2388E14C">
      <w:pPr>
        <w:spacing w:line="580" w:lineRule="exact"/>
        <w:ind w:firstLine="640"/>
        <w:jc w:val="both"/>
      </w:pPr>
      <w:r>
        <w:rPr>
          <w:rFonts w:ascii="仿宋_GB2312" w:hAnsi="仿宋_GB2312" w:eastAsia="仿宋_GB2312"/>
          <w:b/>
          <w:sz w:val="32"/>
        </w:rPr>
        <w:t>2024年度收入总计4,487.17万元，</w:t>
      </w:r>
      <w:r>
        <w:rPr>
          <w:rFonts w:ascii="仿宋_GB2312" w:hAnsi="仿宋_GB2312" w:eastAsia="仿宋_GB2312"/>
          <w:b w:val="0"/>
          <w:sz w:val="32"/>
        </w:rPr>
        <w:t>其中：本年收入合计4,487.17万元，使用非财政拨款结余（含专用结余）0.00万元，年初结转和结余0.00万元。</w:t>
      </w:r>
    </w:p>
    <w:p w14:paraId="553576F8">
      <w:pPr>
        <w:spacing w:line="580" w:lineRule="exact"/>
        <w:ind w:firstLine="640"/>
        <w:jc w:val="both"/>
      </w:pPr>
      <w:r>
        <w:rPr>
          <w:rFonts w:ascii="仿宋_GB2312" w:hAnsi="仿宋_GB2312" w:eastAsia="仿宋_GB2312"/>
          <w:b/>
          <w:sz w:val="32"/>
        </w:rPr>
        <w:t>2024年度支出总计4,487.17万元，</w:t>
      </w:r>
      <w:r>
        <w:rPr>
          <w:rFonts w:ascii="仿宋_GB2312" w:hAnsi="仿宋_GB2312" w:eastAsia="仿宋_GB2312"/>
          <w:b w:val="0"/>
          <w:sz w:val="32"/>
        </w:rPr>
        <w:t>其中：本年支出合计4,487.17万元，结余分配0.00万元，年末结转和结余0.00万元。</w:t>
      </w:r>
    </w:p>
    <w:p w14:paraId="0E0C252D">
      <w:pPr>
        <w:spacing w:line="580" w:lineRule="exact"/>
        <w:ind w:firstLine="640"/>
        <w:jc w:val="both"/>
      </w:pPr>
      <w:r>
        <w:rPr>
          <w:rFonts w:ascii="仿宋_GB2312" w:hAnsi="仿宋_GB2312" w:eastAsia="仿宋_GB2312"/>
          <w:b w:val="0"/>
          <w:sz w:val="32"/>
        </w:rPr>
        <w:t>收入支出总体与上年相比，减少975.19万元，下降17.85%，主要原因是：本年减少新建住院康复楼（三期工程）尾款项目、喀什地区康宁医院附属设施建设项目、2023年自治区彩票公益金支持社会福利事业项目等。</w:t>
      </w:r>
    </w:p>
    <w:p w14:paraId="5407686A">
      <w:pPr>
        <w:spacing w:line="640" w:lineRule="exact"/>
        <w:ind w:firstLine="640"/>
        <w:jc w:val="both"/>
        <w:outlineLvl w:val="2"/>
      </w:pPr>
      <w:r>
        <w:rPr>
          <w:rFonts w:ascii="黑体" w:hAnsi="黑体" w:eastAsia="黑体"/>
          <w:sz w:val="32"/>
        </w:rPr>
        <w:t>二、收入决算情况说明</w:t>
      </w:r>
    </w:p>
    <w:p w14:paraId="23A60D43">
      <w:pPr>
        <w:spacing w:line="580" w:lineRule="exact"/>
        <w:ind w:firstLine="640"/>
        <w:jc w:val="both"/>
      </w:pPr>
      <w:r>
        <w:rPr>
          <w:rFonts w:ascii="仿宋_GB2312" w:hAnsi="仿宋_GB2312" w:eastAsia="仿宋_GB2312"/>
          <w:b/>
          <w:sz w:val="32"/>
        </w:rPr>
        <w:t>本年收入4,487.17万元，</w:t>
      </w:r>
      <w:r>
        <w:rPr>
          <w:rFonts w:ascii="仿宋_GB2312" w:hAnsi="仿宋_GB2312" w:eastAsia="仿宋_GB2312"/>
          <w:b w:val="0"/>
          <w:sz w:val="32"/>
        </w:rPr>
        <w:t>其中：财政拨款收入1,582.88万元，占35.28%；上级补助收入0.00万元，占0.00%；事业收入2,904.29万元，占64.72%；经营收入0.00万元，占0.00%；附属单位上缴收入0.00万元，占0.00%；其他收入0.00万元，占0.00%。</w:t>
      </w:r>
    </w:p>
    <w:p w14:paraId="5C9C013B">
      <w:pPr>
        <w:spacing w:line="640" w:lineRule="exact"/>
        <w:ind w:firstLine="640"/>
        <w:jc w:val="both"/>
        <w:outlineLvl w:val="2"/>
      </w:pPr>
      <w:r>
        <w:rPr>
          <w:rFonts w:ascii="黑体" w:hAnsi="黑体" w:eastAsia="黑体"/>
          <w:sz w:val="32"/>
        </w:rPr>
        <w:t>三、支出决算情况说明</w:t>
      </w:r>
    </w:p>
    <w:p w14:paraId="62A0A786">
      <w:pPr>
        <w:spacing w:line="580" w:lineRule="exact"/>
        <w:ind w:firstLine="640"/>
        <w:jc w:val="both"/>
      </w:pPr>
      <w:r>
        <w:rPr>
          <w:rFonts w:ascii="仿宋_GB2312" w:hAnsi="仿宋_GB2312" w:eastAsia="仿宋_GB2312"/>
          <w:b/>
          <w:sz w:val="32"/>
        </w:rPr>
        <w:t>本年支出4,487.17万元，</w:t>
      </w:r>
      <w:r>
        <w:rPr>
          <w:rFonts w:ascii="仿宋_GB2312" w:hAnsi="仿宋_GB2312" w:eastAsia="仿宋_GB2312"/>
          <w:b w:val="0"/>
          <w:sz w:val="32"/>
        </w:rPr>
        <w:t>其中：基本支出4,114.80万元，占91.70%；项目支出372.37万元，占8.30%；上缴上级支出0.00万元，占0.00%；经营支出0.00万元，占0.00%；对附属单位补助支出0.00万元，占0.00%。</w:t>
      </w:r>
    </w:p>
    <w:p w14:paraId="2A519298">
      <w:pPr>
        <w:spacing w:line="640" w:lineRule="exact"/>
        <w:ind w:firstLine="640"/>
        <w:jc w:val="both"/>
        <w:outlineLvl w:val="2"/>
      </w:pPr>
      <w:r>
        <w:rPr>
          <w:rFonts w:ascii="黑体" w:hAnsi="黑体" w:eastAsia="黑体"/>
          <w:sz w:val="32"/>
        </w:rPr>
        <w:t>四、财政拨款收入支出决算总体情况说明</w:t>
      </w:r>
    </w:p>
    <w:p w14:paraId="6092E63B">
      <w:pPr>
        <w:spacing w:line="580" w:lineRule="exact"/>
        <w:ind w:firstLine="640"/>
        <w:jc w:val="both"/>
      </w:pPr>
      <w:r>
        <w:rPr>
          <w:rFonts w:ascii="仿宋_GB2312" w:hAnsi="仿宋_GB2312" w:eastAsia="仿宋_GB2312"/>
          <w:b/>
          <w:sz w:val="32"/>
        </w:rPr>
        <w:t>2024年度财政拨款收入总计1,582.88万元，</w:t>
      </w:r>
      <w:r>
        <w:rPr>
          <w:rFonts w:ascii="仿宋_GB2312" w:hAnsi="仿宋_GB2312" w:eastAsia="仿宋_GB2312"/>
          <w:b w:val="0"/>
          <w:sz w:val="32"/>
        </w:rPr>
        <w:t>其中：年初财政拨款结转和结余0.00万元，本年财政拨款收入1,582.88万元。</w:t>
      </w:r>
      <w:r>
        <w:rPr>
          <w:rFonts w:ascii="仿宋_GB2312" w:hAnsi="仿宋_GB2312" w:eastAsia="仿宋_GB2312"/>
          <w:b/>
          <w:sz w:val="32"/>
        </w:rPr>
        <w:t>财政拨款支出总计1,582.88万元，</w:t>
      </w:r>
      <w:r>
        <w:rPr>
          <w:rFonts w:ascii="仿宋_GB2312" w:hAnsi="仿宋_GB2312" w:eastAsia="仿宋_GB2312"/>
          <w:b w:val="0"/>
          <w:sz w:val="32"/>
        </w:rPr>
        <w:t>其中：年末财政拨款结转和结余0.00万元，本年财政拨款支出1,582.88万元。</w:t>
      </w:r>
    </w:p>
    <w:p w14:paraId="4CFE245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减少1,108.95万元，下降41.20%，主要原因是：本年减少新建住院康复楼（三期工程）尾款项目、喀什地区康宁医院附属设施建设项目、2023年自治区彩票公益金支持社会福利事业项目等。</w:t>
      </w:r>
      <w:r>
        <w:rPr>
          <w:rFonts w:ascii="仿宋_GB2312" w:hAnsi="仿宋_GB2312" w:eastAsia="仿宋_GB2312"/>
          <w:b/>
          <w:sz w:val="32"/>
        </w:rPr>
        <w:t>与年初预算相比，</w:t>
      </w:r>
      <w:r>
        <w:rPr>
          <w:rFonts w:ascii="仿宋_GB2312" w:hAnsi="仿宋_GB2312" w:eastAsia="仿宋_GB2312"/>
          <w:b w:val="0"/>
          <w:sz w:val="32"/>
        </w:rPr>
        <w:t>年初预算数1,622.67万元，决算数1,582.88万元，预决算差异率-2.45%，主要原因是：</w:t>
      </w:r>
      <w:bookmarkStart w:id="0" w:name="_GoBack"/>
      <w:r>
        <w:rPr>
          <w:rFonts w:ascii="仿宋_GB2312" w:hAnsi="仿宋_GB2312" w:eastAsia="仿宋_GB2312"/>
          <w:b w:val="0"/>
          <w:sz w:val="32"/>
        </w:rPr>
        <w:t>中央</w:t>
      </w:r>
      <w:bookmarkEnd w:id="0"/>
      <w:r>
        <w:rPr>
          <w:rFonts w:ascii="仿宋_GB2312" w:hAnsi="仿宋_GB2312" w:eastAsia="仿宋_GB2312"/>
          <w:b w:val="0"/>
          <w:sz w:val="32"/>
        </w:rPr>
        <w:t>重大传染病防控经费未执行完，年中调减经费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0C55599">
      <w:pPr>
        <w:spacing w:line="640" w:lineRule="exact"/>
        <w:ind w:firstLine="640"/>
        <w:jc w:val="both"/>
        <w:outlineLvl w:val="2"/>
      </w:pPr>
      <w:r>
        <w:rPr>
          <w:rFonts w:ascii="黑体" w:hAnsi="黑体" w:eastAsia="黑体"/>
          <w:sz w:val="32"/>
        </w:rPr>
        <w:t>五、一般公共预算财政拨款支出决算情况说明</w:t>
      </w:r>
    </w:p>
    <w:p w14:paraId="04A5D42B">
      <w:pPr>
        <w:spacing w:line="640" w:lineRule="exact"/>
        <w:ind w:firstLine="640"/>
        <w:jc w:val="both"/>
        <w:outlineLvl w:val="3"/>
      </w:pPr>
      <w:r>
        <w:rPr>
          <w:rFonts w:ascii="楷体_GB2312" w:hAnsi="楷体_GB2312" w:eastAsia="楷体_GB2312"/>
          <w:b/>
          <w:sz w:val="32"/>
        </w:rPr>
        <w:t>（一）一般公共预算财政拨款支出决算总体情况</w:t>
      </w:r>
    </w:p>
    <w:p w14:paraId="68B97CCA">
      <w:pPr>
        <w:spacing w:line="580" w:lineRule="exact"/>
        <w:ind w:firstLine="640"/>
        <w:jc w:val="both"/>
      </w:pPr>
      <w:r>
        <w:rPr>
          <w:rFonts w:ascii="仿宋_GB2312" w:hAnsi="仿宋_GB2312" w:eastAsia="仿宋_GB2312"/>
          <w:b/>
          <w:sz w:val="32"/>
        </w:rPr>
        <w:t>2024年度一般公共预算财政拨款支出1,582.88万元，</w:t>
      </w:r>
      <w:r>
        <w:rPr>
          <w:rFonts w:ascii="仿宋_GB2312" w:hAnsi="仿宋_GB2312" w:eastAsia="仿宋_GB2312"/>
          <w:b w:val="0"/>
          <w:sz w:val="32"/>
        </w:rPr>
        <w:t>占本年支出合计的35.28%。</w:t>
      </w:r>
      <w:r>
        <w:rPr>
          <w:rFonts w:ascii="仿宋_GB2312" w:hAnsi="仿宋_GB2312" w:eastAsia="仿宋_GB2312"/>
          <w:b/>
          <w:sz w:val="32"/>
        </w:rPr>
        <w:t>与上年相比，</w:t>
      </w:r>
      <w:r>
        <w:rPr>
          <w:rFonts w:ascii="仿宋_GB2312" w:hAnsi="仿宋_GB2312" w:eastAsia="仿宋_GB2312"/>
          <w:b w:val="0"/>
          <w:sz w:val="32"/>
        </w:rPr>
        <w:t>减少144.11万元，下降8.34%，主要原因是：本年减少新建住院康复楼（三期工程）尾款项目，项目资金减少。</w:t>
      </w:r>
      <w:r>
        <w:rPr>
          <w:rFonts w:ascii="仿宋_GB2312" w:hAnsi="仿宋_GB2312" w:eastAsia="仿宋_GB2312"/>
          <w:b/>
          <w:sz w:val="32"/>
        </w:rPr>
        <w:t>与年初预算相比,</w:t>
      </w:r>
      <w:r>
        <w:rPr>
          <w:rFonts w:ascii="仿宋_GB2312" w:hAnsi="仿宋_GB2312" w:eastAsia="仿宋_GB2312"/>
          <w:b w:val="0"/>
          <w:sz w:val="32"/>
        </w:rPr>
        <w:t>年初预算数1,622.67万元，决算数1,582.88万元，预决算差异率-2.45%，主要原因是：中央重大传染病防控经费未执行完，年中调减经费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73018BE">
      <w:pPr>
        <w:spacing w:line="640" w:lineRule="exact"/>
        <w:ind w:firstLine="640"/>
        <w:jc w:val="both"/>
        <w:outlineLvl w:val="3"/>
      </w:pPr>
      <w:r>
        <w:rPr>
          <w:rFonts w:ascii="楷体_GB2312" w:hAnsi="楷体_GB2312" w:eastAsia="楷体_GB2312"/>
          <w:b/>
          <w:sz w:val="32"/>
        </w:rPr>
        <w:t>（二）一般公共预算财政拨款支出决算结构情况</w:t>
      </w:r>
    </w:p>
    <w:p w14:paraId="2A5D14C2">
      <w:pPr>
        <w:spacing w:line="580" w:lineRule="exact"/>
        <w:ind w:firstLine="640"/>
        <w:jc w:val="both"/>
      </w:pPr>
      <w:r>
        <w:rPr>
          <w:rFonts w:ascii="仿宋_GB2312" w:hAnsi="仿宋_GB2312" w:eastAsia="仿宋_GB2312"/>
          <w:b w:val="0"/>
          <w:sz w:val="32"/>
        </w:rPr>
        <w:t>1.社会保障和就业支出(类)225.63万元,占14.25%。</w:t>
      </w:r>
    </w:p>
    <w:p w14:paraId="68DB142B">
      <w:pPr>
        <w:spacing w:line="580" w:lineRule="exact"/>
        <w:ind w:firstLine="640"/>
        <w:jc w:val="both"/>
      </w:pPr>
      <w:r>
        <w:rPr>
          <w:rFonts w:ascii="仿宋_GB2312" w:hAnsi="仿宋_GB2312" w:eastAsia="仿宋_GB2312"/>
          <w:b w:val="0"/>
          <w:sz w:val="32"/>
        </w:rPr>
        <w:t>2.卫生健康支出(类)1,357.25万元,占85.75%。</w:t>
      </w:r>
    </w:p>
    <w:p w14:paraId="71202D9A">
      <w:pPr>
        <w:spacing w:line="640" w:lineRule="exact"/>
        <w:ind w:firstLine="640"/>
        <w:jc w:val="both"/>
        <w:outlineLvl w:val="3"/>
      </w:pPr>
      <w:r>
        <w:rPr>
          <w:rFonts w:ascii="楷体_GB2312" w:hAnsi="楷体_GB2312" w:eastAsia="楷体_GB2312"/>
          <w:b/>
          <w:sz w:val="32"/>
        </w:rPr>
        <w:t>（三）一般公共预算财政拨款支出决算具体情况</w:t>
      </w:r>
    </w:p>
    <w:p w14:paraId="1E310E2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1.社会保障和就业支出(类)行政事业单位养老支出(款)事业单位离退休(项):支出决算数为57.03万元，比上年决算增加16.14万元，增长39.47%,主要原因是：本年增加退休人员基础绩效奖，退休费支出增加。</w:t>
      </w:r>
    </w:p>
    <w:p w14:paraId="0C7FB93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154.54万元，比上年决算增加4.41万元，增长2.94%,主要原因是：本年在职人员增加及人员工资基数调增，养老缴费基数上涨，相应支出增加。</w:t>
      </w:r>
    </w:p>
    <w:p w14:paraId="3EC59A8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7.55万元，比上年决算减少28.06万元，下降78.80%,主要原因是：本年新增退休人员较上年减少，职业年金缴费较上年减少。</w:t>
      </w:r>
    </w:p>
    <w:p w14:paraId="5743EA71">
      <w:pPr>
        <w:spacing w:line="580" w:lineRule="exact"/>
        <w:ind w:firstLine="640"/>
        <w:jc w:val="both"/>
      </w:pPr>
      <w:r>
        <w:rPr>
          <w:rFonts w:ascii="仿宋_GB2312" w:hAnsi="仿宋_GB2312" w:eastAsia="仿宋_GB2312"/>
          <w:b w:val="0"/>
          <w:sz w:val="32"/>
        </w:rPr>
        <w:t>4.社会保障和就业支出(类)抚恤(款)死亡抚恤(项):支出决算数为6.51万元，比上年决算增加6.51万元，增长100.00%,主要原因是：本年新增死亡人员，死亡抚恤支出增加。</w:t>
      </w:r>
    </w:p>
    <w:p w14:paraId="43C90530">
      <w:pPr>
        <w:spacing w:line="580" w:lineRule="exact"/>
        <w:ind w:firstLine="640"/>
        <w:jc w:val="both"/>
      </w:pPr>
      <w:r>
        <w:rPr>
          <w:rFonts w:ascii="仿宋_GB2312" w:hAnsi="仿宋_GB2312" w:eastAsia="仿宋_GB2312"/>
          <w:b w:val="0"/>
          <w:sz w:val="32"/>
        </w:rPr>
        <w:t>5.卫生健康支出(类)公立医院(款)精神病医院(项):支出决算数为1,283.74万元，比上年决算减少142.82万元，下降10.01%,主要原因是：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中央重大传染病防控经费较上年减少。</w:t>
      </w:r>
    </w:p>
    <w:p w14:paraId="08F8613B">
      <w:pPr>
        <w:spacing w:line="580" w:lineRule="exact"/>
        <w:ind w:firstLine="640"/>
        <w:jc w:val="both"/>
      </w:pPr>
      <w:r>
        <w:rPr>
          <w:rFonts w:ascii="仿宋_GB2312" w:hAnsi="仿宋_GB2312" w:eastAsia="仿宋_GB2312"/>
          <w:b w:val="0"/>
          <w:sz w:val="32"/>
        </w:rPr>
        <w:t>6.卫生健康支出(类)公共卫生(款)重大公共卫生服务(项):支出决算数为7.84万元，比上年决算减少4.16万元，下降34.67%,主要原因是：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中央重大传染病防控经费较上年减少。</w:t>
      </w:r>
    </w:p>
    <w:p w14:paraId="42C071CA">
      <w:pPr>
        <w:spacing w:line="580" w:lineRule="exact"/>
        <w:ind w:firstLine="640"/>
        <w:jc w:val="both"/>
      </w:pPr>
      <w:r>
        <w:rPr>
          <w:rFonts w:ascii="仿宋_GB2312" w:hAnsi="仿宋_GB2312" w:eastAsia="仿宋_GB2312"/>
          <w:b w:val="0"/>
          <w:sz w:val="32"/>
        </w:rPr>
        <w:t>7.卫生健康支出(类)行政事业单位医疗(款)事业单位医疗(项):支出决算数为65.68万元，比上年决算增加3.88万元，增长6.28%,主要原因是：本年在职人员增加及人员工资调增，事业单位医疗支出较上年增加。</w:t>
      </w:r>
    </w:p>
    <w:p w14:paraId="4717E811">
      <w:pPr>
        <w:spacing w:line="640" w:lineRule="exact"/>
        <w:ind w:firstLine="640"/>
        <w:jc w:val="both"/>
        <w:outlineLvl w:val="2"/>
      </w:pPr>
      <w:r>
        <w:rPr>
          <w:rFonts w:ascii="黑体" w:hAnsi="黑体" w:eastAsia="黑体"/>
          <w:sz w:val="32"/>
        </w:rPr>
        <w:t>六、一般公共预算财政拨款基本支出决算情况说明</w:t>
      </w:r>
    </w:p>
    <w:p w14:paraId="5F64A792">
      <w:pPr>
        <w:spacing w:line="580" w:lineRule="exact"/>
        <w:ind w:firstLine="640"/>
        <w:jc w:val="both"/>
      </w:pPr>
      <w:r>
        <w:rPr>
          <w:rFonts w:ascii="仿宋_GB2312" w:hAnsi="仿宋_GB2312" w:eastAsia="仿宋_GB2312"/>
          <w:b w:val="0"/>
          <w:sz w:val="32"/>
        </w:rPr>
        <w:t>2024年度一般公共预算财政拨款基本支出1,575.04万元，其中：</w:t>
      </w:r>
      <w:r>
        <w:rPr>
          <w:rFonts w:ascii="仿宋_GB2312" w:hAnsi="仿宋_GB2312" w:eastAsia="仿宋_GB2312"/>
          <w:b/>
          <w:sz w:val="32"/>
        </w:rPr>
        <w:t>人员经费1,564.59万元，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14:paraId="7A14509A">
      <w:pPr>
        <w:spacing w:line="580" w:lineRule="exact"/>
        <w:ind w:firstLine="640"/>
        <w:jc w:val="both"/>
      </w:pPr>
      <w:r>
        <w:rPr>
          <w:rFonts w:ascii="仿宋_GB2312" w:hAnsi="仿宋_GB2312" w:eastAsia="仿宋_GB2312"/>
          <w:b/>
          <w:sz w:val="32"/>
        </w:rPr>
        <w:t>公用经费10.45万元，</w:t>
      </w:r>
      <w:r>
        <w:rPr>
          <w:rFonts w:ascii="仿宋_GB2312" w:hAnsi="仿宋_GB2312" w:eastAsia="仿宋_GB2312"/>
          <w:b w:val="0"/>
          <w:sz w:val="32"/>
        </w:rPr>
        <w:t>包括：专用材料费、委托业务费。</w:t>
      </w:r>
    </w:p>
    <w:p w14:paraId="17457D13">
      <w:pPr>
        <w:spacing w:line="640" w:lineRule="exact"/>
        <w:ind w:firstLine="640"/>
        <w:jc w:val="both"/>
        <w:outlineLvl w:val="2"/>
      </w:pPr>
      <w:r>
        <w:rPr>
          <w:rFonts w:ascii="黑体" w:hAnsi="黑体" w:eastAsia="黑体"/>
          <w:sz w:val="32"/>
        </w:rPr>
        <w:t>七、政府性基金预算财政拨款收入支出决算情况说明</w:t>
      </w:r>
    </w:p>
    <w:p w14:paraId="2510D764">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1D86C5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减少964.84万元，下降100.00%，主要原因是：本年减少喀什地区康宁医院附属设施建设项目、2023年自治区彩票公益金支持社会福利事业项目等。</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147D8691">
      <w:pPr>
        <w:spacing w:line="580" w:lineRule="exact"/>
        <w:ind w:firstLine="640"/>
        <w:jc w:val="both"/>
      </w:pPr>
      <w:r>
        <w:rPr>
          <w:rFonts w:ascii="仿宋_GB2312" w:hAnsi="仿宋_GB2312" w:eastAsia="仿宋_GB2312"/>
          <w:b w:val="0"/>
          <w:sz w:val="32"/>
        </w:rPr>
        <w:t>政府性基金预算财政拨款支出0.00万元。</w:t>
      </w:r>
    </w:p>
    <w:p w14:paraId="072C9D4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964.84万元，下降100.00%,主要原因是：本年减少喀什地区康宁医院附属设施建设项目、2023年自治区彩票公益金支持社会福利事业项目等。</w:t>
      </w:r>
    </w:p>
    <w:p w14:paraId="44A6129C">
      <w:pPr>
        <w:spacing w:line="640" w:lineRule="exact"/>
        <w:ind w:firstLine="640"/>
        <w:jc w:val="both"/>
        <w:outlineLvl w:val="2"/>
      </w:pPr>
      <w:r>
        <w:rPr>
          <w:rFonts w:ascii="黑体" w:hAnsi="黑体" w:eastAsia="黑体"/>
          <w:sz w:val="32"/>
        </w:rPr>
        <w:t>八、国有资本经营预算财政拨款收入支出决算情况说明</w:t>
      </w:r>
    </w:p>
    <w:p w14:paraId="20E1E5F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BAD7E24">
      <w:pPr>
        <w:spacing w:line="640" w:lineRule="exact"/>
        <w:ind w:firstLine="640"/>
        <w:jc w:val="both"/>
        <w:outlineLvl w:val="2"/>
      </w:pPr>
      <w:r>
        <w:rPr>
          <w:rFonts w:ascii="黑体" w:hAnsi="黑体" w:eastAsia="黑体"/>
          <w:sz w:val="32"/>
        </w:rPr>
        <w:t>九、财政拨款“三公”经费支出决算情况说明</w:t>
      </w:r>
    </w:p>
    <w:p w14:paraId="6098969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22D688">
      <w:pPr>
        <w:spacing w:line="580" w:lineRule="exact"/>
        <w:ind w:firstLine="640"/>
        <w:jc w:val="both"/>
      </w:pPr>
      <w:r>
        <w:rPr>
          <w:rFonts w:ascii="仿宋_GB2312" w:hAnsi="仿宋_GB2312" w:eastAsia="仿宋_GB2312"/>
          <w:b/>
          <w:sz w:val="32"/>
        </w:rPr>
        <w:t>具体情况如下：</w:t>
      </w:r>
    </w:p>
    <w:p w14:paraId="7657D63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AE8F2D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6辆，与公务用车保有量差异原因是：单位业务用车，车辆费用未使用财政拨款公务用车运行维护费支付。</w:t>
      </w:r>
    </w:p>
    <w:p w14:paraId="3DC8FB2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108F2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08E1EC3">
      <w:pPr>
        <w:spacing w:line="640" w:lineRule="exact"/>
        <w:ind w:firstLine="640"/>
        <w:jc w:val="both"/>
        <w:outlineLvl w:val="2"/>
      </w:pPr>
      <w:r>
        <w:rPr>
          <w:rFonts w:ascii="黑体" w:hAnsi="黑体" w:eastAsia="黑体"/>
          <w:sz w:val="32"/>
        </w:rPr>
        <w:t>十、其他重要事项的情况说明</w:t>
      </w:r>
    </w:p>
    <w:p w14:paraId="6CA3F3C5">
      <w:pPr>
        <w:spacing w:line="640" w:lineRule="exact"/>
        <w:ind w:firstLine="640"/>
        <w:jc w:val="both"/>
        <w:outlineLvl w:val="3"/>
      </w:pPr>
      <w:r>
        <w:rPr>
          <w:rFonts w:ascii="楷体_GB2312" w:hAnsi="楷体_GB2312" w:eastAsia="楷体_GB2312"/>
          <w:b/>
          <w:sz w:val="32"/>
        </w:rPr>
        <w:t>（一）机关运行经费及公用经费支出情况</w:t>
      </w:r>
    </w:p>
    <w:p w14:paraId="7713A0CB">
      <w:pPr>
        <w:spacing w:line="580" w:lineRule="exact"/>
        <w:ind w:firstLine="640"/>
        <w:jc w:val="both"/>
      </w:pPr>
      <w:r>
        <w:rPr>
          <w:rFonts w:ascii="仿宋_GB2312" w:hAnsi="仿宋_GB2312" w:eastAsia="仿宋_GB2312"/>
          <w:b w:val="0"/>
          <w:sz w:val="32"/>
        </w:rPr>
        <w:t>2024年度新疆维吾尔自治区喀什地区康宁医院（事业单位）公用经费支出10.45万元，比上年减少3.15万元，下降23.16%，主要原因是：本年减少专用材料经费，导致公用经费减少。</w:t>
      </w:r>
    </w:p>
    <w:p w14:paraId="59216AEE">
      <w:pPr>
        <w:spacing w:line="640" w:lineRule="exact"/>
        <w:ind w:firstLine="640"/>
        <w:jc w:val="both"/>
        <w:outlineLvl w:val="3"/>
      </w:pPr>
      <w:r>
        <w:rPr>
          <w:rFonts w:ascii="楷体_GB2312" w:hAnsi="楷体_GB2312" w:eastAsia="楷体_GB2312"/>
          <w:b/>
          <w:sz w:val="32"/>
        </w:rPr>
        <w:t>（二）政府采购情况</w:t>
      </w:r>
    </w:p>
    <w:p w14:paraId="21457D79">
      <w:pPr>
        <w:spacing w:line="580" w:lineRule="exact"/>
        <w:ind w:firstLine="640"/>
        <w:jc w:val="both"/>
      </w:pPr>
      <w:r>
        <w:rPr>
          <w:rFonts w:ascii="仿宋_GB2312" w:hAnsi="仿宋_GB2312" w:eastAsia="仿宋_GB2312"/>
          <w:b w:val="0"/>
          <w:sz w:val="32"/>
        </w:rPr>
        <w:t>2024年度政府采购支出总额591.76万元，其中：政府采购货物支出583.22万元、政府采购工程支出0.00万元、政府采购服务支出8.54万元。</w:t>
      </w:r>
    </w:p>
    <w:p w14:paraId="7CF83026">
      <w:pPr>
        <w:spacing w:line="580" w:lineRule="exact"/>
        <w:ind w:firstLine="640"/>
        <w:jc w:val="both"/>
      </w:pPr>
      <w:r>
        <w:rPr>
          <w:rFonts w:ascii="仿宋_GB2312" w:hAnsi="仿宋_GB2312" w:eastAsia="仿宋_GB2312"/>
          <w:b w:val="0"/>
          <w:sz w:val="32"/>
        </w:rPr>
        <w:t>授予中小企业合同金额589.22万元，占政府采购支出总额的99.57%，其中：授予小微企业合同金额589.22万元，占政府采购支出总额的99.57%。</w:t>
      </w:r>
    </w:p>
    <w:p w14:paraId="253EB654">
      <w:pPr>
        <w:spacing w:line="640" w:lineRule="exact"/>
        <w:ind w:firstLine="640"/>
        <w:jc w:val="both"/>
        <w:outlineLvl w:val="3"/>
      </w:pPr>
      <w:r>
        <w:rPr>
          <w:rFonts w:ascii="楷体_GB2312" w:hAnsi="楷体_GB2312" w:eastAsia="楷体_GB2312"/>
          <w:b/>
          <w:sz w:val="32"/>
        </w:rPr>
        <w:t>（三）国有资产占用情况说明</w:t>
      </w:r>
    </w:p>
    <w:p w14:paraId="09B52E9C">
      <w:pPr>
        <w:spacing w:line="580" w:lineRule="exact"/>
        <w:ind w:firstLine="640"/>
        <w:jc w:val="both"/>
      </w:pPr>
      <w:r>
        <w:rPr>
          <w:rFonts w:ascii="仿宋_GB2312" w:hAnsi="仿宋_GB2312" w:eastAsia="仿宋_GB2312"/>
          <w:b w:val="0"/>
          <w:sz w:val="32"/>
        </w:rPr>
        <w:t>截至2024年12月31日，房屋31,395.07平方米，价值6,308.80万元。车辆6辆，价值187.48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5台（套）。</w:t>
      </w:r>
    </w:p>
    <w:p w14:paraId="56A31495">
      <w:pPr>
        <w:spacing w:line="640" w:lineRule="exact"/>
        <w:ind w:firstLine="640"/>
        <w:jc w:val="both"/>
        <w:outlineLvl w:val="2"/>
      </w:pPr>
      <w:r>
        <w:rPr>
          <w:rFonts w:ascii="黑体" w:hAnsi="黑体" w:eastAsia="黑体"/>
          <w:sz w:val="32"/>
        </w:rPr>
        <w:t>十一、预算绩效的情况说明</w:t>
      </w:r>
    </w:p>
    <w:p w14:paraId="5C71457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4,644.37万元，实际执行总额4,487.17万元；预算绩效评价项目2个，全年预算数374.33万元，全年执行数372.37万元。预算绩效管理取得的成效：严格程序，确保资金效益。项目建设坚持层层审批原则,做到操作程序规范,严格按照上级审批项目建设规模、工程项目管理办法、工程进度款拨付管理等相关要求开展工作，并严格按照资金使用的相关管理要求执行，严格资金使用范围，保证项目资金专款专用。始终坚持按工程进度拨付。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年初目标设置不合理，导致有些指标出现偏差。下一步改进措施：一是加强学习如何科学合理制定绩效目标及考核体系，充分发挥绩效工作效用。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部门整体支出绩效自评表，项目支出绩效自评表和部门评价报告。</w:t>
      </w:r>
    </w:p>
    <w:p w14:paraId="4E6550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C5C361">
        <w:tblPrEx>
          <w:tblCellMar>
            <w:top w:w="0" w:type="dxa"/>
            <w:left w:w="108" w:type="dxa"/>
            <w:bottom w:w="0" w:type="dxa"/>
            <w:right w:w="108" w:type="dxa"/>
          </w:tblCellMar>
        </w:tblPrEx>
        <w:tc>
          <w:tcPr>
            <w:tcW w:w="8847" w:type="dxa"/>
            <w:gridSpan w:val="9"/>
            <w:vAlign w:val="center"/>
          </w:tcPr>
          <w:p w14:paraId="0CEC08CF">
            <w:pPr>
              <w:jc w:val="center"/>
            </w:pPr>
            <w:r>
              <w:rPr>
                <w:rFonts w:ascii="宋体" w:hAnsi="宋体" w:eastAsia="宋体"/>
                <w:sz w:val="24"/>
              </w:rPr>
              <w:t>部门整体支出绩效自评表</w:t>
            </w:r>
          </w:p>
        </w:tc>
      </w:tr>
      <w:tr w14:paraId="3216D1B0">
        <w:tblPrEx>
          <w:tblCellMar>
            <w:top w:w="0" w:type="dxa"/>
            <w:left w:w="108" w:type="dxa"/>
            <w:bottom w:w="0" w:type="dxa"/>
            <w:right w:w="108" w:type="dxa"/>
          </w:tblCellMar>
        </w:tblPrEx>
        <w:tc>
          <w:tcPr>
            <w:tcW w:w="8847" w:type="dxa"/>
            <w:gridSpan w:val="9"/>
            <w:vAlign w:val="center"/>
          </w:tcPr>
          <w:p w14:paraId="387DB170">
            <w:pPr>
              <w:jc w:val="center"/>
            </w:pPr>
            <w:r>
              <w:rPr>
                <w:rFonts w:ascii="宋体" w:hAnsi="宋体" w:eastAsia="宋体"/>
                <w:sz w:val="24"/>
              </w:rPr>
              <w:t>（2024年度）</w:t>
            </w:r>
          </w:p>
        </w:tc>
      </w:tr>
      <w:tr w14:paraId="5ED7D5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EF7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D0E041">
            <w:pPr>
              <w:jc w:val="center"/>
            </w:pPr>
            <w:r>
              <w:rPr>
                <w:rFonts w:ascii="宋体" w:hAnsi="宋体" w:eastAsia="宋体"/>
                <w:sz w:val="16"/>
              </w:rPr>
              <w:t>新疆维吾尔自治区喀什地区康宁医院</w:t>
            </w:r>
          </w:p>
        </w:tc>
      </w:tr>
      <w:tr w14:paraId="09F590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1652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744D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CE73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04FC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98C9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9CC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92ED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27518">
            <w:pPr>
              <w:jc w:val="center"/>
            </w:pPr>
            <w:r>
              <w:rPr>
                <w:rFonts w:ascii="宋体" w:hAnsi="宋体" w:eastAsia="宋体"/>
                <w:sz w:val="16"/>
              </w:rPr>
              <w:t>得分</w:t>
            </w:r>
          </w:p>
        </w:tc>
      </w:tr>
      <w:tr w14:paraId="388A1B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913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4EDF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718E9">
            <w:pPr>
              <w:jc w:val="center"/>
            </w:pPr>
            <w:r>
              <w:rPr>
                <w:rFonts w:ascii="宋体" w:hAnsi="宋体" w:eastAsia="宋体"/>
                <w:sz w:val="16"/>
              </w:rPr>
              <w:t>4,631.85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69237">
            <w:pPr>
              <w:jc w:val="center"/>
            </w:pPr>
            <w:r>
              <w:rPr>
                <w:rFonts w:ascii="宋体" w:hAnsi="宋体" w:eastAsia="宋体"/>
                <w:sz w:val="16"/>
              </w:rPr>
              <w:t>4,644.37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9EEC7">
            <w:pPr>
              <w:jc w:val="center"/>
            </w:pPr>
            <w:r>
              <w:rPr>
                <w:rFonts w:ascii="宋体" w:hAnsi="宋体" w:eastAsia="宋体"/>
                <w:sz w:val="16"/>
              </w:rPr>
              <w:t>4,487.17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E55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77855">
            <w:pPr>
              <w:jc w:val="center"/>
            </w:pPr>
            <w:r>
              <w:rPr>
                <w:rFonts w:ascii="宋体" w:hAnsi="宋体" w:eastAsia="宋体"/>
                <w:sz w:val="16"/>
              </w:rPr>
              <w:t>96.62%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5305">
            <w:pPr>
              <w:jc w:val="center"/>
            </w:pPr>
            <w:r>
              <w:rPr>
                <w:rFonts w:ascii="宋体" w:hAnsi="宋体" w:eastAsia="宋体"/>
                <w:sz w:val="16"/>
              </w:rPr>
              <w:t>9.66</w:t>
            </w:r>
          </w:p>
        </w:tc>
      </w:tr>
      <w:tr w14:paraId="597F3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A87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31D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D33E4">
            <w:pPr>
              <w:jc w:val="center"/>
            </w:pPr>
            <w:r>
              <w:rPr>
                <w:rFonts w:ascii="宋体" w:hAnsi="宋体" w:eastAsia="宋体"/>
                <w:sz w:val="16"/>
              </w:rPr>
              <w:t>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9E51">
            <w:pPr>
              <w:jc w:val="center"/>
            </w:pPr>
            <w:r>
              <w:rPr>
                <w:rFonts w:ascii="宋体" w:hAnsi="宋体" w:eastAsia="宋体"/>
                <w:sz w:val="16"/>
              </w:rPr>
              <w:t>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C3E95">
            <w:pPr>
              <w:jc w:val="center"/>
            </w:pPr>
            <w:r>
              <w:rPr>
                <w:rFonts w:ascii="宋体" w:hAnsi="宋体" w:eastAsia="宋体"/>
                <w:sz w:val="16"/>
              </w:rPr>
              <w:t>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AF8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9D0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9A4F5">
            <w:pPr>
              <w:jc w:val="center"/>
            </w:pPr>
            <w:r>
              <w:rPr>
                <w:rFonts w:ascii="宋体" w:hAnsi="宋体" w:eastAsia="宋体"/>
                <w:sz w:val="16"/>
              </w:rPr>
              <w:t>—</w:t>
            </w:r>
          </w:p>
        </w:tc>
      </w:tr>
      <w:tr w14:paraId="1120E1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9F9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B3B3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A5430">
            <w:pPr>
              <w:jc w:val="center"/>
            </w:pPr>
            <w:r>
              <w:rPr>
                <w:rFonts w:ascii="宋体" w:hAnsi="宋体" w:eastAsia="宋体"/>
                <w:sz w:val="16"/>
              </w:rPr>
              <w:t>1,613.08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AE06">
            <w:pPr>
              <w:jc w:val="center"/>
            </w:pPr>
            <w:r>
              <w:rPr>
                <w:rFonts w:ascii="宋体" w:hAnsi="宋体" w:eastAsia="宋体"/>
                <w:sz w:val="16"/>
              </w:rPr>
              <w:t>1,625.60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991C9">
            <w:pPr>
              <w:jc w:val="center"/>
            </w:pPr>
            <w:r>
              <w:rPr>
                <w:rFonts w:ascii="宋体" w:hAnsi="宋体" w:eastAsia="宋体"/>
                <w:sz w:val="16"/>
              </w:rPr>
              <w:t>1,575.04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94F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3CD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CC62">
            <w:pPr>
              <w:jc w:val="center"/>
            </w:pPr>
            <w:r>
              <w:rPr>
                <w:rFonts w:ascii="宋体" w:hAnsi="宋体" w:eastAsia="宋体"/>
                <w:sz w:val="16"/>
              </w:rPr>
              <w:t>—</w:t>
            </w:r>
          </w:p>
        </w:tc>
      </w:tr>
      <w:tr w14:paraId="73053D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466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3AC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204D9">
            <w:pPr>
              <w:jc w:val="center"/>
            </w:pPr>
            <w:r>
              <w:rPr>
                <w:rFonts w:ascii="宋体" w:hAnsi="宋体" w:eastAsia="宋体"/>
                <w:sz w:val="16"/>
              </w:rPr>
              <w:t>3,009.18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A8796">
            <w:pPr>
              <w:jc w:val="center"/>
            </w:pPr>
            <w:r>
              <w:rPr>
                <w:rFonts w:ascii="宋体" w:hAnsi="宋体" w:eastAsia="宋体"/>
                <w:sz w:val="16"/>
              </w:rPr>
              <w:t>3,009.18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D2702">
            <w:pPr>
              <w:jc w:val="center"/>
            </w:pPr>
            <w:r>
              <w:rPr>
                <w:rFonts w:ascii="宋体" w:hAnsi="宋体" w:eastAsia="宋体"/>
                <w:sz w:val="16"/>
              </w:rPr>
              <w:t>2,904.29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C02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437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709A">
            <w:pPr>
              <w:jc w:val="center"/>
            </w:pPr>
            <w:r>
              <w:rPr>
                <w:rFonts w:ascii="宋体" w:hAnsi="宋体" w:eastAsia="宋体"/>
                <w:sz w:val="16"/>
              </w:rPr>
              <w:t>—</w:t>
            </w:r>
          </w:p>
        </w:tc>
      </w:tr>
      <w:tr w14:paraId="249E59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D31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5B2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7431D1">
            <w:pPr>
              <w:jc w:val="center"/>
            </w:pPr>
            <w:r>
              <w:rPr>
                <w:rFonts w:ascii="宋体" w:hAnsi="宋体" w:eastAsia="宋体"/>
                <w:sz w:val="16"/>
              </w:rPr>
              <w:t>实际完成情况</w:t>
            </w:r>
          </w:p>
        </w:tc>
      </w:tr>
      <w:tr w14:paraId="2CCDD0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5C16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AEE043">
            <w:pPr>
              <w:jc w:val="both"/>
            </w:pPr>
            <w:r>
              <w:rPr>
                <w:rFonts w:ascii="宋体" w:hAnsi="宋体" w:eastAsia="宋体"/>
                <w:sz w:val="16"/>
              </w:rPr>
              <w:t>随着群众就医需求的不断提高，努力创建“服务对象满意”的医院。目前我院有病床800张，精神障碍患者578人，其中供养患者131人，为保障广大精神障碍患者能得到良好且有效的治疗，我院持续加强解决医院单一的药物治疗手段，使精神障碍患者医疗保障覆盖率达到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E291C8">
            <w:pPr>
              <w:jc w:val="both"/>
            </w:pPr>
            <w:r>
              <w:rPr>
                <w:rFonts w:ascii="宋体" w:hAnsi="宋体" w:eastAsia="宋体"/>
                <w:sz w:val="16"/>
              </w:rPr>
              <w:t>目前我院有病床800张，精神障碍患者541人，其中供养患者142人，为保障广大精神障碍患者能得到良好且有效的治疗，我院持续加强对“易肇事肇祸”严重精神患者“应收尽收”“应治尽治”工作的同时，不断扩大专科优势，充分引进开发前沿医疗技术，提升对重症患者的救助能力。</w:t>
            </w:r>
          </w:p>
        </w:tc>
      </w:tr>
      <w:tr w14:paraId="4F4C0D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0C7A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7B6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4736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3B44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E101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599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159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6A2B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52242">
            <w:pPr>
              <w:jc w:val="center"/>
            </w:pPr>
            <w:r>
              <w:rPr>
                <w:rFonts w:ascii="宋体" w:hAnsi="宋体" w:eastAsia="宋体"/>
                <w:sz w:val="16"/>
              </w:rPr>
              <w:t>得分</w:t>
            </w:r>
          </w:p>
        </w:tc>
      </w:tr>
      <w:tr w14:paraId="350EC5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13C9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226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C137D">
            <w:pPr>
              <w:jc w:val="center"/>
            </w:pPr>
            <w:r>
              <w:rPr>
                <w:rFonts w:ascii="宋体" w:hAnsi="宋体" w:eastAsia="宋体"/>
                <w:sz w:val="16"/>
              </w:rPr>
              <w:t>保障医院床位数量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BE0E0">
            <w:pPr>
              <w:jc w:val="center"/>
            </w:pPr>
            <w:r>
              <w:rPr>
                <w:rFonts w:ascii="宋体" w:hAnsi="宋体" w:eastAsia="宋体"/>
                <w:sz w:val="16"/>
              </w:rPr>
              <w:t>&gt;=800张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9E63">
            <w:pPr>
              <w:jc w:val="center"/>
            </w:pPr>
            <w:r>
              <w:rPr>
                <w:rFonts w:ascii="宋体" w:hAnsi="宋体" w:eastAsia="宋体"/>
                <w:sz w:val="16"/>
              </w:rPr>
              <w:t>康宁医院2024年工作计划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B382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AC993">
            <w:pPr>
              <w:jc w:val="center"/>
            </w:pPr>
            <w:r>
              <w:rPr>
                <w:rFonts w:ascii="宋体" w:hAnsi="宋体" w:eastAsia="宋体"/>
                <w:sz w:val="16"/>
              </w:rPr>
              <w:t>800张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B6E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0549">
            <w:pPr>
              <w:jc w:val="center"/>
            </w:pPr>
            <w:r>
              <w:rPr>
                <w:rFonts w:ascii="宋体" w:hAnsi="宋体" w:eastAsia="宋体"/>
                <w:sz w:val="16"/>
              </w:rPr>
              <w:t>18</w:t>
            </w:r>
          </w:p>
        </w:tc>
      </w:tr>
      <w:tr w14:paraId="18E4E1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99E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D2C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7F493">
            <w:pPr>
              <w:jc w:val="center"/>
            </w:pPr>
            <w:r>
              <w:rPr>
                <w:rFonts w:ascii="宋体" w:hAnsi="宋体" w:eastAsia="宋体"/>
                <w:sz w:val="16"/>
              </w:rPr>
              <w:t>供养患者数量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E7F45">
            <w:pPr>
              <w:jc w:val="center"/>
            </w:pPr>
            <w:r>
              <w:rPr>
                <w:rFonts w:ascii="宋体" w:hAnsi="宋体" w:eastAsia="宋体"/>
                <w:sz w:val="16"/>
              </w:rPr>
              <w:t>&gt;=131人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F084A">
            <w:pPr>
              <w:jc w:val="center"/>
            </w:pPr>
            <w:r>
              <w:rPr>
                <w:rFonts w:ascii="宋体" w:hAnsi="宋体" w:eastAsia="宋体"/>
                <w:sz w:val="16"/>
              </w:rPr>
              <w:t>康宁医院2024年工作计划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6B7B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E8F12">
            <w:pPr>
              <w:jc w:val="center"/>
            </w:pPr>
            <w:r>
              <w:rPr>
                <w:rFonts w:ascii="宋体" w:hAnsi="宋体" w:eastAsia="宋体"/>
                <w:sz w:val="16"/>
              </w:rPr>
              <w:t>142人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2CAB">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6D361">
            <w:pPr>
              <w:jc w:val="center"/>
            </w:pPr>
            <w:r>
              <w:rPr>
                <w:rFonts w:ascii="宋体" w:hAnsi="宋体" w:eastAsia="宋体"/>
                <w:sz w:val="16"/>
              </w:rPr>
              <w:t>18</w:t>
            </w:r>
          </w:p>
        </w:tc>
      </w:tr>
      <w:tr w14:paraId="378BED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70E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87E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04041">
            <w:pPr>
              <w:jc w:val="center"/>
            </w:pPr>
            <w:r>
              <w:rPr>
                <w:rFonts w:ascii="宋体" w:hAnsi="宋体" w:eastAsia="宋体"/>
                <w:sz w:val="16"/>
              </w:rPr>
              <w:t>医院执业（助理）医师数量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B35D">
            <w:pPr>
              <w:jc w:val="center"/>
            </w:pPr>
            <w:r>
              <w:rPr>
                <w:rFonts w:ascii="宋体" w:hAnsi="宋体" w:eastAsia="宋体"/>
                <w:sz w:val="16"/>
              </w:rPr>
              <w:t>&gt;=16人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EEF8D">
            <w:pPr>
              <w:jc w:val="center"/>
            </w:pPr>
            <w:r>
              <w:rPr>
                <w:rFonts w:ascii="宋体" w:hAnsi="宋体" w:eastAsia="宋体"/>
                <w:sz w:val="16"/>
              </w:rPr>
              <w:t>康宁医院2024年工作计划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5E71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AFAAB">
            <w:pPr>
              <w:jc w:val="center"/>
            </w:pPr>
            <w:r>
              <w:rPr>
                <w:rFonts w:ascii="宋体" w:hAnsi="宋体" w:eastAsia="宋体"/>
                <w:sz w:val="16"/>
              </w:rPr>
              <w:t>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E5A1D">
            <w:pPr>
              <w:jc w:val="center"/>
            </w:pPr>
            <w:r>
              <w:rPr>
                <w:rFonts w:ascii="宋体" w:hAnsi="宋体" w:eastAsia="宋体"/>
                <w:sz w:val="16"/>
              </w:rPr>
              <w:t>143.75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19E60">
            <w:pPr>
              <w:jc w:val="center"/>
            </w:pPr>
            <w:r>
              <w:rPr>
                <w:rFonts w:ascii="宋体" w:hAnsi="宋体" w:eastAsia="宋体"/>
                <w:sz w:val="16"/>
              </w:rPr>
              <w:t>18</w:t>
            </w:r>
          </w:p>
        </w:tc>
      </w:tr>
      <w:tr w14:paraId="5DCFC4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A23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BD16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96AAA">
            <w:pPr>
              <w:jc w:val="center"/>
            </w:pPr>
            <w:r>
              <w:rPr>
                <w:rFonts w:ascii="宋体" w:hAnsi="宋体" w:eastAsia="宋体"/>
                <w:sz w:val="16"/>
              </w:rPr>
              <w:t>精神障碍患者医疗保障覆盖率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1B8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B903">
            <w:pPr>
              <w:jc w:val="center"/>
            </w:pPr>
            <w:r>
              <w:rPr>
                <w:rFonts w:ascii="宋体" w:hAnsi="宋体" w:eastAsia="宋体"/>
                <w:sz w:val="16"/>
              </w:rPr>
              <w:t>康宁医院2024年工作计划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16F6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3C2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8E8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B0B5">
            <w:pPr>
              <w:jc w:val="center"/>
            </w:pPr>
            <w:r>
              <w:rPr>
                <w:rFonts w:ascii="宋体" w:hAnsi="宋体" w:eastAsia="宋体"/>
                <w:sz w:val="16"/>
              </w:rPr>
              <w:t>18</w:t>
            </w:r>
          </w:p>
        </w:tc>
      </w:tr>
      <w:tr w14:paraId="66B92B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B94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8F7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44947">
            <w:pPr>
              <w:jc w:val="center"/>
            </w:pPr>
            <w:r>
              <w:rPr>
                <w:rFonts w:ascii="宋体" w:hAnsi="宋体" w:eastAsia="宋体"/>
                <w:sz w:val="16"/>
              </w:rPr>
              <w:t>供养患者补贴覆盖率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A23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725D1">
            <w:pPr>
              <w:jc w:val="center"/>
            </w:pPr>
            <w:r>
              <w:rPr>
                <w:rFonts w:ascii="宋体" w:hAnsi="宋体" w:eastAsia="宋体"/>
                <w:sz w:val="16"/>
              </w:rPr>
              <w:t>《喀什地区进一步健全完善特困人员救助供养制度的实施意见》（喀署发</w:t>
            </w:r>
            <w:r>
              <w:rPr>
                <w:rFonts w:hint="eastAsia" w:ascii="宋体" w:hAnsi="宋体"/>
                <w:sz w:val="16"/>
                <w:lang w:eastAsia="zh-CN"/>
              </w:rPr>
              <w:t>〔2018〕82号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5CF7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2F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896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A78C0">
            <w:pPr>
              <w:jc w:val="center"/>
            </w:pPr>
            <w:r>
              <w:rPr>
                <w:rFonts w:ascii="宋体" w:hAnsi="宋体" w:eastAsia="宋体"/>
                <w:sz w:val="16"/>
              </w:rPr>
              <w:t>18</w:t>
            </w:r>
          </w:p>
        </w:tc>
      </w:tr>
    </w:tbl>
    <w:p w14:paraId="74EE9316">
      <w:r>
        <w:br w:type="page"/>
      </w:r>
    </w:p>
    <w:tbl>
      <w:tblPr>
        <w:tblStyle w:val="9"/>
        <w:tblW w:w="0" w:type="auto"/>
        <w:tblInd w:w="0" w:type="dxa"/>
        <w:tblLayout w:type="fixed"/>
        <w:tblCellMar>
          <w:top w:w="0" w:type="dxa"/>
          <w:left w:w="108" w:type="dxa"/>
          <w:bottom w:w="0" w:type="dxa"/>
          <w:right w:w="108" w:type="dxa"/>
        </w:tblCellMar>
      </w:tblPr>
      <w:tblGrid>
        <w:gridCol w:w="626"/>
        <w:gridCol w:w="616"/>
        <w:gridCol w:w="616"/>
        <w:gridCol w:w="626"/>
        <w:gridCol w:w="856"/>
        <w:gridCol w:w="616"/>
        <w:gridCol w:w="626"/>
        <w:gridCol w:w="621"/>
        <w:gridCol w:w="616"/>
        <w:gridCol w:w="616"/>
        <w:gridCol w:w="776"/>
        <w:gridCol w:w="463"/>
        <w:gridCol w:w="168"/>
        <w:gridCol w:w="592"/>
        <w:gridCol w:w="626"/>
      </w:tblGrid>
      <w:tr w14:paraId="48CAD55E">
        <w:tc>
          <w:tcPr>
            <w:tcW w:w="9060" w:type="dxa"/>
            <w:gridSpan w:val="15"/>
            <w:vAlign w:val="center"/>
          </w:tcPr>
          <w:p w14:paraId="39B8BDD8">
            <w:pPr>
              <w:jc w:val="center"/>
            </w:pPr>
            <w:r>
              <w:rPr>
                <w:rFonts w:ascii="宋体" w:hAnsi="宋体" w:eastAsia="宋体"/>
                <w:sz w:val="24"/>
              </w:rPr>
              <w:t>项目支出绩效自评表</w:t>
            </w:r>
          </w:p>
        </w:tc>
      </w:tr>
      <w:tr w14:paraId="63686E92">
        <w:tblPrEx>
          <w:tblCellMar>
            <w:top w:w="0" w:type="dxa"/>
            <w:left w:w="108" w:type="dxa"/>
            <w:bottom w:w="0" w:type="dxa"/>
            <w:right w:w="108" w:type="dxa"/>
          </w:tblCellMar>
        </w:tblPrEx>
        <w:tc>
          <w:tcPr>
            <w:tcW w:w="9060" w:type="dxa"/>
            <w:gridSpan w:val="15"/>
            <w:vAlign w:val="center"/>
          </w:tcPr>
          <w:p w14:paraId="51A6EEB2">
            <w:pPr>
              <w:jc w:val="center"/>
            </w:pPr>
            <w:r>
              <w:rPr>
                <w:rFonts w:ascii="宋体" w:hAnsi="宋体" w:eastAsia="宋体"/>
                <w:sz w:val="24"/>
              </w:rPr>
              <w:t>(2024年度)</w:t>
            </w:r>
          </w:p>
        </w:tc>
      </w:tr>
      <w:tr w14:paraId="3A05B48B">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970D309">
            <w:pPr>
              <w:jc w:val="center"/>
            </w:pPr>
            <w:r>
              <w:rPr>
                <w:rFonts w:ascii="宋体" w:hAnsi="宋体" w:eastAsia="宋体"/>
                <w:sz w:val="16"/>
              </w:rPr>
              <w:t>项目名称</w:t>
            </w:r>
          </w:p>
        </w:tc>
        <w:tc>
          <w:tcPr>
            <w:tcW w:w="843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1D142B6">
            <w:pPr>
              <w:jc w:val="center"/>
            </w:pPr>
            <w:r>
              <w:rPr>
                <w:rFonts w:ascii="宋体" w:hAnsi="宋体" w:eastAsia="宋体"/>
                <w:sz w:val="16"/>
              </w:rPr>
              <w:t>专用设备购置项目</w:t>
            </w:r>
          </w:p>
        </w:tc>
      </w:tr>
      <w:tr w14:paraId="6C21724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930FA8A">
            <w:pPr>
              <w:jc w:val="center"/>
            </w:pPr>
            <w:r>
              <w:rPr>
                <w:rFonts w:ascii="宋体" w:hAnsi="宋体" w:eastAsia="宋体"/>
                <w:sz w:val="16"/>
              </w:rPr>
              <w:t>主管部门</w:t>
            </w:r>
          </w:p>
        </w:tc>
        <w:tc>
          <w:tcPr>
            <w:tcW w:w="45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D2E73">
            <w:pPr>
              <w:jc w:val="center"/>
            </w:pPr>
            <w:r>
              <w:rPr>
                <w:rFonts w:ascii="宋体" w:hAnsi="宋体" w:eastAsia="宋体"/>
                <w:sz w:val="16"/>
              </w:rPr>
              <w:t>喀什地区民政局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09B4B57">
            <w:pPr>
              <w:jc w:val="center"/>
            </w:pPr>
            <w:r>
              <w:rPr>
                <w:rFonts w:ascii="宋体" w:hAnsi="宋体" w:eastAsia="宋体"/>
                <w:sz w:val="16"/>
              </w:rPr>
              <w:t>实施单位</w:t>
            </w:r>
          </w:p>
        </w:tc>
        <w:tc>
          <w:tcPr>
            <w:tcW w:w="324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E97F0">
            <w:pPr>
              <w:jc w:val="center"/>
            </w:pPr>
            <w:r>
              <w:rPr>
                <w:rFonts w:ascii="宋体" w:hAnsi="宋体" w:eastAsia="宋体"/>
                <w:sz w:val="16"/>
              </w:rPr>
              <w:t>新疆维吾尔自治区喀什地区康宁医院</w:t>
            </w:r>
          </w:p>
        </w:tc>
      </w:tr>
      <w:tr w14:paraId="309E5759">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1FBB4">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9062D">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BA8B">
            <w:pPr>
              <w:jc w:val="center"/>
            </w:pPr>
            <w:r>
              <w:rPr>
                <w:rFonts w:ascii="宋体" w:hAnsi="宋体" w:eastAsia="宋体"/>
                <w:sz w:val="16"/>
              </w:rPr>
              <w:t>年初预算数</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5B60">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789C4">
            <w:pPr>
              <w:jc w:val="center"/>
            </w:pPr>
            <w:r>
              <w:rPr>
                <w:rFonts w:ascii="宋体" w:hAnsi="宋体" w:eastAsia="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B75B">
            <w:pPr>
              <w:jc w:val="center"/>
            </w:pPr>
            <w:r>
              <w:rPr>
                <w:rFonts w:ascii="宋体" w:hAnsi="宋体" w:eastAsia="宋体"/>
                <w:sz w:val="16"/>
              </w:rPr>
              <w:t>分值</w:t>
            </w:r>
          </w:p>
        </w:tc>
        <w:tc>
          <w:tcPr>
            <w:tcW w:w="12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011776">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A74E8AB">
            <w:pPr>
              <w:jc w:val="center"/>
            </w:pPr>
            <w:r>
              <w:rPr>
                <w:rFonts w:ascii="宋体" w:hAnsi="宋体" w:eastAsia="宋体"/>
                <w:sz w:val="16"/>
              </w:rPr>
              <w:t>得分</w:t>
            </w:r>
          </w:p>
        </w:tc>
      </w:tr>
      <w:tr w14:paraId="1DE61B1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509236F"/>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C206">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2E83">
            <w:pPr>
              <w:jc w:val="center"/>
            </w:pPr>
            <w:r>
              <w:rPr>
                <w:rFonts w:ascii="宋体" w:hAnsi="宋体" w:eastAsia="宋体"/>
                <w:sz w:val="16"/>
              </w:rPr>
              <w:t>364.74</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59A93">
            <w:pPr>
              <w:jc w:val="center"/>
            </w:pPr>
            <w:r>
              <w:rPr>
                <w:rFonts w:ascii="宋体" w:hAnsi="宋体" w:eastAsia="宋体"/>
                <w:sz w:val="16"/>
              </w:rPr>
              <w:t>364.74</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8D6F3">
            <w:pPr>
              <w:jc w:val="center"/>
            </w:pPr>
            <w:r>
              <w:rPr>
                <w:rFonts w:ascii="宋体" w:hAnsi="宋体" w:eastAsia="宋体"/>
                <w:sz w:val="16"/>
              </w:rPr>
              <w:t>364.53</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FA4F">
            <w:pPr>
              <w:jc w:val="center"/>
            </w:pPr>
            <w:r>
              <w:rPr>
                <w:rFonts w:ascii="宋体" w:hAnsi="宋体" w:eastAsia="宋体"/>
                <w:sz w:val="16"/>
              </w:rPr>
              <w:t>10</w:t>
            </w:r>
          </w:p>
        </w:tc>
        <w:tc>
          <w:tcPr>
            <w:tcW w:w="12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4A1EC2">
            <w:pPr>
              <w:jc w:val="center"/>
            </w:pPr>
            <w:r>
              <w:rPr>
                <w:rFonts w:ascii="宋体" w:hAnsi="宋体" w:eastAsia="宋体"/>
                <w:sz w:val="16"/>
              </w:rPr>
              <w:t>99.9%</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59AAB29">
            <w:pPr>
              <w:jc w:val="center"/>
            </w:pPr>
            <w:r>
              <w:rPr>
                <w:rFonts w:ascii="宋体" w:hAnsi="宋体" w:eastAsia="宋体"/>
                <w:sz w:val="16"/>
              </w:rPr>
              <w:t>9.98分</w:t>
            </w:r>
          </w:p>
        </w:tc>
      </w:tr>
      <w:tr w14:paraId="14D54C4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DFE58FE"/>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7079">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3A7C">
            <w:pPr>
              <w:jc w:val="center"/>
            </w:pPr>
            <w:r>
              <w:rPr>
                <w:rFonts w:ascii="宋体" w:hAnsi="宋体" w:eastAsia="宋体"/>
                <w:sz w:val="16"/>
              </w:rPr>
              <w:t>0.00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7BFB">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95985">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BFE34">
            <w:pPr>
              <w:jc w:val="center"/>
            </w:pPr>
            <w:r>
              <w:rPr>
                <w:rFonts w:ascii="宋体" w:hAnsi="宋体" w:eastAsia="宋体"/>
                <w:sz w:val="16"/>
              </w:rPr>
              <w:t>—</w:t>
            </w:r>
          </w:p>
        </w:tc>
        <w:tc>
          <w:tcPr>
            <w:tcW w:w="12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8DBBDC">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CCF9DA1">
            <w:pPr>
              <w:jc w:val="center"/>
            </w:pPr>
            <w:r>
              <w:rPr>
                <w:rFonts w:ascii="宋体" w:hAnsi="宋体" w:eastAsia="宋体"/>
                <w:sz w:val="16"/>
              </w:rPr>
              <w:t>—</w:t>
            </w:r>
          </w:p>
        </w:tc>
      </w:tr>
      <w:tr w14:paraId="61D1441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5C90E82"/>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325D">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3ACD">
            <w:pPr>
              <w:jc w:val="center"/>
            </w:pPr>
            <w:r>
              <w:rPr>
                <w:rFonts w:ascii="宋体" w:hAnsi="宋体" w:eastAsia="宋体"/>
                <w:sz w:val="16"/>
              </w:rPr>
              <w:t>364.74</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F5C9E">
            <w:pPr>
              <w:jc w:val="center"/>
            </w:pPr>
            <w:r>
              <w:rPr>
                <w:rFonts w:ascii="宋体" w:hAnsi="宋体" w:eastAsia="宋体"/>
                <w:sz w:val="16"/>
              </w:rPr>
              <w:t>364.74</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5BFE">
            <w:pPr>
              <w:jc w:val="center"/>
            </w:pPr>
            <w:r>
              <w:rPr>
                <w:rFonts w:ascii="宋体" w:hAnsi="宋体" w:eastAsia="宋体"/>
                <w:sz w:val="16"/>
              </w:rPr>
              <w:t>364.53</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3862">
            <w:pPr>
              <w:jc w:val="center"/>
            </w:pPr>
            <w:r>
              <w:rPr>
                <w:rFonts w:ascii="宋体" w:hAnsi="宋体" w:eastAsia="宋体"/>
                <w:sz w:val="16"/>
              </w:rPr>
              <w:t>—</w:t>
            </w:r>
          </w:p>
        </w:tc>
        <w:tc>
          <w:tcPr>
            <w:tcW w:w="12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F3CE8">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87D3CC1">
            <w:pPr>
              <w:jc w:val="center"/>
            </w:pPr>
            <w:r>
              <w:rPr>
                <w:rFonts w:ascii="宋体" w:hAnsi="宋体" w:eastAsia="宋体"/>
                <w:sz w:val="16"/>
              </w:rPr>
              <w:t>—</w:t>
            </w:r>
          </w:p>
        </w:tc>
      </w:tr>
      <w:tr w14:paraId="5DDDD5B6">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ECEEA">
            <w:pPr>
              <w:jc w:val="center"/>
            </w:pPr>
            <w:r>
              <w:rPr>
                <w:rFonts w:ascii="宋体" w:hAnsi="宋体" w:eastAsia="宋体"/>
                <w:sz w:val="16"/>
              </w:rPr>
              <w:t>三、目标完成情况</w:t>
            </w:r>
          </w:p>
        </w:tc>
        <w:tc>
          <w:tcPr>
            <w:tcW w:w="45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449C0">
            <w:pPr>
              <w:jc w:val="center"/>
            </w:pPr>
            <w:r>
              <w:rPr>
                <w:rFonts w:ascii="宋体" w:hAnsi="宋体" w:eastAsia="宋体"/>
                <w:sz w:val="16"/>
              </w:rPr>
              <w:t>预期目标</w:t>
            </w:r>
          </w:p>
        </w:tc>
        <w:tc>
          <w:tcPr>
            <w:tcW w:w="38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D1846">
            <w:pPr>
              <w:jc w:val="center"/>
            </w:pPr>
            <w:r>
              <w:rPr>
                <w:rFonts w:ascii="宋体" w:hAnsi="宋体" w:eastAsia="宋体"/>
                <w:sz w:val="16"/>
              </w:rPr>
              <w:t>实际完成情况</w:t>
            </w:r>
          </w:p>
        </w:tc>
      </w:tr>
      <w:tr w14:paraId="7794435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64F02EF"/>
        </w:tc>
        <w:tc>
          <w:tcPr>
            <w:tcW w:w="45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62C8A">
            <w:pPr>
              <w:jc w:val="both"/>
            </w:pPr>
            <w:r>
              <w:rPr>
                <w:rFonts w:ascii="宋体" w:hAnsi="宋体" w:eastAsia="宋体"/>
                <w:sz w:val="16"/>
              </w:rPr>
              <w:t>此项目预算数364.74万元，通过购买办公设备227个48.39万元，专用设备253个316.35万元，康宁医院就诊能力提升，从而提高喀什地区康宁医院医疗服务能力，有效开展救治工作,有效提高精神障碍患者就诊救治需求，为严重精神障碍患者提供安全，有效，方便的医疗卫生服务每一名重症精神障碍患者及时得到救治。</w:t>
            </w:r>
          </w:p>
        </w:tc>
        <w:tc>
          <w:tcPr>
            <w:tcW w:w="38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F163A">
            <w:pPr>
              <w:jc w:val="both"/>
            </w:pPr>
            <w:r>
              <w:rPr>
                <w:rFonts w:ascii="宋体" w:hAnsi="宋体" w:eastAsia="宋体"/>
                <w:sz w:val="16"/>
              </w:rPr>
              <w:t>此项目</w:t>
            </w:r>
            <w:r>
              <w:rPr>
                <w:rFonts w:hint="eastAsia" w:ascii="宋体" w:hAnsi="宋体"/>
                <w:sz w:val="16"/>
                <w:lang w:eastAsia="zh-CN"/>
              </w:rPr>
              <w:t>截至2024</w:t>
            </w:r>
            <w:r>
              <w:rPr>
                <w:rFonts w:ascii="宋体" w:hAnsi="宋体" w:eastAsia="宋体"/>
                <w:sz w:val="16"/>
              </w:rPr>
              <w:t>年12月25日已支付了364.53万元，通过购买办公设备299台，专用设备168台，康宁医院就诊能力提升，从而提高喀什地区康宁医院医疗服务能力，有效开展救治工作,有效提高精神障碍患者就诊救治需求，取得了较好的成绩。</w:t>
            </w:r>
          </w:p>
        </w:tc>
      </w:tr>
      <w:tr w14:paraId="0ED470F1">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16B8CF93"/>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27E7A00">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E71429B">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08A11EC">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95D36D">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403B6B6">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CD7F91C">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9AF8484">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F16356A">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C520D98">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488627">
            <w:pPr>
              <w:jc w:val="center"/>
            </w:pPr>
            <w:r>
              <w:rPr>
                <w:rFonts w:ascii="宋体" w:hAnsi="宋体" w:eastAsia="宋体"/>
                <w:sz w:val="16"/>
              </w:rPr>
              <w:t>实际完成值</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B23A9">
            <w:pPr>
              <w:jc w:val="center"/>
            </w:pPr>
            <w:r>
              <w:rPr>
                <w:rFonts w:ascii="宋体" w:hAnsi="宋体" w:eastAsia="宋体"/>
                <w:sz w:val="16"/>
              </w:rPr>
              <w:t>得分</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2BF36">
            <w:pPr>
              <w:jc w:val="center"/>
            </w:pPr>
            <w:r>
              <w:rPr>
                <w:rFonts w:ascii="宋体" w:hAnsi="宋体" w:eastAsia="宋体"/>
                <w:sz w:val="16"/>
              </w:rPr>
              <w:t>偏差原因分析及改进措施</w:t>
            </w:r>
          </w:p>
        </w:tc>
      </w:tr>
      <w:tr w14:paraId="54C40CEB">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92F3F">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76435">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33625">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3DD4B00">
            <w:pPr>
              <w:jc w:val="center"/>
            </w:pPr>
            <w:r>
              <w:rPr>
                <w:rFonts w:ascii="宋体" w:hAnsi="宋体" w:eastAsia="宋体"/>
                <w:sz w:val="16"/>
              </w:rPr>
              <w:t>办公设备数量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5B10EF">
            <w:pPr>
              <w:jc w:val="center"/>
            </w:pPr>
            <w:r>
              <w:rPr>
                <w:rFonts w:ascii="宋体" w:hAnsi="宋体" w:eastAsia="宋体"/>
                <w:sz w:val="16"/>
              </w:rPr>
              <w:t>&gt;=293个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1FEE792">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2DE100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8965ED0">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A3746C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91DF24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9A3F18">
            <w:pPr>
              <w:jc w:val="center"/>
            </w:pPr>
            <w:r>
              <w:rPr>
                <w:rFonts w:ascii="宋体" w:hAnsi="宋体" w:eastAsia="宋体"/>
                <w:sz w:val="16"/>
              </w:rPr>
              <w:t>=296个</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EE508">
            <w:pPr>
              <w:jc w:val="center"/>
            </w:pPr>
            <w:r>
              <w:rPr>
                <w:rFonts w:ascii="宋体" w:hAnsi="宋体" w:eastAsia="宋体"/>
                <w:sz w:val="16"/>
              </w:rPr>
              <w:t>9.9</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8953">
            <w:pPr>
              <w:jc w:val="center"/>
            </w:pPr>
            <w:r>
              <w:rPr>
                <w:rFonts w:ascii="宋体" w:hAnsi="宋体" w:eastAsia="宋体"/>
                <w:sz w:val="16"/>
              </w:rPr>
              <w:t>此项目出现正偏差，</w:t>
            </w:r>
            <w:r>
              <w:rPr>
                <w:rFonts w:hint="eastAsia" w:ascii="宋体" w:hAnsi="宋体"/>
                <w:sz w:val="16"/>
                <w:lang w:eastAsia="zh-CN"/>
              </w:rPr>
              <w:t>偏</w:t>
            </w:r>
            <w:r>
              <w:rPr>
                <w:rFonts w:ascii="宋体" w:hAnsi="宋体" w:eastAsia="宋体"/>
                <w:sz w:val="16"/>
              </w:rPr>
              <w:t>差原因：因工作需要多购买3</w:t>
            </w:r>
            <w:r>
              <w:rPr>
                <w:rFonts w:hint="eastAsia" w:ascii="宋体" w:hAnsi="宋体"/>
                <w:sz w:val="16"/>
                <w:lang w:eastAsia="zh-CN"/>
              </w:rPr>
              <w:t>台办</w:t>
            </w:r>
            <w:r>
              <w:rPr>
                <w:rFonts w:ascii="宋体" w:hAnsi="宋体" w:eastAsia="宋体"/>
                <w:sz w:val="16"/>
              </w:rPr>
              <w:t>公设备，故导致了偏差。改正措施：今后多查看资料合理安排预算。</w:t>
            </w:r>
          </w:p>
        </w:tc>
      </w:tr>
      <w:tr w14:paraId="6F400D6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87E8BD5"/>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BB4D71D"/>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598DCD3B"/>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EFAAD38">
            <w:pPr>
              <w:jc w:val="center"/>
            </w:pPr>
            <w:r>
              <w:rPr>
                <w:rFonts w:ascii="宋体" w:hAnsi="宋体" w:eastAsia="宋体"/>
                <w:sz w:val="16"/>
              </w:rPr>
              <w:t>专用设备数量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48CF155">
            <w:pPr>
              <w:jc w:val="center"/>
            </w:pPr>
            <w:r>
              <w:rPr>
                <w:rFonts w:ascii="宋体" w:hAnsi="宋体" w:eastAsia="宋体"/>
                <w:sz w:val="16"/>
              </w:rPr>
              <w:t>&gt;=253个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EB7FE33">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D4CEC0B">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8791B93">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E682E39">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5A25D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3F6E5A">
            <w:pPr>
              <w:jc w:val="center"/>
            </w:pPr>
            <w:r>
              <w:rPr>
                <w:rFonts w:ascii="宋体" w:hAnsi="宋体" w:eastAsia="宋体"/>
                <w:sz w:val="16"/>
              </w:rPr>
              <w:t>=168个</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45D12D6D">
            <w:pPr>
              <w:jc w:val="center"/>
            </w:pPr>
            <w:r>
              <w:rPr>
                <w:rFonts w:ascii="宋体" w:hAnsi="宋体" w:eastAsia="宋体"/>
                <w:sz w:val="16"/>
              </w:rPr>
              <w:t>1.6</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3CAF67">
            <w:pPr>
              <w:jc w:val="center"/>
            </w:pPr>
            <w:r>
              <w:rPr>
                <w:rFonts w:ascii="宋体" w:hAnsi="宋体" w:eastAsia="宋体"/>
                <w:sz w:val="16"/>
              </w:rPr>
              <w:t>偏差原因：年初预算时本来要购买100个呼叫器，后续发现普通病房不合适安装呼叫器，因此只购买了15个呼叫器，故导致了偏差。改正措施：今后多查看资料合理安排预算。</w:t>
            </w:r>
          </w:p>
        </w:tc>
      </w:tr>
      <w:tr w14:paraId="0DC95B7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324C26A"/>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23BD007"/>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C08F498">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C7691A1">
            <w:pPr>
              <w:jc w:val="center"/>
            </w:pPr>
            <w:r>
              <w:rPr>
                <w:rFonts w:ascii="宋体" w:hAnsi="宋体" w:eastAsia="宋体"/>
                <w:sz w:val="16"/>
              </w:rPr>
              <w:t>办公设备，专用设备购置验收合格率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539079">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83FEFE1">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4F40A8">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CD0C381">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3818B84">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72AD85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5B51A5">
            <w:pPr>
              <w:jc w:val="center"/>
            </w:pPr>
            <w:r>
              <w:rPr>
                <w:rFonts w:ascii="宋体" w:hAnsi="宋体" w:eastAsia="宋体"/>
                <w:sz w:val="16"/>
              </w:rPr>
              <w:t>=100%</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54C9175C">
            <w:pPr>
              <w:jc w:val="center"/>
            </w:pPr>
            <w:r>
              <w:rPr>
                <w:rFonts w:ascii="宋体" w:hAnsi="宋体" w:eastAsia="宋体"/>
                <w:sz w:val="16"/>
              </w:rPr>
              <w:t>10</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8FE8DE">
            <w:pPr>
              <w:jc w:val="center"/>
            </w:pPr>
          </w:p>
        </w:tc>
      </w:tr>
      <w:tr w14:paraId="6D4AB94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09EC4C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F6582E9"/>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0AFA8EF">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2F0D649">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55A1379">
            <w:pPr>
              <w:jc w:val="center"/>
            </w:pPr>
            <w:r>
              <w:rPr>
                <w:rFonts w:ascii="宋体" w:hAnsi="宋体" w:eastAsia="宋体"/>
                <w:sz w:val="16"/>
              </w:rPr>
              <w:t>=2024年12月25日前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15BF561">
            <w:pPr>
              <w:jc w:val="center"/>
            </w:pPr>
            <w:r>
              <w:rPr>
                <w:rFonts w:ascii="宋体" w:hAnsi="宋体" w:eastAsia="宋体"/>
                <w:sz w:val="16"/>
              </w:rPr>
              <w:t>其他标准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A4BE32A">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37CE893">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133EC0E">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0B5149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467C8D">
            <w:pPr>
              <w:jc w:val="center"/>
            </w:pPr>
            <w:r>
              <w:rPr>
                <w:rFonts w:ascii="宋体" w:hAnsi="宋体" w:eastAsia="宋体"/>
                <w:sz w:val="16"/>
              </w:rPr>
              <w:t>2024年12月25日</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085CBF8E">
            <w:pPr>
              <w:jc w:val="center"/>
            </w:pPr>
            <w:r>
              <w:rPr>
                <w:rFonts w:ascii="宋体" w:hAnsi="宋体" w:eastAsia="宋体"/>
                <w:sz w:val="16"/>
              </w:rPr>
              <w:t>10</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E3D12C">
            <w:pPr>
              <w:jc w:val="center"/>
            </w:pPr>
          </w:p>
        </w:tc>
      </w:tr>
      <w:tr w14:paraId="230C99F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FB4F4BF"/>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0E864">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AAAC3">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AEBB081">
            <w:pPr>
              <w:jc w:val="center"/>
            </w:pPr>
            <w:r>
              <w:rPr>
                <w:rFonts w:ascii="宋体" w:hAnsi="宋体" w:eastAsia="宋体"/>
                <w:sz w:val="16"/>
              </w:rPr>
              <w:t>办公设备成本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5078B3">
            <w:pPr>
              <w:jc w:val="center"/>
            </w:pPr>
            <w:r>
              <w:rPr>
                <w:rFonts w:ascii="宋体" w:hAnsi="宋体" w:eastAsia="宋体"/>
                <w:sz w:val="16"/>
              </w:rPr>
              <w:t>&lt;=48.39万元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0F94E3">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8D5406C">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CC6B476">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1CE18D8">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01D80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9F93CC">
            <w:pPr>
              <w:jc w:val="center"/>
            </w:pPr>
            <w:r>
              <w:rPr>
                <w:rFonts w:ascii="宋体" w:hAnsi="宋体" w:eastAsia="宋体"/>
                <w:sz w:val="16"/>
              </w:rPr>
              <w:t>=47.89万元</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3E8AE554">
            <w:pPr>
              <w:jc w:val="center"/>
            </w:pPr>
            <w:r>
              <w:rPr>
                <w:rFonts w:ascii="宋体" w:hAnsi="宋体" w:eastAsia="宋体"/>
                <w:sz w:val="16"/>
              </w:rPr>
              <w:t>9.74</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8A2BF9">
            <w:pPr>
              <w:jc w:val="center"/>
            </w:pPr>
            <w:r>
              <w:rPr>
                <w:rFonts w:ascii="宋体" w:hAnsi="宋体" w:eastAsia="宋体"/>
                <w:sz w:val="16"/>
              </w:rPr>
              <w:t>偏差原因：有些办公设备价格高于年初预算成本，故导致了偏差。改正措施：今后多查看资料合理安排预算。</w:t>
            </w:r>
          </w:p>
        </w:tc>
      </w:tr>
      <w:tr w14:paraId="4181F92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250A65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3C0F751"/>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6B7FA73"/>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4722EFC">
            <w:pPr>
              <w:jc w:val="center"/>
            </w:pPr>
            <w:r>
              <w:rPr>
                <w:rFonts w:ascii="宋体" w:hAnsi="宋体" w:eastAsia="宋体"/>
                <w:sz w:val="16"/>
              </w:rPr>
              <w:t>专用设备成本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38B5C8">
            <w:pPr>
              <w:jc w:val="center"/>
            </w:pPr>
            <w:r>
              <w:rPr>
                <w:rFonts w:ascii="宋体" w:hAnsi="宋体" w:eastAsia="宋体"/>
                <w:sz w:val="16"/>
              </w:rPr>
              <w:t>&lt;=316.35万元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84943DC">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EFAAD9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DBBD266">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4678A05">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A37AEE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AAFE09">
            <w:pPr>
              <w:jc w:val="center"/>
            </w:pPr>
            <w:r>
              <w:rPr>
                <w:rFonts w:ascii="宋体" w:hAnsi="宋体" w:eastAsia="宋体"/>
                <w:sz w:val="16"/>
              </w:rPr>
              <w:t>=316.64万元</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795C378D">
            <w:pPr>
              <w:jc w:val="center"/>
            </w:pPr>
            <w:r>
              <w:rPr>
                <w:rFonts w:ascii="宋体" w:hAnsi="宋体" w:eastAsia="宋体"/>
                <w:sz w:val="16"/>
              </w:rPr>
              <w:t>9.99</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18AAA0">
            <w:pPr>
              <w:jc w:val="center"/>
            </w:pPr>
          </w:p>
        </w:tc>
      </w:tr>
      <w:tr w14:paraId="1599450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177A551"/>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43A637">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D9E66F3">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4DEF9DA">
            <w:pPr>
              <w:jc w:val="center"/>
            </w:pPr>
            <w:r>
              <w:rPr>
                <w:rFonts w:ascii="宋体" w:hAnsi="宋体" w:eastAsia="宋体"/>
                <w:sz w:val="16"/>
              </w:rPr>
              <w:t>提高医疗服务水平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1E9498">
            <w:pPr>
              <w:jc w:val="center"/>
            </w:pPr>
            <w:r>
              <w:rPr>
                <w:rFonts w:ascii="宋体" w:hAnsi="宋体" w:eastAsia="宋体"/>
                <w:sz w:val="16"/>
              </w:rPr>
              <w:t>提高</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6D35D63">
            <w:pPr>
              <w:jc w:val="center"/>
            </w:pPr>
            <w:r>
              <w:rPr>
                <w:rFonts w:ascii="宋体" w:hAnsi="宋体" w:eastAsia="宋体"/>
                <w:sz w:val="16"/>
              </w:rPr>
              <w:t>其他标准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128C503">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43075DC">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E2C2249">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D92284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8CCB2C">
            <w:pPr>
              <w:jc w:val="center"/>
            </w:pPr>
            <w:r>
              <w:rPr>
                <w:rFonts w:ascii="宋体" w:hAnsi="宋体" w:eastAsia="宋体"/>
                <w:sz w:val="16"/>
              </w:rPr>
              <w:t>提高</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24C4AC53">
            <w:pPr>
              <w:jc w:val="center"/>
            </w:pPr>
            <w:r>
              <w:rPr>
                <w:rFonts w:ascii="宋体" w:hAnsi="宋体" w:eastAsia="宋体"/>
                <w:sz w:val="16"/>
              </w:rPr>
              <w:t>20</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CF1B7D">
            <w:pPr>
              <w:jc w:val="center"/>
            </w:pPr>
          </w:p>
        </w:tc>
      </w:tr>
      <w:tr w14:paraId="25BAD67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D310E29"/>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CE94047">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98320D">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F677BF8">
            <w:pPr>
              <w:jc w:val="center"/>
            </w:pPr>
            <w:r>
              <w:rPr>
                <w:rFonts w:ascii="宋体" w:hAnsi="宋体" w:eastAsia="宋体"/>
                <w:sz w:val="16"/>
              </w:rPr>
              <w:t>使用人员满意度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F5897FD">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BDDDC09">
            <w:pPr>
              <w:jc w:val="center"/>
            </w:pPr>
            <w:r>
              <w:rPr>
                <w:rFonts w:ascii="宋体" w:hAnsi="宋体" w:eastAsia="宋体"/>
                <w:sz w:val="16"/>
              </w:rPr>
              <w:t>其他标准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066F9D">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B4DDB4D">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38AB7D5">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36AD0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5C84DF">
            <w:pPr>
              <w:jc w:val="center"/>
            </w:pPr>
            <w:r>
              <w:rPr>
                <w:rFonts w:ascii="宋体" w:hAnsi="宋体" w:eastAsia="宋体"/>
                <w:sz w:val="16"/>
              </w:rPr>
              <w:t>=100%</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5CCAD3C5">
            <w:pPr>
              <w:jc w:val="center"/>
            </w:pPr>
            <w:r>
              <w:rPr>
                <w:rFonts w:ascii="宋体" w:hAnsi="宋体" w:eastAsia="宋体"/>
                <w:sz w:val="16"/>
              </w:rPr>
              <w:t>10</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A28380">
            <w:pPr>
              <w:jc w:val="center"/>
            </w:pPr>
          </w:p>
        </w:tc>
      </w:tr>
      <w:tr w14:paraId="5698B33A">
        <w:tblPrEx>
          <w:tblCellMar>
            <w:top w:w="0" w:type="dxa"/>
            <w:left w:w="108" w:type="dxa"/>
            <w:bottom w:w="0" w:type="dxa"/>
            <w:right w:w="108" w:type="dxa"/>
          </w:tblCellMar>
        </w:tblPrEx>
        <w:tc>
          <w:tcPr>
            <w:tcW w:w="45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EF75D">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66E7BD9">
            <w:pPr>
              <w:jc w:val="center"/>
            </w:pPr>
            <w:r>
              <w:rPr>
                <w:rFonts w:ascii="宋体" w:hAnsi="宋体" w:eastAsia="宋体"/>
                <w:sz w:val="16"/>
              </w:rPr>
              <w:t>100</w:t>
            </w:r>
          </w:p>
        </w:tc>
        <w:tc>
          <w:tcPr>
            <w:tcW w:w="2008" w:type="dxa"/>
            <w:gridSpan w:val="3"/>
            <w:tcBorders>
              <w:top w:val="single" w:color="auto" w:sz="10" w:space="0"/>
              <w:left w:val="single" w:color="auto" w:sz="10" w:space="0"/>
              <w:bottom w:val="single" w:color="auto" w:sz="10" w:space="0"/>
              <w:right w:val="single" w:color="auto" w:sz="10" w:space="0"/>
              <w:insideV w:val="single" w:sz="10" w:space="0"/>
            </w:tcBorders>
          </w:tcPr>
          <w:p w14:paraId="196ADE91"/>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206D642B">
            <w:pPr>
              <w:jc w:val="center"/>
            </w:pPr>
            <w:r>
              <w:rPr>
                <w:rFonts w:ascii="宋体" w:hAnsi="宋体" w:eastAsia="宋体"/>
                <w:sz w:val="16"/>
              </w:rPr>
              <w:t>91.21分</w:t>
            </w:r>
          </w:p>
        </w:tc>
        <w:tc>
          <w:tcPr>
            <w:tcW w:w="1386" w:type="dxa"/>
            <w:gridSpan w:val="3"/>
            <w:tcBorders>
              <w:top w:val="single" w:color="auto" w:sz="10" w:space="0"/>
              <w:left w:val="single" w:color="auto" w:sz="10" w:space="0"/>
              <w:bottom w:val="single" w:color="auto" w:sz="10" w:space="0"/>
              <w:right w:val="single" w:color="auto" w:sz="10" w:space="0"/>
              <w:insideV w:val="single" w:sz="10" w:space="0"/>
            </w:tcBorders>
          </w:tcPr>
          <w:p w14:paraId="43E67380"/>
        </w:tc>
      </w:tr>
    </w:tbl>
    <w:p w14:paraId="009B28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408B767">
        <w:tblPrEx>
          <w:tblCellMar>
            <w:top w:w="0" w:type="dxa"/>
            <w:left w:w="108" w:type="dxa"/>
            <w:bottom w:w="0" w:type="dxa"/>
            <w:right w:w="108" w:type="dxa"/>
          </w:tblCellMar>
        </w:tblPrEx>
        <w:tc>
          <w:tcPr>
            <w:tcW w:w="8848" w:type="dxa"/>
            <w:gridSpan w:val="14"/>
            <w:vAlign w:val="center"/>
          </w:tcPr>
          <w:p w14:paraId="0314A69B">
            <w:pPr>
              <w:jc w:val="center"/>
            </w:pPr>
            <w:r>
              <w:rPr>
                <w:rFonts w:ascii="宋体" w:hAnsi="宋体" w:eastAsia="宋体"/>
                <w:sz w:val="24"/>
              </w:rPr>
              <w:t>项目支出绩效自评表</w:t>
            </w:r>
          </w:p>
        </w:tc>
      </w:tr>
      <w:tr w14:paraId="5A01BAA8">
        <w:tblPrEx>
          <w:tblCellMar>
            <w:top w:w="0" w:type="dxa"/>
            <w:left w:w="108" w:type="dxa"/>
            <w:bottom w:w="0" w:type="dxa"/>
            <w:right w:w="108" w:type="dxa"/>
          </w:tblCellMar>
        </w:tblPrEx>
        <w:tc>
          <w:tcPr>
            <w:tcW w:w="8848" w:type="dxa"/>
            <w:gridSpan w:val="14"/>
            <w:vAlign w:val="center"/>
          </w:tcPr>
          <w:p w14:paraId="017A07D2">
            <w:pPr>
              <w:jc w:val="center"/>
            </w:pPr>
            <w:r>
              <w:rPr>
                <w:rFonts w:ascii="宋体" w:hAnsi="宋体" w:eastAsia="宋体"/>
                <w:sz w:val="24"/>
              </w:rPr>
              <w:t>(2024年度)</w:t>
            </w:r>
          </w:p>
        </w:tc>
      </w:tr>
      <w:tr w14:paraId="564425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49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EFBFFD">
            <w:pPr>
              <w:jc w:val="center"/>
            </w:pPr>
            <w:r>
              <w:rPr>
                <w:rFonts w:ascii="宋体" w:hAnsi="宋体" w:eastAsia="宋体"/>
                <w:sz w:val="16"/>
              </w:rPr>
              <w:t>中央重大传染病防控补助项目</w:t>
            </w:r>
          </w:p>
        </w:tc>
      </w:tr>
      <w:tr w14:paraId="1AB06F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86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8E1A2">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7D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950923">
            <w:pPr>
              <w:jc w:val="center"/>
            </w:pPr>
            <w:r>
              <w:rPr>
                <w:rFonts w:ascii="宋体" w:hAnsi="宋体" w:eastAsia="宋体"/>
                <w:sz w:val="16"/>
              </w:rPr>
              <w:t>新疆维吾尔自治区喀什地区康宁医院</w:t>
            </w:r>
          </w:p>
        </w:tc>
      </w:tr>
      <w:tr w14:paraId="2184BF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684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C32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7E3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24A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A4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C4D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F2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630D">
            <w:pPr>
              <w:jc w:val="center"/>
            </w:pPr>
            <w:r>
              <w:rPr>
                <w:rFonts w:ascii="宋体" w:hAnsi="宋体" w:eastAsia="宋体"/>
                <w:sz w:val="16"/>
              </w:rPr>
              <w:t>得分</w:t>
            </w:r>
          </w:p>
        </w:tc>
      </w:tr>
      <w:tr w14:paraId="02CF1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51C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F3C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9D45B">
            <w:pPr>
              <w:jc w:val="center"/>
            </w:pPr>
            <w:r>
              <w:rPr>
                <w:rFonts w:ascii="宋体" w:hAnsi="宋体" w:eastAsia="宋体"/>
                <w:sz w:val="16"/>
              </w:rPr>
              <w:t>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FF1E">
            <w:pPr>
              <w:jc w:val="center"/>
            </w:pPr>
            <w:r>
              <w:rPr>
                <w:rFonts w:ascii="宋体" w:hAnsi="宋体" w:eastAsia="宋体"/>
                <w:sz w:val="16"/>
              </w:rPr>
              <w:t>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5A02">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482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C92F">
            <w:pPr>
              <w:jc w:val="center"/>
            </w:pPr>
            <w:r>
              <w:rPr>
                <w:rFonts w:ascii="宋体" w:hAnsi="宋体" w:eastAsia="宋体"/>
                <w:sz w:val="16"/>
              </w:rPr>
              <w:t>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72B2">
            <w:pPr>
              <w:jc w:val="center"/>
            </w:pPr>
            <w:r>
              <w:rPr>
                <w:rFonts w:ascii="宋体" w:hAnsi="宋体" w:eastAsia="宋体"/>
                <w:sz w:val="16"/>
              </w:rPr>
              <w:t>5.44分</w:t>
            </w:r>
          </w:p>
        </w:tc>
      </w:tr>
      <w:tr w14:paraId="709EF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45B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3A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3C5E">
            <w:pPr>
              <w:jc w:val="center"/>
            </w:pPr>
            <w:r>
              <w:rPr>
                <w:rFonts w:ascii="宋体" w:hAnsi="宋体" w:eastAsia="宋体"/>
                <w:sz w:val="16"/>
              </w:rPr>
              <w:t>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1BF9C">
            <w:pPr>
              <w:jc w:val="center"/>
            </w:pPr>
            <w:r>
              <w:rPr>
                <w:rFonts w:ascii="宋体" w:hAnsi="宋体" w:eastAsia="宋体"/>
                <w:sz w:val="16"/>
              </w:rPr>
              <w:t>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4477">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DC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56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02F7">
            <w:pPr>
              <w:jc w:val="center"/>
            </w:pPr>
            <w:r>
              <w:rPr>
                <w:rFonts w:ascii="宋体" w:hAnsi="宋体" w:eastAsia="宋体"/>
                <w:sz w:val="16"/>
              </w:rPr>
              <w:t>—</w:t>
            </w:r>
          </w:p>
        </w:tc>
      </w:tr>
      <w:tr w14:paraId="69137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24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8C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933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CE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068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ED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A60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8109">
            <w:pPr>
              <w:jc w:val="center"/>
            </w:pPr>
            <w:r>
              <w:rPr>
                <w:rFonts w:ascii="宋体" w:hAnsi="宋体" w:eastAsia="宋体"/>
                <w:sz w:val="16"/>
              </w:rPr>
              <w:t>—</w:t>
            </w:r>
          </w:p>
        </w:tc>
      </w:tr>
      <w:tr w14:paraId="1D04DE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8B8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B8B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0F0F7">
            <w:pPr>
              <w:jc w:val="center"/>
            </w:pPr>
            <w:r>
              <w:rPr>
                <w:rFonts w:ascii="宋体" w:hAnsi="宋体" w:eastAsia="宋体"/>
                <w:sz w:val="16"/>
              </w:rPr>
              <w:t>实际完成情况</w:t>
            </w:r>
          </w:p>
        </w:tc>
      </w:tr>
      <w:tr w14:paraId="6DB60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13B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78DE7">
            <w:pPr>
              <w:jc w:val="both"/>
            </w:pPr>
            <w:r>
              <w:rPr>
                <w:rFonts w:ascii="宋体" w:hAnsi="宋体" w:eastAsia="宋体"/>
                <w:sz w:val="16"/>
              </w:rPr>
              <w:t>加强严重精神障碍患者筛查，登记报告和随访服务，开展社会心理服务体系建设试点，开展农村地区贫困癫痫患者筛查登记报告和随访管理，提高患者治疗率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E86448">
            <w:pPr>
              <w:jc w:val="both"/>
            </w:pPr>
            <w:r>
              <w:rPr>
                <w:rFonts w:ascii="宋体" w:hAnsi="宋体" w:eastAsia="宋体"/>
                <w:sz w:val="16"/>
              </w:rPr>
              <w:t>此项目截至目前已检查病人125人，免费发药病人数量176人，减少精神障碍患者与其家庭经济困难，提高严重精神障碍患者规范管理水平，减少精神障碍患者对社会的危害。</w:t>
            </w:r>
          </w:p>
        </w:tc>
      </w:tr>
      <w:tr w14:paraId="50F147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300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D9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0D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A6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81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43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8D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09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2F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1D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15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09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B52DF">
            <w:pPr>
              <w:jc w:val="center"/>
            </w:pPr>
            <w:r>
              <w:rPr>
                <w:rFonts w:ascii="宋体" w:hAnsi="宋体" w:eastAsia="宋体"/>
                <w:sz w:val="16"/>
              </w:rPr>
              <w:t>偏差原因分析及改进措施</w:t>
            </w:r>
          </w:p>
        </w:tc>
      </w:tr>
      <w:tr w14:paraId="3AACA2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94E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1CD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058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0AB4">
            <w:pPr>
              <w:jc w:val="center"/>
            </w:pPr>
            <w:r>
              <w:rPr>
                <w:rFonts w:ascii="宋体" w:hAnsi="宋体" w:eastAsia="宋体"/>
                <w:sz w:val="16"/>
              </w:rPr>
              <w:t>精神障碍患者专项检查人数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8717">
            <w:pPr>
              <w:jc w:val="center"/>
            </w:pPr>
            <w:r>
              <w:rPr>
                <w:rFonts w:ascii="宋体" w:hAnsi="宋体" w:eastAsia="宋体"/>
                <w:sz w:val="16"/>
              </w:rPr>
              <w:t>&gt;=96人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9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B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EF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3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F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391E">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F42A">
            <w:pPr>
              <w:jc w:val="center"/>
            </w:pPr>
            <w:r>
              <w:rPr>
                <w:rFonts w:ascii="宋体" w:hAnsi="宋体" w:eastAsia="宋体"/>
                <w:sz w:val="16"/>
              </w:rPr>
              <w:t>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0EF1">
            <w:pPr>
              <w:jc w:val="center"/>
            </w:pPr>
            <w:r>
              <w:rPr>
                <w:rFonts w:ascii="宋体" w:hAnsi="宋体" w:eastAsia="宋体"/>
                <w:sz w:val="16"/>
              </w:rPr>
              <w:t>此项目出现正偏差。偏差原因：喀什精神项目办来我院指导工作时，安排降低检查病人成本，故检查人数增多。改进措施：今后及时调整目标表。</w:t>
            </w:r>
          </w:p>
        </w:tc>
      </w:tr>
      <w:tr w14:paraId="24EAC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84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B4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86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63F8">
            <w:pPr>
              <w:jc w:val="center"/>
            </w:pPr>
            <w:r>
              <w:rPr>
                <w:rFonts w:ascii="宋体" w:hAnsi="宋体" w:eastAsia="宋体"/>
                <w:sz w:val="16"/>
              </w:rPr>
              <w:t>精神障碍患者药物治疗人数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03B3">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8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53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26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4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BD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4906">
            <w:pPr>
              <w:jc w:val="center"/>
            </w:pPr>
            <w:r>
              <w:rPr>
                <w:rFonts w:ascii="宋体" w:hAnsi="宋体" w:eastAsia="宋体"/>
                <w:sz w:val="16"/>
              </w:rPr>
              <w:t>=176人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9310">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3D7A">
            <w:pPr>
              <w:jc w:val="center"/>
            </w:pPr>
            <w:r>
              <w:rPr>
                <w:rFonts w:ascii="宋体" w:hAnsi="宋体" w:eastAsia="宋体"/>
                <w:sz w:val="16"/>
              </w:rPr>
              <w:t>此项目出现正偏差。偏差原因：喀什精神项目办来我院指导工作时，安排降低药物治疗成本，故发药人数增多。改进措施：今后及时调整目标表。</w:t>
            </w:r>
          </w:p>
        </w:tc>
      </w:tr>
      <w:tr w14:paraId="73395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1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E5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D0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01C5">
            <w:pPr>
              <w:jc w:val="center"/>
            </w:pPr>
            <w:r>
              <w:rPr>
                <w:rFonts w:ascii="宋体" w:hAnsi="宋体" w:eastAsia="宋体"/>
                <w:sz w:val="16"/>
              </w:rPr>
              <w:t>在册严重精神障碍患者管理率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7D7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8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0D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F9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4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F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417E">
            <w:pPr>
              <w:jc w:val="center"/>
            </w:pPr>
            <w:r>
              <w:rPr>
                <w:rFonts w:ascii="宋体" w:hAnsi="宋体" w:eastAsia="宋体"/>
                <w:sz w:val="16"/>
              </w:rPr>
              <w:t>=65.12%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B173">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424C8">
            <w:pPr>
              <w:jc w:val="center"/>
            </w:pPr>
            <w:r>
              <w:rPr>
                <w:rFonts w:ascii="宋体" w:hAnsi="宋体" w:eastAsia="宋体"/>
                <w:sz w:val="16"/>
              </w:rPr>
              <w:t>偏差原因：喀什精神项目办来我院指导工作时，安排增加药物治疗和检查病人数量，导致出现偏差。改进措施：今后及时调整目标表。</w:t>
            </w:r>
          </w:p>
        </w:tc>
      </w:tr>
      <w:tr w14:paraId="38E9D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AA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9FE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658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8E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4A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B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03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6D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2F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8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4587">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88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85C6">
            <w:pPr>
              <w:jc w:val="center"/>
            </w:pPr>
          </w:p>
        </w:tc>
      </w:tr>
      <w:tr w14:paraId="20B06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FF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44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F8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8AC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1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3C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85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81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D0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27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6AE5">
            <w:pPr>
              <w:jc w:val="center"/>
            </w:pPr>
            <w:r>
              <w:rPr>
                <w:rFonts w:ascii="宋体" w:hAnsi="宋体" w:eastAsia="宋体"/>
                <w:sz w:val="16"/>
              </w:rPr>
              <w:t>=81.75%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24C2">
            <w:pPr>
              <w:jc w:val="center"/>
            </w:pPr>
            <w:r>
              <w:rPr>
                <w:rFonts w:ascii="宋体" w:hAnsi="宋体" w:eastAsia="宋体"/>
                <w:sz w:val="16"/>
              </w:rPr>
              <w:t>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5022">
            <w:pPr>
              <w:jc w:val="center"/>
            </w:pPr>
            <w:r>
              <w:rPr>
                <w:rFonts w:ascii="宋体" w:hAnsi="宋体" w:eastAsia="宋体"/>
                <w:sz w:val="16"/>
              </w:rPr>
              <w:t>偏差原因：因项目检查病人成本和药物治疗成本降低，造成了部分资金的浪费。改进措施：今后多沟通相关人员设置好目标表。</w:t>
            </w:r>
          </w:p>
        </w:tc>
      </w:tr>
      <w:tr w14:paraId="0F062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CE7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F29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F4E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DAD9">
            <w:pPr>
              <w:jc w:val="center"/>
            </w:pPr>
            <w:r>
              <w:rPr>
                <w:rFonts w:ascii="宋体" w:hAnsi="宋体" w:eastAsia="宋体"/>
                <w:sz w:val="16"/>
              </w:rPr>
              <w:t>精神障碍患者专项检查成本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D642">
            <w:pPr>
              <w:jc w:val="center"/>
            </w:pPr>
            <w:r>
              <w:rPr>
                <w:rFonts w:ascii="宋体" w:hAnsi="宋体" w:eastAsia="宋体"/>
                <w:sz w:val="16"/>
              </w:rPr>
              <w:t>&lt;=2.24万元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A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1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26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0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0B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ACC5">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4E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E481B">
            <w:pPr>
              <w:jc w:val="center"/>
            </w:pPr>
            <w:r>
              <w:rPr>
                <w:rFonts w:ascii="宋体" w:hAnsi="宋体" w:eastAsia="宋体"/>
                <w:sz w:val="16"/>
              </w:rPr>
              <w:t>偏差原因：喀什精神项目办来我院指导工作时，安排降低检查病人成本，导致出现偏差。改进措施：今后多沟通相关人员设置好目标表。</w:t>
            </w:r>
          </w:p>
        </w:tc>
      </w:tr>
      <w:tr w14:paraId="04BED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15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A7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E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D72D">
            <w:pPr>
              <w:jc w:val="center"/>
            </w:pPr>
            <w:r>
              <w:rPr>
                <w:rFonts w:ascii="宋体" w:hAnsi="宋体" w:eastAsia="宋体"/>
                <w:sz w:val="16"/>
              </w:rPr>
              <w:t>流浪乞讨受助人员中危重病人、精神病人、突发疾病患者送医救治率（%）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D18A">
            <w:pPr>
              <w:jc w:val="center"/>
            </w:pPr>
            <w:r>
              <w:rPr>
                <w:rFonts w:ascii="宋体" w:hAnsi="宋体" w:eastAsia="宋体"/>
                <w:sz w:val="16"/>
              </w:rPr>
              <w:t>&lt;=7.35万元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1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A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6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B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6F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C294">
            <w:pPr>
              <w:jc w:val="center"/>
            </w:pPr>
            <w:r>
              <w:rPr>
                <w:rFonts w:ascii="宋体" w:hAnsi="宋体" w:eastAsia="宋体"/>
                <w:sz w:val="16"/>
              </w:rPr>
              <w:t>=6.72万元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C903">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2A7E8">
            <w:pPr>
              <w:jc w:val="center"/>
            </w:pPr>
            <w:r>
              <w:rPr>
                <w:rFonts w:ascii="宋体" w:hAnsi="宋体" w:eastAsia="宋体"/>
                <w:sz w:val="16"/>
              </w:rPr>
              <w:t>偏差原因：喀什精神项目办来我院指导工作时，安排降低药物治疗成本，导致出现偏差。改进措施：今后多沟通相关人员设置好目标表</w:t>
            </w:r>
          </w:p>
        </w:tc>
      </w:tr>
      <w:tr w14:paraId="63E23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C8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AF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D4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26D5">
            <w:pPr>
              <w:jc w:val="center"/>
            </w:pPr>
            <w:r>
              <w:rPr>
                <w:rFonts w:ascii="宋体" w:hAnsi="宋体" w:eastAsia="宋体"/>
                <w:sz w:val="16"/>
              </w:rPr>
              <w:t>减少精神障碍患者对社会的危害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C4BC">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31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B2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1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92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6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2E61">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BE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5192">
            <w:pPr>
              <w:jc w:val="center"/>
            </w:pPr>
          </w:p>
        </w:tc>
      </w:tr>
      <w:tr w14:paraId="2CA4C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CA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F2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7E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B1EB">
            <w:pPr>
              <w:jc w:val="center"/>
            </w:pPr>
            <w:r>
              <w:rPr>
                <w:rFonts w:ascii="宋体" w:hAnsi="宋体" w:eastAsia="宋体"/>
                <w:sz w:val="16"/>
              </w:rPr>
              <w:t>患者家属满意度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243B">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3C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8F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B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3A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71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9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54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E469">
            <w:pPr>
              <w:jc w:val="center"/>
            </w:pPr>
          </w:p>
        </w:tc>
      </w:tr>
      <w:tr w14:paraId="01A33F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A3E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9C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2F4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5C16">
            <w:pPr>
              <w:jc w:val="center"/>
            </w:pPr>
            <w:r>
              <w:rPr>
                <w:rFonts w:ascii="宋体" w:hAnsi="宋体" w:eastAsia="宋体"/>
                <w:sz w:val="16"/>
              </w:rPr>
              <w:t>67.43分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9521C2"/>
        </w:tc>
      </w:tr>
    </w:tbl>
    <w:p w14:paraId="058D74B6">
      <w:r>
        <w:br w:type="page"/>
      </w:r>
    </w:p>
    <w:p w14:paraId="7E940C78">
      <w:pPr>
        <w:spacing w:line="640" w:lineRule="exact"/>
        <w:ind w:firstLine="640"/>
        <w:jc w:val="both"/>
        <w:outlineLvl w:val="2"/>
      </w:pPr>
      <w:r>
        <w:rPr>
          <w:rFonts w:ascii="黑体" w:hAnsi="黑体" w:eastAsia="黑体"/>
          <w:sz w:val="32"/>
        </w:rPr>
        <w:t>十二、其他需说明的事项</w:t>
      </w:r>
    </w:p>
    <w:p w14:paraId="42E85BAC">
      <w:pPr>
        <w:spacing w:line="580" w:lineRule="exact"/>
        <w:ind w:firstLine="640"/>
        <w:jc w:val="both"/>
      </w:pPr>
      <w:r>
        <w:rPr>
          <w:rFonts w:ascii="仿宋_GB2312" w:hAnsi="仿宋_GB2312" w:eastAsia="仿宋_GB2312"/>
          <w:b w:val="0"/>
          <w:sz w:val="32"/>
        </w:rPr>
        <w:t>本部门无其他需说明的事项。</w:t>
      </w:r>
    </w:p>
    <w:p w14:paraId="602266FA">
      <w:r>
        <w:br w:type="page"/>
      </w:r>
    </w:p>
    <w:p w14:paraId="7015C608">
      <w:pPr>
        <w:spacing w:line="240" w:lineRule="auto"/>
        <w:jc w:val="center"/>
        <w:outlineLvl w:val="1"/>
      </w:pPr>
      <w:r>
        <w:rPr>
          <w:rFonts w:ascii="黑体" w:hAnsi="黑体" w:eastAsia="黑体"/>
          <w:sz w:val="32"/>
        </w:rPr>
        <w:t>第三部分 专业名词解释</w:t>
      </w:r>
    </w:p>
    <w:p w14:paraId="783A801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D6A75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0DBF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4FA1C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CF3E4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0EBBC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E6336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21DA2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E62A0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19026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BB12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3E0D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CDF8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601C8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391E54">
      <w:r>
        <w:br w:type="page"/>
      </w:r>
    </w:p>
    <w:p w14:paraId="0152B0CE">
      <w:pPr>
        <w:spacing w:line="240" w:lineRule="auto"/>
        <w:jc w:val="center"/>
        <w:outlineLvl w:val="1"/>
      </w:pPr>
      <w:r>
        <w:rPr>
          <w:rFonts w:ascii="黑体" w:hAnsi="黑体" w:eastAsia="黑体"/>
          <w:sz w:val="32"/>
        </w:rPr>
        <w:t>第四部分 部门决算报表（见附表）</w:t>
      </w:r>
    </w:p>
    <w:p w14:paraId="26246825">
      <w:pPr>
        <w:spacing w:line="240" w:lineRule="auto"/>
        <w:ind w:firstLine="640"/>
        <w:jc w:val="both"/>
      </w:pPr>
      <w:r>
        <w:rPr>
          <w:rFonts w:ascii="仿宋_GB2312" w:hAnsi="仿宋_GB2312" w:eastAsia="仿宋_GB2312"/>
          <w:b w:val="0"/>
          <w:sz w:val="32"/>
        </w:rPr>
        <w:t>一、《收入支出决算总表》</w:t>
      </w:r>
    </w:p>
    <w:p w14:paraId="2F70B0B6">
      <w:pPr>
        <w:spacing w:line="240" w:lineRule="auto"/>
        <w:ind w:firstLine="640"/>
        <w:jc w:val="both"/>
      </w:pPr>
      <w:r>
        <w:rPr>
          <w:rFonts w:ascii="仿宋_GB2312" w:hAnsi="仿宋_GB2312" w:eastAsia="仿宋_GB2312"/>
          <w:b w:val="0"/>
          <w:sz w:val="32"/>
        </w:rPr>
        <w:t>二、《收入决算表》</w:t>
      </w:r>
    </w:p>
    <w:p w14:paraId="2EBF5646">
      <w:pPr>
        <w:spacing w:line="240" w:lineRule="auto"/>
        <w:ind w:firstLine="640"/>
        <w:jc w:val="both"/>
      </w:pPr>
      <w:r>
        <w:rPr>
          <w:rFonts w:ascii="仿宋_GB2312" w:hAnsi="仿宋_GB2312" w:eastAsia="仿宋_GB2312"/>
          <w:b w:val="0"/>
          <w:sz w:val="32"/>
        </w:rPr>
        <w:t>三、《支出决算表》</w:t>
      </w:r>
    </w:p>
    <w:p w14:paraId="1233E548">
      <w:pPr>
        <w:spacing w:line="240" w:lineRule="auto"/>
        <w:ind w:firstLine="640"/>
        <w:jc w:val="both"/>
      </w:pPr>
      <w:r>
        <w:rPr>
          <w:rFonts w:ascii="仿宋_GB2312" w:hAnsi="仿宋_GB2312" w:eastAsia="仿宋_GB2312"/>
          <w:b w:val="0"/>
          <w:sz w:val="32"/>
        </w:rPr>
        <w:t>四、《财政拨款收入支出决算总表》</w:t>
      </w:r>
    </w:p>
    <w:p w14:paraId="3812F323">
      <w:pPr>
        <w:spacing w:line="240" w:lineRule="auto"/>
        <w:ind w:firstLine="640"/>
        <w:jc w:val="both"/>
      </w:pPr>
      <w:r>
        <w:rPr>
          <w:rFonts w:ascii="仿宋_GB2312" w:hAnsi="仿宋_GB2312" w:eastAsia="仿宋_GB2312"/>
          <w:b w:val="0"/>
          <w:sz w:val="32"/>
        </w:rPr>
        <w:t>五、《一般公共预算财政拨款支出决算表》</w:t>
      </w:r>
    </w:p>
    <w:p w14:paraId="5CF4DC5B">
      <w:pPr>
        <w:spacing w:line="240" w:lineRule="auto"/>
        <w:ind w:firstLine="640"/>
        <w:jc w:val="both"/>
      </w:pPr>
      <w:r>
        <w:rPr>
          <w:rFonts w:ascii="仿宋_GB2312" w:hAnsi="仿宋_GB2312" w:eastAsia="仿宋_GB2312"/>
          <w:b w:val="0"/>
          <w:sz w:val="32"/>
        </w:rPr>
        <w:t>六、《一般公共预算财政拨款基本支出决算表》</w:t>
      </w:r>
    </w:p>
    <w:p w14:paraId="5E878D0A">
      <w:pPr>
        <w:spacing w:line="240" w:lineRule="auto"/>
        <w:ind w:firstLine="640"/>
        <w:jc w:val="both"/>
      </w:pPr>
      <w:r>
        <w:rPr>
          <w:rFonts w:ascii="仿宋_GB2312" w:hAnsi="仿宋_GB2312" w:eastAsia="仿宋_GB2312"/>
          <w:b w:val="0"/>
          <w:sz w:val="32"/>
        </w:rPr>
        <w:t>七、《政府性基金预算财政拨款收入支出决算表》</w:t>
      </w:r>
    </w:p>
    <w:p w14:paraId="02CD76E2">
      <w:pPr>
        <w:spacing w:line="240" w:lineRule="auto"/>
        <w:ind w:firstLine="640"/>
        <w:jc w:val="both"/>
      </w:pPr>
      <w:r>
        <w:rPr>
          <w:rFonts w:ascii="仿宋_GB2312" w:hAnsi="仿宋_GB2312" w:eastAsia="仿宋_GB2312"/>
          <w:b w:val="0"/>
          <w:sz w:val="32"/>
        </w:rPr>
        <w:t>八、《国有资本经营预算财政拨款收入支出决算表》</w:t>
      </w:r>
    </w:p>
    <w:p w14:paraId="25CF2D15">
      <w:pPr>
        <w:spacing w:line="240" w:lineRule="auto"/>
        <w:ind w:firstLine="640"/>
        <w:jc w:val="both"/>
      </w:pPr>
      <w:r>
        <w:rPr>
          <w:rFonts w:ascii="仿宋_GB2312" w:hAnsi="仿宋_GB2312" w:eastAsia="仿宋_GB2312"/>
          <w:b w:val="0"/>
          <w:sz w:val="32"/>
        </w:rPr>
        <w:t>九、《财政拨款“三公”经费支出决算表》</w:t>
      </w:r>
    </w:p>
    <w:p w14:paraId="421CC48C">
      <w:pPr>
        <w:spacing w:line="240" w:lineRule="auto"/>
        <w:ind w:firstLine="640"/>
        <w:jc w:val="both"/>
      </w:pPr>
    </w:p>
    <w:p w14:paraId="14E6CF95">
      <w:pPr>
        <w:spacing w:line="240" w:lineRule="auto"/>
        <w:ind w:firstLine="640"/>
        <w:jc w:val="both"/>
      </w:pPr>
    </w:p>
    <w:p w14:paraId="66002362">
      <w:pPr>
        <w:spacing w:line="240" w:lineRule="auto"/>
        <w:ind w:firstLine="640"/>
        <w:jc w:val="both"/>
      </w:pPr>
    </w:p>
    <w:p w14:paraId="10D3BA77">
      <w:pPr>
        <w:spacing w:line="240" w:lineRule="auto"/>
        <w:ind w:firstLine="640"/>
        <w:jc w:val="both"/>
      </w:pPr>
    </w:p>
    <w:p w14:paraId="0BBEA08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06AAA5-57A8-4F79-AFE9-B35DBCAF8D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6C6D94C-84C2-4009-BCE4-8944C7DC4468}"/>
  </w:font>
  <w:font w:name="仿宋_GB2312">
    <w:panose1 w:val="02010609030101010101"/>
    <w:charset w:val="86"/>
    <w:family w:val="modern"/>
    <w:pitch w:val="default"/>
    <w:sig w:usb0="00000001" w:usb1="080E0000" w:usb2="00000000" w:usb3="00000000" w:csb0="00040000" w:csb1="00000000"/>
    <w:embedRegular r:id="rId3" w:fontKey="{C7A0AF01-B371-489E-85F8-EBE894006417}"/>
  </w:font>
  <w:font w:name="楷体_GB2312">
    <w:panose1 w:val="02010609030101010101"/>
    <w:charset w:val="86"/>
    <w:family w:val="auto"/>
    <w:pitch w:val="default"/>
    <w:sig w:usb0="00000001" w:usb1="080E0000" w:usb2="00000000" w:usb3="00000000" w:csb0="00040000" w:csb1="00000000"/>
    <w:embedRegular r:id="rId4" w:fontKey="{1501D761-EB2A-4596-9370-7E8A39CDC181}"/>
  </w:font>
  <w:font w:name="WPSEMBED19">
    <w:panose1 w:val="02010609030101010101"/>
    <w:charset w:val="86"/>
    <w:family w:val="auto"/>
    <w:pitch w:val="default"/>
    <w:sig w:usb0="00000001" w:usb1="080E0000" w:usb2="00000000" w:usb3="00000000" w:csb0="00040000" w:csb1="00000000"/>
  </w:font>
  <w:font w:name="WPSEMBED20">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303D44"/>
    <w:rsid w:val="0E4B1576"/>
    <w:rsid w:val="0EA04331"/>
    <w:rsid w:val="0F9811B3"/>
    <w:rsid w:val="1149225B"/>
    <w:rsid w:val="11E15093"/>
    <w:rsid w:val="120E0809"/>
    <w:rsid w:val="19071D6C"/>
    <w:rsid w:val="19B5554D"/>
    <w:rsid w:val="1B8F2D19"/>
    <w:rsid w:val="1C317E4F"/>
    <w:rsid w:val="1C472464"/>
    <w:rsid w:val="1DAF458D"/>
    <w:rsid w:val="1E086ACE"/>
    <w:rsid w:val="1E4B5CA5"/>
    <w:rsid w:val="1E9E0790"/>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6235</Words>
  <Characters>7358</Characters>
  <Lines>0</Lines>
  <Paragraphs>0</Paragraphs>
  <TotalTime>3</TotalTime>
  <ScaleCrop>false</ScaleCrop>
  <LinksUpToDate>false</LinksUpToDate>
  <CharactersWithSpaces>7369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2025-09-05T01:59:56Z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