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新疆维吾尔自治区喀什地区社会保险服务中心2024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1F5CAF0">
      <w:r>
        <w:br w:type="page"/>
      </w:r>
    </w:p>
    <w:p w14:paraId="2E087FDB">
      <w:pPr>
        <w:spacing w:line="640" w:lineRule="exact"/>
        <w:jc w:val="center"/>
        <w:outlineLvl w:val="1"/>
      </w:pPr>
      <w:r>
        <w:rPr>
          <w:rFonts w:ascii="黑体" w:hAnsi="黑体" w:eastAsia="黑体"/>
          <w:sz w:val="32"/>
        </w:rPr>
        <w:t>第一部分 部门概况</w:t>
      </w:r>
    </w:p>
    <w:p w14:paraId="6F3ED7B5">
      <w:pPr>
        <w:spacing w:line="640" w:lineRule="exact"/>
        <w:ind w:firstLine="640"/>
        <w:jc w:val="both"/>
        <w:outlineLvl w:val="2"/>
      </w:pPr>
      <w:r>
        <w:rPr>
          <w:rFonts w:ascii="黑体" w:hAnsi="黑体" w:eastAsia="黑体"/>
          <w:sz w:val="32"/>
        </w:rPr>
        <w:t>一、主要职能</w:t>
      </w:r>
    </w:p>
    <w:p w14:paraId="6EAF7E49">
      <w:pPr>
        <w:spacing w:line="580" w:lineRule="exact"/>
        <w:ind w:firstLine="640"/>
        <w:jc w:val="both"/>
      </w:pPr>
      <w:r>
        <w:rPr>
          <w:rFonts w:ascii="仿宋_GB2312" w:hAnsi="仿宋_GB2312" w:eastAsia="仿宋_GB2312"/>
          <w:sz w:val="32"/>
        </w:rPr>
        <w:t>（一）贯彻执行《中华人民共和国社会保险法》，宣传各项社会保险政策，扩大参保覆盖面。指导县市社会保险管理服务中心规范化开展社会保险经办服务工作。</w:t>
      </w:r>
    </w:p>
    <w:p w14:paraId="7198D851">
      <w:pPr>
        <w:spacing w:line="580" w:lineRule="exact"/>
        <w:ind w:firstLine="640"/>
        <w:jc w:val="both"/>
      </w:pPr>
      <w:r>
        <w:rPr>
          <w:rFonts w:ascii="仿宋_GB2312" w:hAnsi="仿宋_GB2312" w:eastAsia="仿宋_GB2312"/>
          <w:sz w:val="32"/>
        </w:rPr>
        <w:t>（二）负责办理社会保险登记。受理参保对象的缴费申报，核定缴费额并确定用人单位保险缴费费率。</w:t>
      </w:r>
    </w:p>
    <w:p w14:paraId="0400F85C">
      <w:pPr>
        <w:spacing w:line="580" w:lineRule="exact"/>
        <w:ind w:firstLine="640"/>
        <w:jc w:val="both"/>
      </w:pPr>
      <w:r>
        <w:rPr>
          <w:rFonts w:ascii="仿宋_GB2312" w:hAnsi="仿宋_GB2312" w:eastAsia="仿宋_GB2312"/>
          <w:sz w:val="32"/>
        </w:rPr>
        <w:t>（三）负责建立管理参保人员缴费记录和社会保险待遇权益记录。</w:t>
      </w:r>
    </w:p>
    <w:p w14:paraId="55608A58">
      <w:pPr>
        <w:spacing w:line="580" w:lineRule="exact"/>
        <w:ind w:firstLine="640"/>
        <w:jc w:val="both"/>
      </w:pPr>
      <w:r>
        <w:rPr>
          <w:rFonts w:ascii="仿宋_GB2312" w:hAnsi="仿宋_GB2312" w:eastAsia="仿宋_GB2312"/>
          <w:sz w:val="32"/>
        </w:rPr>
        <w:t>（四）负责按规定办理参保对象养老保险、职业年金转移接续手续。</w:t>
      </w:r>
    </w:p>
    <w:p w14:paraId="04496FCD">
      <w:pPr>
        <w:spacing w:line="580" w:lineRule="exact"/>
        <w:ind w:firstLine="640"/>
        <w:jc w:val="both"/>
      </w:pPr>
      <w:r>
        <w:rPr>
          <w:rFonts w:ascii="仿宋_GB2312" w:hAnsi="仿宋_GB2312" w:eastAsia="仿宋_GB2312"/>
          <w:sz w:val="32"/>
        </w:rPr>
        <w:t>（五）负责核算养老、工伤、失业保险、职业年金各项待遇。</w:t>
      </w:r>
    </w:p>
    <w:p w14:paraId="6DFF0232">
      <w:pPr>
        <w:spacing w:line="580" w:lineRule="exact"/>
        <w:ind w:firstLine="640"/>
        <w:jc w:val="both"/>
      </w:pPr>
      <w:r>
        <w:rPr>
          <w:rFonts w:ascii="仿宋_GB2312" w:hAnsi="仿宋_GB2312" w:eastAsia="仿宋_GB2312"/>
          <w:sz w:val="32"/>
        </w:rPr>
        <w:t>（六）负责养老、工伤、失业保险、职业年金各项基金的支付与结算。编制社会保险基金预、决算草案，定期向社会公布各项基金的收入、支出、结余和收益情况。负责统计各项社会保险参保扩面情况并向社会公布。</w:t>
      </w:r>
    </w:p>
    <w:p w14:paraId="17D83DE0">
      <w:pPr>
        <w:spacing w:line="580" w:lineRule="exact"/>
        <w:ind w:firstLine="640"/>
        <w:jc w:val="both"/>
      </w:pPr>
      <w:r>
        <w:rPr>
          <w:rFonts w:ascii="仿宋_GB2312" w:hAnsi="仿宋_GB2312" w:eastAsia="仿宋_GB2312"/>
          <w:sz w:val="32"/>
        </w:rPr>
        <w:t>（七）负责开展并指导县市社会保险管理服务中心服务规范化、标准化建设。落实社会保险经办机构内部控制制度，对社保经办环节、操作流程、业务经办依法合规性、规范性进行指导检查。</w:t>
      </w:r>
    </w:p>
    <w:p w14:paraId="0311E9A3">
      <w:pPr>
        <w:spacing w:line="580" w:lineRule="exact"/>
        <w:ind w:firstLine="640"/>
        <w:jc w:val="both"/>
      </w:pPr>
      <w:r>
        <w:rPr>
          <w:rFonts w:ascii="仿宋_GB2312" w:hAnsi="仿宋_GB2312" w:eastAsia="仿宋_GB2312"/>
          <w:sz w:val="32"/>
        </w:rPr>
        <w:t>（八）负责建立管理用人单位和参保对</w:t>
      </w:r>
      <w:r>
        <w:rPr>
          <w:rFonts w:hint="eastAsia" w:ascii="仿宋_GB2312" w:hAnsi="仿宋_GB2312" w:eastAsia="仿宋_GB2312"/>
          <w:sz w:val="32"/>
          <w:lang w:eastAsia="zh-CN"/>
        </w:rPr>
        <w:t>象的</w:t>
      </w:r>
      <w:r>
        <w:rPr>
          <w:rFonts w:ascii="仿宋_GB2312" w:hAnsi="仿宋_GB2312" w:eastAsia="仿宋_GB2312"/>
          <w:sz w:val="32"/>
        </w:rPr>
        <w:t>社会保险档案，并向社会提供查询和统计分析等档案利用服务。</w:t>
      </w:r>
    </w:p>
    <w:p w14:paraId="225DA41E">
      <w:pPr>
        <w:spacing w:line="580" w:lineRule="exact"/>
        <w:ind w:firstLine="640"/>
        <w:jc w:val="both"/>
      </w:pPr>
      <w:r>
        <w:rPr>
          <w:rFonts w:ascii="仿宋_GB2312" w:hAnsi="仿宋_GB2312" w:eastAsia="仿宋_GB2312"/>
          <w:sz w:val="32"/>
        </w:rPr>
        <w:t>（九）负责全地区社会保障卡经办服务工作。</w:t>
      </w:r>
    </w:p>
    <w:p w14:paraId="2655B761">
      <w:pPr>
        <w:spacing w:line="580" w:lineRule="exact"/>
        <w:ind w:firstLine="640"/>
        <w:jc w:val="both"/>
      </w:pPr>
      <w:r>
        <w:rPr>
          <w:rFonts w:ascii="仿宋_GB2312" w:hAnsi="仿宋_GB2312" w:eastAsia="仿宋_GB2312"/>
          <w:sz w:val="32"/>
        </w:rPr>
        <w:t>（十）负责离、退休人员社会化管理服务，指导县市社保经办机构及企业单位规范化开展离退休人员社会化服务管理，做好退休人员享受社会保险待遇资格认证工作。</w:t>
      </w:r>
    </w:p>
    <w:p w14:paraId="2058B160">
      <w:pPr>
        <w:spacing w:line="580" w:lineRule="exact"/>
        <w:ind w:firstLine="640"/>
        <w:jc w:val="both"/>
      </w:pPr>
      <w:r>
        <w:rPr>
          <w:rFonts w:ascii="仿宋_GB2312" w:hAnsi="仿宋_GB2312" w:eastAsia="仿宋_GB2312"/>
          <w:sz w:val="32"/>
        </w:rPr>
        <w:t>（十一）负责提供社会保险查询、咨询等相关服务，受理社会保险经办服务的举报、投诉。</w:t>
      </w:r>
    </w:p>
    <w:p w14:paraId="019C6363">
      <w:pPr>
        <w:spacing w:line="580" w:lineRule="exact"/>
        <w:ind w:firstLine="640"/>
        <w:jc w:val="both"/>
      </w:pPr>
      <w:r>
        <w:rPr>
          <w:rFonts w:ascii="仿宋_GB2312" w:hAnsi="仿宋_GB2312" w:eastAsia="仿宋_GB2312"/>
          <w:sz w:val="32"/>
        </w:rPr>
        <w:t>（十二）完成地区人力资源和社会保障局交办的其他任务。</w:t>
      </w:r>
    </w:p>
    <w:p w14:paraId="13627FB7">
      <w:pPr>
        <w:spacing w:line="640" w:lineRule="exact"/>
        <w:ind w:firstLine="640"/>
        <w:jc w:val="both"/>
        <w:outlineLvl w:val="2"/>
      </w:pPr>
      <w:r>
        <w:rPr>
          <w:rFonts w:ascii="黑体" w:hAnsi="黑体" w:eastAsia="黑体"/>
          <w:sz w:val="32"/>
        </w:rPr>
        <w:t>二、机构设置及人员情况</w:t>
      </w:r>
    </w:p>
    <w:p w14:paraId="55F8145D">
      <w:pPr>
        <w:spacing w:line="580" w:lineRule="exact"/>
        <w:ind w:firstLine="640"/>
        <w:jc w:val="both"/>
      </w:pPr>
      <w:r>
        <w:rPr>
          <w:rFonts w:ascii="仿宋_GB2312" w:hAnsi="仿宋_GB2312" w:eastAsia="仿宋_GB2312"/>
          <w:sz w:val="32"/>
        </w:rPr>
        <w:t>新疆维吾尔自治区喀什地区社会保险服务中心2024年度，实有人数84人，其中：在职人员49人，减少2人；离休人员0人，增加0人；退休人员35人,增加2人。</w:t>
      </w:r>
    </w:p>
    <w:p w14:paraId="42E06167">
      <w:pPr>
        <w:spacing w:line="580" w:lineRule="exact"/>
        <w:ind w:firstLine="640"/>
        <w:jc w:val="both"/>
      </w:pPr>
      <w:r>
        <w:rPr>
          <w:rFonts w:ascii="仿宋_GB2312" w:hAnsi="仿宋_GB2312" w:eastAsia="仿宋_GB2312"/>
          <w:sz w:val="32"/>
        </w:rPr>
        <w:t>新疆维吾尔自治区喀什地区社会保险服务中心无下属预算单位，下设11个科室，分别是：办公室、综合业务科、基金征缴科、待遇支付科、内审复核科、综合柜员管理科、基金财务与统计精算科、新农保科、机关事业养老科、业务档案科、社会化服务管理</w:t>
      </w:r>
      <w:r>
        <w:rPr>
          <w:rFonts w:hint="eastAsia" w:ascii="仿宋_GB2312" w:hAnsi="仿宋_GB2312" w:eastAsia="仿宋_GB2312"/>
          <w:sz w:val="32"/>
          <w:lang w:val="en-US" w:eastAsia="zh-CN"/>
        </w:rPr>
        <w:t>科</w:t>
      </w:r>
      <w:r>
        <w:rPr>
          <w:rFonts w:ascii="仿宋_GB2312" w:hAnsi="仿宋_GB2312" w:eastAsia="仿宋_GB2312"/>
          <w:sz w:val="32"/>
        </w:rPr>
        <w:t>。</w:t>
      </w:r>
    </w:p>
    <w:p w14:paraId="2C6E82BA">
      <w:r>
        <w:br w:type="page"/>
      </w:r>
    </w:p>
    <w:p w14:paraId="2749A8BC">
      <w:pPr>
        <w:spacing w:line="240" w:lineRule="auto"/>
        <w:jc w:val="center"/>
        <w:outlineLvl w:val="1"/>
      </w:pPr>
      <w:r>
        <w:rPr>
          <w:rFonts w:ascii="黑体" w:hAnsi="黑体" w:eastAsia="黑体"/>
          <w:sz w:val="32"/>
        </w:rPr>
        <w:t>第二部分 部门决算情况说明</w:t>
      </w:r>
    </w:p>
    <w:p w14:paraId="36328BEF">
      <w:pPr>
        <w:spacing w:line="640" w:lineRule="exact"/>
        <w:ind w:firstLine="640"/>
        <w:jc w:val="both"/>
        <w:outlineLvl w:val="2"/>
      </w:pPr>
      <w:r>
        <w:rPr>
          <w:rFonts w:ascii="黑体" w:hAnsi="黑体" w:eastAsia="黑体"/>
          <w:sz w:val="32"/>
        </w:rPr>
        <w:t>一、收入支出决算总体情况说明</w:t>
      </w:r>
    </w:p>
    <w:p w14:paraId="0761F558">
      <w:pPr>
        <w:spacing w:line="580" w:lineRule="exact"/>
        <w:ind w:firstLine="640"/>
        <w:jc w:val="both"/>
      </w:pPr>
      <w:r>
        <w:rPr>
          <w:rFonts w:ascii="仿宋_GB2312" w:hAnsi="仿宋_GB2312" w:eastAsia="仿宋_GB2312"/>
          <w:b/>
          <w:sz w:val="32"/>
        </w:rPr>
        <w:t>2024年度收入总计1,312.30万元，</w:t>
      </w:r>
      <w:r>
        <w:rPr>
          <w:rFonts w:ascii="仿宋_GB2312" w:hAnsi="仿宋_GB2312" w:eastAsia="仿宋_GB2312"/>
          <w:b w:val="0"/>
          <w:sz w:val="32"/>
        </w:rPr>
        <w:t>其中：本年收入合计1,312.30万元，使用非财政拨款结余（含专用结余）0.00万元，年初结转和结余0.00万元。</w:t>
      </w:r>
    </w:p>
    <w:p w14:paraId="10E2A35F">
      <w:pPr>
        <w:spacing w:line="580" w:lineRule="exact"/>
        <w:ind w:firstLine="640"/>
        <w:jc w:val="both"/>
      </w:pPr>
      <w:r>
        <w:rPr>
          <w:rFonts w:ascii="仿宋_GB2312" w:hAnsi="仿宋_GB2312" w:eastAsia="仿宋_GB2312"/>
          <w:b/>
          <w:sz w:val="32"/>
        </w:rPr>
        <w:t>2024年度支出总计1,312.30万元，</w:t>
      </w:r>
      <w:r>
        <w:rPr>
          <w:rFonts w:ascii="仿宋_GB2312" w:hAnsi="仿宋_GB2312" w:eastAsia="仿宋_GB2312"/>
          <w:b w:val="0"/>
          <w:sz w:val="32"/>
        </w:rPr>
        <w:t>其中：本年支出合计1,312.30万元，结余分配0.00万元，年末结转和结余0.00万元。</w:t>
      </w:r>
    </w:p>
    <w:p w14:paraId="5CA16525">
      <w:pPr>
        <w:spacing w:line="580" w:lineRule="exact"/>
        <w:ind w:firstLine="640"/>
        <w:jc w:val="both"/>
      </w:pPr>
      <w:r>
        <w:rPr>
          <w:rFonts w:ascii="仿宋_GB2312" w:hAnsi="仿宋_GB2312" w:eastAsia="仿宋_GB2312"/>
          <w:b w:val="0"/>
          <w:sz w:val="32"/>
        </w:rPr>
        <w:t>收入支出总体与上年相比，增加76.94万元，增长6.23%，主要原因是：本年在职人员工资调薪，工资、社保、公积金等相关人员经费增加。部分人员2023年中增加，只发放半年经费，24年发放全年经费，因此经费增加。</w:t>
      </w:r>
    </w:p>
    <w:p w14:paraId="49BB479C">
      <w:pPr>
        <w:spacing w:line="640" w:lineRule="exact"/>
        <w:ind w:firstLine="640"/>
        <w:jc w:val="both"/>
        <w:outlineLvl w:val="2"/>
      </w:pPr>
      <w:r>
        <w:rPr>
          <w:rFonts w:ascii="黑体" w:hAnsi="黑体" w:eastAsia="黑体"/>
          <w:sz w:val="32"/>
        </w:rPr>
        <w:t>二、收入决算情况说明</w:t>
      </w:r>
    </w:p>
    <w:p w14:paraId="7BE3F342">
      <w:pPr>
        <w:spacing w:line="580" w:lineRule="exact"/>
        <w:ind w:firstLine="640"/>
        <w:jc w:val="both"/>
      </w:pPr>
      <w:r>
        <w:rPr>
          <w:rFonts w:ascii="仿宋_GB2312" w:hAnsi="仿宋_GB2312" w:eastAsia="仿宋_GB2312"/>
          <w:b/>
          <w:sz w:val="32"/>
        </w:rPr>
        <w:t>本年收入1,312.30万元，</w:t>
      </w:r>
      <w:r>
        <w:rPr>
          <w:rFonts w:ascii="仿宋_GB2312" w:hAnsi="仿宋_GB2312" w:eastAsia="仿宋_GB2312"/>
          <w:b w:val="0"/>
          <w:sz w:val="32"/>
        </w:rPr>
        <w:t>其中：财政拨款收入1,312.30万元，占100.00%；上级补助收入0.00万元，占0.00%；事业收入0.00万元，占0.00%；经营收入0.00万元，占0.00%；附属单位上缴收入0.00万元，占0.00%；其他收入0.00万元，占0.00%。</w:t>
      </w:r>
    </w:p>
    <w:p w14:paraId="0345B09D">
      <w:pPr>
        <w:spacing w:line="640" w:lineRule="exact"/>
        <w:ind w:firstLine="640"/>
        <w:jc w:val="both"/>
        <w:outlineLvl w:val="2"/>
      </w:pPr>
      <w:r>
        <w:rPr>
          <w:rFonts w:ascii="黑体" w:hAnsi="黑体" w:eastAsia="黑体"/>
          <w:sz w:val="32"/>
        </w:rPr>
        <w:t>三、支出决算情况说明</w:t>
      </w:r>
    </w:p>
    <w:p w14:paraId="2673CE76">
      <w:pPr>
        <w:spacing w:line="580" w:lineRule="exact"/>
        <w:ind w:firstLine="640"/>
        <w:jc w:val="both"/>
      </w:pPr>
      <w:r>
        <w:rPr>
          <w:rFonts w:ascii="仿宋_GB2312" w:hAnsi="仿宋_GB2312" w:eastAsia="仿宋_GB2312"/>
          <w:b/>
          <w:sz w:val="32"/>
        </w:rPr>
        <w:t>本年支出1,312.30万元，</w:t>
      </w:r>
      <w:r>
        <w:rPr>
          <w:rFonts w:ascii="仿宋_GB2312" w:hAnsi="仿宋_GB2312" w:eastAsia="仿宋_GB2312"/>
          <w:b w:val="0"/>
          <w:sz w:val="32"/>
        </w:rPr>
        <w:t>其中：基本支出1,089.42万元，占83.02%；项目支出222.88万元，占16.98%；上缴上级支出0.00万元，占0.00%；经营支出0.00万元，占0.00%；对附属单位补助支出0.00万元，占0.00%。</w:t>
      </w:r>
    </w:p>
    <w:p w14:paraId="5B5946AC">
      <w:pPr>
        <w:spacing w:line="640" w:lineRule="exact"/>
        <w:ind w:firstLine="640"/>
        <w:jc w:val="both"/>
        <w:outlineLvl w:val="2"/>
      </w:pPr>
      <w:r>
        <w:rPr>
          <w:rFonts w:ascii="黑体" w:hAnsi="黑体" w:eastAsia="黑体"/>
          <w:sz w:val="32"/>
        </w:rPr>
        <w:t>四、财政拨款收入支出决算总体情况说明</w:t>
      </w:r>
    </w:p>
    <w:p w14:paraId="7218A66B">
      <w:pPr>
        <w:spacing w:line="580" w:lineRule="exact"/>
        <w:ind w:firstLine="640"/>
        <w:jc w:val="both"/>
      </w:pPr>
      <w:r>
        <w:rPr>
          <w:rFonts w:ascii="仿宋_GB2312" w:hAnsi="仿宋_GB2312" w:eastAsia="仿宋_GB2312"/>
          <w:b/>
          <w:sz w:val="32"/>
        </w:rPr>
        <w:t>2024年度财政拨款收入总计1,312.30万元，</w:t>
      </w:r>
      <w:r>
        <w:rPr>
          <w:rFonts w:ascii="仿宋_GB2312" w:hAnsi="仿宋_GB2312" w:eastAsia="仿宋_GB2312"/>
          <w:b w:val="0"/>
          <w:sz w:val="32"/>
        </w:rPr>
        <w:t>其中：年初财政拨款结转和结余0.00万元，本年财政拨款收入1,312.30万元。</w:t>
      </w:r>
      <w:r>
        <w:rPr>
          <w:rFonts w:ascii="仿宋_GB2312" w:hAnsi="仿宋_GB2312" w:eastAsia="仿宋_GB2312"/>
          <w:b/>
          <w:sz w:val="32"/>
        </w:rPr>
        <w:t>财政拨款支出总计1,312.30万元，</w:t>
      </w:r>
      <w:r>
        <w:rPr>
          <w:rFonts w:ascii="仿宋_GB2312" w:hAnsi="仿宋_GB2312" w:eastAsia="仿宋_GB2312"/>
          <w:b w:val="0"/>
          <w:sz w:val="32"/>
        </w:rPr>
        <w:t>其中：年末财政拨款结转和结余0.00万元，本年财政拨款支出1,312.30万元。</w:t>
      </w:r>
    </w:p>
    <w:p w14:paraId="45BB0B3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增加76.94万元，增长6.23%，主要原因是：本年在职人员工资调薪，工资、社保、公积金等相关人员经费增加。部分人员2023年中增加，只发放半年经费，24年发放全年经费，因此经费增加。</w:t>
      </w:r>
      <w:r>
        <w:rPr>
          <w:rFonts w:ascii="仿宋_GB2312" w:hAnsi="仿宋_GB2312" w:eastAsia="仿宋_GB2312"/>
          <w:b/>
          <w:sz w:val="32"/>
        </w:rPr>
        <w:t>与年初预算相比，</w:t>
      </w:r>
      <w:r>
        <w:rPr>
          <w:rFonts w:ascii="仿宋_GB2312" w:hAnsi="仿宋_GB2312" w:eastAsia="仿宋_GB2312"/>
          <w:b w:val="0"/>
          <w:sz w:val="32"/>
        </w:rPr>
        <w:t>年初预算数1,198.50万元，决算数1,312.30万元，预决算差异率9.50%，主要原因是：工作专项经费项目未列入预算，年中追加相关经费，导致预决算存在差异。</w:t>
      </w:r>
    </w:p>
    <w:p w14:paraId="3A23A3F8">
      <w:pPr>
        <w:spacing w:line="640" w:lineRule="exact"/>
        <w:ind w:firstLine="640"/>
        <w:jc w:val="both"/>
        <w:outlineLvl w:val="2"/>
      </w:pPr>
      <w:r>
        <w:rPr>
          <w:rFonts w:ascii="黑体" w:hAnsi="黑体" w:eastAsia="黑体"/>
          <w:sz w:val="32"/>
        </w:rPr>
        <w:t>五、一般公共预算财政拨款支出决算情况说明</w:t>
      </w:r>
    </w:p>
    <w:p w14:paraId="3D7DE4F2">
      <w:pPr>
        <w:spacing w:line="640" w:lineRule="exact"/>
        <w:ind w:firstLine="640"/>
        <w:jc w:val="both"/>
        <w:outlineLvl w:val="3"/>
      </w:pPr>
      <w:r>
        <w:rPr>
          <w:rFonts w:ascii="楷体_GB2312" w:hAnsi="楷体_GB2312" w:eastAsia="楷体_GB2312"/>
          <w:b/>
          <w:sz w:val="32"/>
        </w:rPr>
        <w:t>（一）一般公共预算财政拨款支出决算总体情况</w:t>
      </w:r>
    </w:p>
    <w:p w14:paraId="42213C2D">
      <w:pPr>
        <w:spacing w:line="580" w:lineRule="exact"/>
        <w:ind w:firstLine="640"/>
        <w:jc w:val="both"/>
      </w:pPr>
      <w:r>
        <w:rPr>
          <w:rFonts w:ascii="仿宋_GB2312" w:hAnsi="仿宋_GB2312" w:eastAsia="仿宋_GB2312"/>
          <w:b/>
          <w:sz w:val="32"/>
        </w:rPr>
        <w:t>2024年度一般公共预算财政拨款支出1,312.30万元，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增加76.94万元，增长6.23%，主要原因是：本年在职人员工资调薪，工资、社保、公积金等相关人员经费增加。部分人员2023年中增加，只发放半年经费，24年发放全年经费，因此经费增加。</w:t>
      </w:r>
      <w:r>
        <w:rPr>
          <w:rFonts w:ascii="仿宋_GB2312" w:hAnsi="仿宋_GB2312" w:eastAsia="仿宋_GB2312"/>
          <w:b/>
          <w:sz w:val="32"/>
        </w:rPr>
        <w:t>与年初预算相比,</w:t>
      </w:r>
      <w:r>
        <w:rPr>
          <w:rFonts w:ascii="仿宋_GB2312" w:hAnsi="仿宋_GB2312" w:eastAsia="仿宋_GB2312"/>
          <w:b w:val="0"/>
          <w:sz w:val="32"/>
        </w:rPr>
        <w:t>年初预算数1,198.50万元，决算数1,312.30万元，预决算差异率9.50%，主要原因是：工作专项经费项目未列入预算，年中追加相关经费，导致预决算存在差异。</w:t>
      </w:r>
    </w:p>
    <w:p w14:paraId="6DAA70BD">
      <w:pPr>
        <w:spacing w:line="640" w:lineRule="exact"/>
        <w:ind w:firstLine="640"/>
        <w:jc w:val="both"/>
        <w:outlineLvl w:val="3"/>
      </w:pPr>
      <w:r>
        <w:rPr>
          <w:rFonts w:ascii="楷体_GB2312" w:hAnsi="楷体_GB2312" w:eastAsia="楷体_GB2312"/>
          <w:b/>
          <w:sz w:val="32"/>
        </w:rPr>
        <w:t>（二）一般公共预算财政拨款支出决算结构情况</w:t>
      </w:r>
    </w:p>
    <w:p w14:paraId="5C6B1D2D">
      <w:pPr>
        <w:spacing w:line="580" w:lineRule="exact"/>
        <w:ind w:firstLine="640"/>
        <w:jc w:val="both"/>
      </w:pPr>
      <w:r>
        <w:rPr>
          <w:rFonts w:ascii="仿宋_GB2312" w:hAnsi="仿宋_GB2312" w:eastAsia="仿宋_GB2312"/>
          <w:b w:val="0"/>
          <w:sz w:val="32"/>
        </w:rPr>
        <w:t>1.一般公共服务支出(类)2.20万元,占0.17%。</w:t>
      </w:r>
    </w:p>
    <w:p w14:paraId="75F0B4EB">
      <w:pPr>
        <w:spacing w:line="580" w:lineRule="exact"/>
        <w:ind w:firstLine="640"/>
        <w:jc w:val="both"/>
      </w:pPr>
      <w:r>
        <w:rPr>
          <w:rFonts w:ascii="仿宋_GB2312" w:hAnsi="仿宋_GB2312" w:eastAsia="仿宋_GB2312"/>
          <w:b w:val="0"/>
          <w:sz w:val="32"/>
        </w:rPr>
        <w:t>2.社会保障和就业支出(类)1,187.04万元,占90.45%。</w:t>
      </w:r>
    </w:p>
    <w:p w14:paraId="6DE7009A">
      <w:pPr>
        <w:spacing w:line="580" w:lineRule="exact"/>
        <w:ind w:firstLine="640"/>
        <w:jc w:val="both"/>
      </w:pPr>
      <w:r>
        <w:rPr>
          <w:rFonts w:ascii="仿宋_GB2312" w:hAnsi="仿宋_GB2312" w:eastAsia="仿宋_GB2312"/>
          <w:b w:val="0"/>
          <w:sz w:val="32"/>
        </w:rPr>
        <w:t>3.卫生健康支出(类)47.46万元,占3.62%。</w:t>
      </w:r>
    </w:p>
    <w:p w14:paraId="0A2CA48D">
      <w:pPr>
        <w:spacing w:line="580" w:lineRule="exact"/>
        <w:ind w:firstLine="640"/>
        <w:jc w:val="both"/>
      </w:pPr>
      <w:r>
        <w:rPr>
          <w:rFonts w:ascii="仿宋_GB2312" w:hAnsi="仿宋_GB2312" w:eastAsia="仿宋_GB2312"/>
          <w:b w:val="0"/>
          <w:sz w:val="32"/>
        </w:rPr>
        <w:t>4.住房保障支出(类)75.60万元,占5.76%。</w:t>
      </w:r>
    </w:p>
    <w:p w14:paraId="7A8025B4">
      <w:pPr>
        <w:spacing w:line="640" w:lineRule="exact"/>
        <w:ind w:firstLine="640"/>
        <w:jc w:val="both"/>
        <w:outlineLvl w:val="3"/>
      </w:pPr>
      <w:r>
        <w:rPr>
          <w:rFonts w:ascii="楷体_GB2312" w:hAnsi="楷体_GB2312" w:eastAsia="楷体_GB2312"/>
          <w:b/>
          <w:sz w:val="32"/>
        </w:rPr>
        <w:t>（三）一般公共预算财政拨款支出决算具体情况</w:t>
      </w:r>
    </w:p>
    <w:p w14:paraId="37A27D6E">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1.一般公共服务支出(类)统战事务(款)宗教事务(项):支出决算数为2.20万元，比上年决算增加1.71万元，增长348.98%,主要原因是：本年增加个人补助自治区提标项目，导致经费较上年增加。</w:t>
      </w:r>
    </w:p>
    <w:p w14:paraId="7465AB06">
      <w:pPr>
        <w:spacing w:line="580" w:lineRule="exact"/>
        <w:ind w:firstLine="640"/>
        <w:jc w:val="both"/>
      </w:pPr>
      <w:r>
        <w:rPr>
          <w:rFonts w:ascii="仿宋_GB2312" w:hAnsi="仿宋_GB2312" w:eastAsia="仿宋_GB2312"/>
          <w:b w:val="0"/>
          <w:sz w:val="32"/>
        </w:rPr>
        <w:t>2.社会保障和就业支出(类)人力资源和社会保障管理事务(款)行政运行(项):支出决算数为765.37万元，比上年决算增加765.37万元，增长100.00%,主要原因是：本年功能科目调整，人员经费及办公经费由事业运行调整为行政运行，因此经费增加。</w:t>
      </w:r>
    </w:p>
    <w:p w14:paraId="351212FD">
      <w:pPr>
        <w:spacing w:line="580" w:lineRule="exact"/>
        <w:ind w:firstLine="640"/>
        <w:jc w:val="both"/>
      </w:pPr>
      <w:r>
        <w:rPr>
          <w:rFonts w:ascii="仿宋_GB2312" w:hAnsi="仿宋_GB2312" w:eastAsia="仿宋_GB2312"/>
          <w:b w:val="0"/>
          <w:sz w:val="32"/>
        </w:rPr>
        <w:t>3.社会保障和就业支出(类)人力资源和社会保障管理事务(款)社会保险经办机构(项):支出决算数为108.69万元，比上年决算增加2.46万元，增长2.32%,主要原因是：本年增加自治区财政社保经办机构业务补助经费。</w:t>
      </w:r>
    </w:p>
    <w:p w14:paraId="117038B6">
      <w:pPr>
        <w:spacing w:line="580" w:lineRule="exact"/>
        <w:ind w:firstLine="640"/>
        <w:jc w:val="both"/>
      </w:pPr>
      <w:r>
        <w:rPr>
          <w:rFonts w:ascii="仿宋_GB2312" w:hAnsi="仿宋_GB2312" w:eastAsia="仿宋_GB2312"/>
          <w:b w:val="0"/>
          <w:sz w:val="32"/>
        </w:rPr>
        <w:t>4.社会保障和就业支出(类)人力资源和社会保障管理事务(款)事业运行(项):支出决算数为0.00万元，比上年决算减少737.46万元，下降100.00%,主要原因是：本年功能科目调整，人员经费及办公经费由事业运行调整为行政运行，因此经费减少。</w:t>
      </w:r>
    </w:p>
    <w:p w14:paraId="4883331E">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5.社会保障和就业支出(类)行政事业单位养老支出(款)行政单位离退休(项):支出决算数为51.50万元，比上年决算增加12.96万元，增长33.63%,主要原因是：本年新增退休人员，故退休费支出增加。</w:t>
      </w:r>
    </w:p>
    <w:p w14:paraId="1E8A7A60">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6.社会保障和就业支出(类)行政事业单位养老支出(款)机关事业单位基本养老保险缴费支出(项):支出决算数为87.07万元，比上年决算增加6.97万元，增长8.70%,主要原因是：本年在职人员工资基数调增，养老缴费基数上涨，相应支出增加。</w:t>
      </w:r>
    </w:p>
    <w:p w14:paraId="393163E0">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7.社会保障和就业支出(类)行政事业单位养老支出(款)机关事业单位职业年金缴费支出(项):支出决算数为34.06万元，比上年决算增加14.96万元，增长78.32%,主要原因是：本年新增退休人员，职业年金缴费支出增加。</w:t>
      </w:r>
    </w:p>
    <w:p w14:paraId="4A95C099">
      <w:pPr>
        <w:spacing w:line="580" w:lineRule="exact"/>
        <w:ind w:firstLine="640"/>
        <w:jc w:val="both"/>
      </w:pPr>
      <w:r>
        <w:rPr>
          <w:rFonts w:ascii="仿宋_GB2312" w:hAnsi="仿宋_GB2312" w:eastAsia="仿宋_GB2312"/>
          <w:b w:val="0"/>
          <w:sz w:val="32"/>
        </w:rPr>
        <w:t>8.社会保障和就业支出(类)企业改革补助(款)其他企业改革发展补助(项):支出决算数为114.19万元，比上年决算减少28.53万元，下降19.99%,主要原因是：本年减少区属国有办医院退休人员补差待遇的医疗保险金和南补补助。</w:t>
      </w:r>
    </w:p>
    <w:p w14:paraId="55ECF5E8">
      <w:pPr>
        <w:spacing w:line="580" w:lineRule="exact"/>
        <w:ind w:firstLine="640"/>
        <w:jc w:val="both"/>
      </w:pPr>
      <w:r>
        <w:rPr>
          <w:rFonts w:ascii="仿宋_GB2312" w:hAnsi="仿宋_GB2312" w:eastAsia="仿宋_GB2312"/>
          <w:b w:val="0"/>
          <w:sz w:val="32"/>
        </w:rPr>
        <w:t>9.社会保障和就业支出(类)抚恤(款)死亡抚恤(项):支出决算数为26.17万元，比上年决算增加26.17万元，增长100.00%,主要原因是：本年新增退休人员死亡1人，故抚恤金增加。</w:t>
      </w:r>
    </w:p>
    <w:p w14:paraId="1E0CFF09">
      <w:pPr>
        <w:spacing w:line="580" w:lineRule="exact"/>
        <w:ind w:firstLine="640"/>
        <w:jc w:val="both"/>
      </w:pPr>
      <w:r>
        <w:rPr>
          <w:rFonts w:ascii="仿宋_GB2312" w:hAnsi="仿宋_GB2312" w:eastAsia="仿宋_GB2312"/>
          <w:b w:val="0"/>
          <w:sz w:val="32"/>
        </w:rPr>
        <w:t>10.卫生健康支出(类)行政事业单位医疗(款)行政单位医疗(项):支出决算数为37.01万元，比上年决算增加2.97万元，增长8.73%,主要原因是：本年在职人员工资基数调增，医疗缴费基数上涨，相应支出增加。</w:t>
      </w:r>
    </w:p>
    <w:p w14:paraId="7BC2F51B">
      <w:pPr>
        <w:spacing w:line="580" w:lineRule="exact"/>
        <w:ind w:firstLine="640"/>
        <w:jc w:val="both"/>
      </w:pPr>
      <w:r>
        <w:rPr>
          <w:rFonts w:ascii="仿宋_GB2312" w:hAnsi="仿宋_GB2312" w:eastAsia="仿宋_GB2312"/>
          <w:b w:val="0"/>
          <w:sz w:val="32"/>
        </w:rPr>
        <w:t>11.卫生健康支出(类)行政事业单位医疗(款)公务员医疗补助(项):支出决算数为10.45万元，比上年决算增加0.84万元，增长8.74%,主要原因是：本年在职人员工资基数调增，医疗缴费基数上涨，相应支出增加。</w:t>
      </w:r>
    </w:p>
    <w:p w14:paraId="53FA9CF9">
      <w:pPr>
        <w:spacing w:line="580" w:lineRule="exact"/>
        <w:ind w:firstLine="640"/>
        <w:jc w:val="both"/>
      </w:pPr>
      <w:r>
        <w:rPr>
          <w:rFonts w:ascii="仿宋_GB2312" w:hAnsi="仿宋_GB2312" w:eastAsia="仿宋_GB2312"/>
          <w:b w:val="0"/>
          <w:sz w:val="32"/>
        </w:rPr>
        <w:t>12.住房保障支出(类)住房改革支出(款)住房公积金(项):支出决算数为75.60万元，比上年决算增加8.53万元，增长12.72%,主要原因是：本年在职人员工资基数调增，公积金缴费基数上涨，相应支出增加。</w:t>
      </w:r>
    </w:p>
    <w:p w14:paraId="6DD95C44">
      <w:pPr>
        <w:spacing w:line="640" w:lineRule="exact"/>
        <w:ind w:firstLine="640"/>
        <w:jc w:val="both"/>
        <w:outlineLvl w:val="2"/>
      </w:pPr>
      <w:r>
        <w:rPr>
          <w:rFonts w:ascii="黑体" w:hAnsi="黑体" w:eastAsia="黑体"/>
          <w:sz w:val="32"/>
        </w:rPr>
        <w:t>六、一般公共预算财政拨款基本支出决算情况说明</w:t>
      </w:r>
    </w:p>
    <w:p w14:paraId="62D55659">
      <w:pPr>
        <w:spacing w:line="580" w:lineRule="exact"/>
        <w:ind w:firstLine="640"/>
        <w:jc w:val="both"/>
      </w:pPr>
      <w:r>
        <w:rPr>
          <w:rFonts w:ascii="仿宋_GB2312" w:hAnsi="仿宋_GB2312" w:eastAsia="仿宋_GB2312"/>
          <w:b w:val="0"/>
          <w:sz w:val="32"/>
        </w:rPr>
        <w:t>2024年度一般公共预算财政拨款基本支出1,089.42万元，其中：</w:t>
      </w:r>
      <w:r>
        <w:rPr>
          <w:rFonts w:ascii="仿宋_GB2312" w:hAnsi="仿宋_GB2312" w:eastAsia="仿宋_GB2312"/>
          <w:b/>
          <w:sz w:val="32"/>
        </w:rPr>
        <w:t>人员经费1,046.49万元，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奖励金。</w:t>
      </w:r>
    </w:p>
    <w:p w14:paraId="1CEB1F3C">
      <w:pPr>
        <w:spacing w:line="580" w:lineRule="exact"/>
        <w:ind w:firstLine="640"/>
        <w:jc w:val="both"/>
      </w:pPr>
      <w:r>
        <w:rPr>
          <w:rFonts w:ascii="仿宋_GB2312" w:hAnsi="仿宋_GB2312" w:eastAsia="仿宋_GB2312"/>
          <w:b/>
          <w:sz w:val="32"/>
        </w:rPr>
        <w:t>公用经费42.93万元，</w:t>
      </w:r>
      <w:r>
        <w:rPr>
          <w:rFonts w:ascii="仿宋_GB2312" w:hAnsi="仿宋_GB2312" w:eastAsia="仿宋_GB2312"/>
          <w:b w:val="0"/>
          <w:sz w:val="32"/>
        </w:rPr>
        <w:t>包括：办公费、水费、电费、邮电费、差旅费、专用材料费、劳务费、工会经费、公务用车运行维护费、其他交通费用、其他商品和服务支出。</w:t>
      </w:r>
    </w:p>
    <w:p w14:paraId="26049D0D">
      <w:pPr>
        <w:spacing w:line="640" w:lineRule="exact"/>
        <w:ind w:firstLine="640"/>
        <w:jc w:val="both"/>
        <w:outlineLvl w:val="2"/>
      </w:pPr>
      <w:r>
        <w:rPr>
          <w:rFonts w:ascii="黑体" w:hAnsi="黑体" w:eastAsia="黑体"/>
          <w:sz w:val="32"/>
        </w:rPr>
        <w:t>七、政府性基金预算财政拨款收入支出决算情况说明</w:t>
      </w:r>
    </w:p>
    <w:p w14:paraId="62EA2E5A">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A1A46A2">
      <w:pPr>
        <w:spacing w:line="640" w:lineRule="exact"/>
        <w:ind w:firstLine="640"/>
        <w:jc w:val="both"/>
        <w:outlineLvl w:val="2"/>
      </w:pPr>
      <w:r>
        <w:rPr>
          <w:rFonts w:ascii="黑体" w:hAnsi="黑体" w:eastAsia="黑体"/>
          <w:sz w:val="32"/>
        </w:rPr>
        <w:t>八、国有资本经营预算财政拨款收入支出决算情况说明</w:t>
      </w:r>
    </w:p>
    <w:p w14:paraId="56F7EC4B">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9EA7499">
      <w:pPr>
        <w:spacing w:line="640" w:lineRule="exact"/>
        <w:ind w:firstLine="640"/>
        <w:jc w:val="both"/>
        <w:outlineLvl w:val="2"/>
      </w:pPr>
      <w:r>
        <w:rPr>
          <w:rFonts w:ascii="黑体" w:hAnsi="黑体" w:eastAsia="黑体"/>
          <w:sz w:val="32"/>
        </w:rPr>
        <w:t>九、财政拨款“三公”经费支出决算情况说明</w:t>
      </w:r>
    </w:p>
    <w:p w14:paraId="21C45905">
      <w:pPr>
        <w:spacing w:line="580" w:lineRule="exact"/>
        <w:ind w:firstLine="640"/>
        <w:jc w:val="both"/>
      </w:pPr>
      <w:r>
        <w:rPr>
          <w:rFonts w:ascii="仿宋_GB2312" w:hAnsi="仿宋_GB2312" w:eastAsia="仿宋_GB2312"/>
          <w:b/>
          <w:sz w:val="32"/>
        </w:rPr>
        <w:t>2024年度财政拨款“三公”经费支出1.80万元，</w:t>
      </w:r>
      <w:r>
        <w:rPr>
          <w:rFonts w:ascii="仿宋_GB2312" w:hAnsi="仿宋_GB2312" w:eastAsia="仿宋_GB2312"/>
          <w:b w:val="0"/>
          <w:sz w:val="32"/>
        </w:rPr>
        <w:t>比上年增加0.00万元，增长0.00%，主要原因是：本部门“三公”经费与上年一致无变化。其中：因公出国（境）费支出0.00万元，占0.00%，比上年增加0.00万元，增长0.00%，主要原因是：2023年与2024年均未安排因公出国（境）费支出。公务用车购置及运行维护费支出1.80万元，占100.00%，比上年增加0.00万元，增长0.00%，主要原因是：本部门公务用车运行维护费与上年一致无变化。公务接待费支出0.00万元，占0.00%，比上年增加0.00万元，增长0.00%，主要原因是：2023年与2024年均未安排公务接待费支出。</w:t>
      </w:r>
    </w:p>
    <w:p w14:paraId="293CFE34">
      <w:pPr>
        <w:spacing w:line="580" w:lineRule="exact"/>
        <w:ind w:firstLine="640"/>
        <w:jc w:val="both"/>
      </w:pPr>
      <w:r>
        <w:rPr>
          <w:rFonts w:ascii="仿宋_GB2312" w:hAnsi="仿宋_GB2312" w:eastAsia="仿宋_GB2312"/>
          <w:b/>
          <w:sz w:val="32"/>
        </w:rPr>
        <w:t>具体情况如下：</w:t>
      </w:r>
    </w:p>
    <w:p w14:paraId="3FD814C0">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081D25C">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保险、车辆燃油费、维修维护费、过路费。公务用车购置数0辆，公务用车保有量1辆。国有资产占用情况中固定资产车辆1辆，与公务用车保有量差异原因是：本部门固定资产车辆与公务用车保有量一致无差异。</w:t>
      </w:r>
    </w:p>
    <w:p w14:paraId="1BFCB6F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B57058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1.80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1.80万元，决算数1.80万元，预决算差异率0.00%，主要原因是：严格按照预算执行，预决算无差异。公务接待费全年预算数0.00万元，决算数0.00万元，预决算差异率0.00%，主要原因是：本部门无公务接待费。</w:t>
      </w:r>
    </w:p>
    <w:p w14:paraId="2B6C399E">
      <w:pPr>
        <w:spacing w:line="640" w:lineRule="exact"/>
        <w:ind w:firstLine="640"/>
        <w:jc w:val="both"/>
        <w:outlineLvl w:val="2"/>
      </w:pPr>
      <w:r>
        <w:rPr>
          <w:rFonts w:ascii="黑体" w:hAnsi="黑体" w:eastAsia="黑体"/>
          <w:sz w:val="32"/>
        </w:rPr>
        <w:t>十、其他重要事项的情况说明</w:t>
      </w:r>
    </w:p>
    <w:p w14:paraId="366A28AD">
      <w:pPr>
        <w:spacing w:line="640" w:lineRule="exact"/>
        <w:ind w:firstLine="640"/>
        <w:jc w:val="both"/>
        <w:outlineLvl w:val="3"/>
      </w:pPr>
      <w:r>
        <w:rPr>
          <w:rFonts w:ascii="楷体_GB2312" w:hAnsi="楷体_GB2312" w:eastAsia="楷体_GB2312"/>
          <w:b/>
          <w:sz w:val="32"/>
        </w:rPr>
        <w:t>（一）机关运行经费及公用经费支出情况</w:t>
      </w:r>
    </w:p>
    <w:p w14:paraId="3FA9075D">
      <w:pPr>
        <w:spacing w:line="580" w:lineRule="exact"/>
        <w:ind w:firstLine="640"/>
        <w:jc w:val="both"/>
      </w:pPr>
      <w:r>
        <w:rPr>
          <w:rFonts w:ascii="仿宋_GB2312" w:hAnsi="仿宋_GB2312" w:eastAsia="仿宋_GB2312"/>
          <w:b w:val="0"/>
          <w:sz w:val="32"/>
        </w:rPr>
        <w:t>2024年度新疆维吾尔自治区喀什地区社会保险服务中心（行政单位和参照公务员法管理事业单位）机关运行经费支出42.93万元，比上年增加9.33万元，增长27.77%，主要原因是：本年增加差旅费、办公费、邮电费、水费，导致机关运行经费较上年增加。</w:t>
      </w:r>
    </w:p>
    <w:p w14:paraId="00777AB7">
      <w:pPr>
        <w:spacing w:line="640" w:lineRule="exact"/>
        <w:ind w:firstLine="640"/>
        <w:jc w:val="both"/>
        <w:outlineLvl w:val="3"/>
      </w:pPr>
      <w:r>
        <w:rPr>
          <w:rFonts w:ascii="楷体_GB2312" w:hAnsi="楷体_GB2312" w:eastAsia="楷体_GB2312"/>
          <w:b/>
          <w:sz w:val="32"/>
        </w:rPr>
        <w:t>（二）政府采购情况</w:t>
      </w:r>
    </w:p>
    <w:p w14:paraId="6A5AD211">
      <w:pPr>
        <w:spacing w:line="580" w:lineRule="exact"/>
        <w:ind w:firstLine="640"/>
        <w:jc w:val="both"/>
      </w:pPr>
      <w:r>
        <w:rPr>
          <w:rFonts w:ascii="仿宋_GB2312" w:hAnsi="仿宋_GB2312" w:eastAsia="仿宋_GB2312"/>
          <w:b w:val="0"/>
          <w:sz w:val="32"/>
        </w:rPr>
        <w:t>2024年度政府采购支出总额275.73万元，其中：政府采购货物支出23.32万元、政府采购工程支出0.00万元、政府采购服务支出252.41万元。</w:t>
      </w:r>
    </w:p>
    <w:p w14:paraId="035F8080">
      <w:pPr>
        <w:spacing w:line="580" w:lineRule="exact"/>
        <w:ind w:firstLine="640"/>
        <w:jc w:val="both"/>
      </w:pPr>
      <w:r>
        <w:rPr>
          <w:rFonts w:ascii="仿宋_GB2312" w:hAnsi="仿宋_GB2312" w:eastAsia="仿宋_GB2312"/>
          <w:b w:val="0"/>
          <w:sz w:val="32"/>
        </w:rPr>
        <w:t>授予中小企业合同金额275.73万元，占政府采购支出总额的100.00%，其中：授予小微企业合同金额275.73万元，占政府采购支出总额的100.00%。</w:t>
      </w:r>
    </w:p>
    <w:p w14:paraId="41CB1C86">
      <w:pPr>
        <w:spacing w:line="640" w:lineRule="exact"/>
        <w:ind w:firstLine="640"/>
        <w:jc w:val="both"/>
        <w:outlineLvl w:val="3"/>
      </w:pPr>
      <w:r>
        <w:rPr>
          <w:rFonts w:ascii="楷体_GB2312" w:hAnsi="楷体_GB2312" w:eastAsia="楷体_GB2312"/>
          <w:b/>
          <w:sz w:val="32"/>
        </w:rPr>
        <w:t>（三）国有资产占用情况说明</w:t>
      </w:r>
    </w:p>
    <w:p w14:paraId="32D003F6">
      <w:pPr>
        <w:spacing w:line="580" w:lineRule="exact"/>
        <w:ind w:firstLine="640"/>
        <w:jc w:val="both"/>
      </w:pPr>
      <w:r>
        <w:rPr>
          <w:rFonts w:ascii="仿宋_GB2312" w:hAnsi="仿宋_GB2312" w:eastAsia="仿宋_GB2312"/>
          <w:b w:val="0"/>
          <w:sz w:val="32"/>
        </w:rPr>
        <w:t>截至2024年12月31日，房屋2,464.00平方米，价值74.40万元。车辆1辆，价值21.94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1C407A3">
      <w:pPr>
        <w:spacing w:line="640" w:lineRule="exact"/>
        <w:ind w:firstLine="640"/>
        <w:jc w:val="both"/>
        <w:outlineLvl w:val="2"/>
      </w:pPr>
      <w:r>
        <w:rPr>
          <w:rFonts w:ascii="黑体" w:hAnsi="黑体" w:eastAsia="黑体"/>
          <w:sz w:val="32"/>
        </w:rPr>
        <w:t>十一、预算绩效的情况说明</w:t>
      </w:r>
    </w:p>
    <w:p w14:paraId="31EA6C39">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根据预算绩效管理要求，本部门2024年度预算绩效管理形成整体支出绩效自评表1个，全年预算总额1,335.90万元，实际执行总额1,312.30万元；预算绩效评价项目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222.93</w:t>
      </w:r>
      <w:r>
        <w:rPr>
          <w:rFonts w:ascii="仿宋_GB2312" w:hAnsi="仿宋_GB2312" w:eastAsia="仿宋_GB2312"/>
          <w:b w:val="0"/>
          <w:sz w:val="32"/>
        </w:rPr>
        <w:t>万元，全年执行数</w:t>
      </w:r>
      <w:r>
        <w:rPr>
          <w:rFonts w:hint="eastAsia" w:ascii="仿宋_GB2312" w:hAnsi="仿宋_GB2312" w:eastAsia="仿宋_GB2312"/>
          <w:b w:val="0"/>
          <w:sz w:val="32"/>
        </w:rPr>
        <w:t>222.89</w:t>
      </w:r>
      <w:r>
        <w:rPr>
          <w:rFonts w:ascii="仿宋_GB2312" w:hAnsi="仿宋_GB2312" w:eastAsia="仿宋_GB2312"/>
          <w:b w:val="0"/>
          <w:sz w:val="32"/>
        </w:rPr>
        <w:t>万元。预算绩效管理取得的成效：一是喀什地区社保中心以资金安全运行为根本，以提高管理服务水平为重点，严格执行社会保险各项政策，建立健全内部控制制度，确保待遇发放，资金运行总体平稳，使参保人员的获得感、幸福感不断增强。二是喀什地区社保经办机构按照“流程覆盖、环节把控、职责明确”的工作思路，把内控制度体系建设作为根本，实现了经办和管理工作规范、有效运行，保障了资金安全。严格执行基金支付政策，按月编制资金支付计划，按月足额发放待遇，做到不拖欠、不挪用、不挤占专项资金。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一是加强预算绩效目标管理工作。明确预算项目绩效目标编制要求，分类别建立科学合理、细化量化、可比可测预算绩效指标体系，突出结果导向，重点考核实绩。二是加强绩效业务学习及培训，提高业务人员绩效管理意识，进一步加强预算绩效管理工作，优化项目支出绩效指标体系，完善预算绩效管理制度，有效推动我单位下一年度预算绩效管理工作常态化、规范化。三是通过强化专业培训、学习考察、业务交流等措施，帮助和促进本部门现有人员提高绩效管理业务水平、实际工作能力。强化预算绩效执行工作，指定专人负责预算执行监督管理，进一步推动预算绩效管理工作。四是借助第三方专业机构力量，贯彻落实全面预算绩效管理工作，建立全过程预算绩效管理链条，将绩效各个环节紧密贯通。具体附部门整体支出绩效自评表，项目支出绩效自评表和部门评价报告。</w:t>
      </w:r>
    </w:p>
    <w:p w14:paraId="5C9C3C3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6D41A6B">
        <w:tblPrEx>
          <w:tblCellMar>
            <w:top w:w="0" w:type="dxa"/>
            <w:left w:w="108" w:type="dxa"/>
            <w:bottom w:w="0" w:type="dxa"/>
            <w:right w:w="108" w:type="dxa"/>
          </w:tblCellMar>
        </w:tblPrEx>
        <w:tc>
          <w:tcPr>
            <w:tcW w:w="8847" w:type="dxa"/>
            <w:gridSpan w:val="9"/>
            <w:vAlign w:val="center"/>
          </w:tcPr>
          <w:p w14:paraId="7B9C95F7">
            <w:pPr>
              <w:jc w:val="center"/>
            </w:pPr>
            <w:r>
              <w:rPr>
                <w:rFonts w:ascii="宋体" w:hAnsi="宋体" w:eastAsia="宋体"/>
                <w:sz w:val="24"/>
              </w:rPr>
              <w:t>部门整体支出绩效自评表</w:t>
            </w:r>
          </w:p>
        </w:tc>
      </w:tr>
      <w:tr w14:paraId="11FD40FE">
        <w:tblPrEx>
          <w:tblCellMar>
            <w:top w:w="0" w:type="dxa"/>
            <w:left w:w="108" w:type="dxa"/>
            <w:bottom w:w="0" w:type="dxa"/>
            <w:right w:w="108" w:type="dxa"/>
          </w:tblCellMar>
        </w:tblPrEx>
        <w:tc>
          <w:tcPr>
            <w:tcW w:w="8847" w:type="dxa"/>
            <w:gridSpan w:val="9"/>
            <w:vAlign w:val="center"/>
          </w:tcPr>
          <w:p w14:paraId="01AD0FB0">
            <w:pPr>
              <w:jc w:val="center"/>
            </w:pPr>
            <w:r>
              <w:rPr>
                <w:rFonts w:ascii="宋体" w:hAnsi="宋体" w:eastAsia="宋体"/>
                <w:sz w:val="24"/>
              </w:rPr>
              <w:t>（2024年度）</w:t>
            </w:r>
          </w:p>
        </w:tc>
      </w:tr>
      <w:tr w14:paraId="5858B5B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33166">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ABDE9AA">
            <w:pPr>
              <w:jc w:val="center"/>
            </w:pPr>
            <w:r>
              <w:rPr>
                <w:rFonts w:ascii="宋体" w:hAnsi="宋体" w:eastAsia="宋体"/>
                <w:sz w:val="16"/>
              </w:rPr>
              <w:t>新疆维吾尔自治区喀什地区社会保险服务中心</w:t>
            </w:r>
          </w:p>
        </w:tc>
      </w:tr>
      <w:tr w14:paraId="3E001FB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9EB2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254C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5ACC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43B0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ABE0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4C3C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E4B9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DC0FC">
            <w:pPr>
              <w:jc w:val="center"/>
            </w:pPr>
            <w:r>
              <w:rPr>
                <w:rFonts w:ascii="宋体" w:hAnsi="宋体" w:eastAsia="宋体"/>
                <w:sz w:val="16"/>
              </w:rPr>
              <w:t>得分</w:t>
            </w:r>
          </w:p>
        </w:tc>
      </w:tr>
      <w:tr w14:paraId="384685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863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C8BF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7D52C">
            <w:pPr>
              <w:jc w:val="center"/>
            </w:pPr>
            <w:r>
              <w:rPr>
                <w:rFonts w:ascii="宋体" w:hAnsi="宋体" w:eastAsia="宋体"/>
                <w:sz w:val="16"/>
              </w:rPr>
              <w:t>1,198.50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8C801">
            <w:pPr>
              <w:jc w:val="center"/>
            </w:pPr>
            <w:r>
              <w:rPr>
                <w:rFonts w:ascii="宋体" w:hAnsi="宋体" w:eastAsia="宋体"/>
                <w:sz w:val="16"/>
              </w:rPr>
              <w:t>1,335.90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17F45">
            <w:pPr>
              <w:jc w:val="center"/>
            </w:pPr>
            <w:r>
              <w:rPr>
                <w:rFonts w:ascii="宋体" w:hAnsi="宋体" w:eastAsia="宋体"/>
                <w:sz w:val="16"/>
              </w:rPr>
              <w:t>1,312.30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110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64040">
            <w:pPr>
              <w:jc w:val="center"/>
            </w:pPr>
            <w:r>
              <w:rPr>
                <w:rFonts w:ascii="宋体" w:hAnsi="宋体" w:eastAsia="宋体"/>
                <w:sz w:val="16"/>
              </w:rPr>
              <w:t>98.23%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68EB4">
            <w:pPr>
              <w:jc w:val="center"/>
            </w:pPr>
            <w:r>
              <w:rPr>
                <w:rFonts w:ascii="宋体" w:hAnsi="宋体" w:eastAsia="宋体"/>
                <w:sz w:val="16"/>
              </w:rPr>
              <w:t>9.82</w:t>
            </w:r>
          </w:p>
        </w:tc>
      </w:tr>
      <w:tr w14:paraId="1D780C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90A3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9144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82098">
            <w:pPr>
              <w:jc w:val="center"/>
            </w:pPr>
            <w:r>
              <w:rPr>
                <w:rFonts w:ascii="宋体" w:hAnsi="宋体" w:eastAsia="宋体"/>
                <w:sz w:val="16"/>
              </w:rPr>
              <w:t>88.46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9C26F">
            <w:pPr>
              <w:jc w:val="center"/>
            </w:pPr>
            <w:r>
              <w:rPr>
                <w:rFonts w:ascii="宋体" w:hAnsi="宋体" w:eastAsia="宋体"/>
                <w:sz w:val="16"/>
              </w:rPr>
              <w:t>205.71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CCE1A">
            <w:pPr>
              <w:jc w:val="center"/>
            </w:pPr>
            <w:r>
              <w:rPr>
                <w:rFonts w:ascii="宋体" w:hAnsi="宋体" w:eastAsia="宋体"/>
                <w:sz w:val="16"/>
              </w:rPr>
              <w:t>152.93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275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0FF8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1A14C">
            <w:pPr>
              <w:jc w:val="center"/>
            </w:pPr>
            <w:r>
              <w:rPr>
                <w:rFonts w:ascii="宋体" w:hAnsi="宋体" w:eastAsia="宋体"/>
                <w:sz w:val="16"/>
              </w:rPr>
              <w:t>—</w:t>
            </w:r>
          </w:p>
        </w:tc>
      </w:tr>
      <w:tr w14:paraId="4BAA0A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B2EC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07F2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46470">
            <w:pPr>
              <w:jc w:val="center"/>
            </w:pPr>
            <w:r>
              <w:rPr>
                <w:rFonts w:ascii="宋体" w:hAnsi="宋体" w:eastAsia="宋体"/>
                <w:sz w:val="16"/>
              </w:rPr>
              <w:t>1,110.04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C3B5D">
            <w:pPr>
              <w:jc w:val="center"/>
            </w:pPr>
            <w:r>
              <w:rPr>
                <w:rFonts w:ascii="宋体" w:hAnsi="宋体" w:eastAsia="宋体"/>
                <w:sz w:val="16"/>
              </w:rPr>
              <w:t>1,130.19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86D3F">
            <w:pPr>
              <w:jc w:val="center"/>
            </w:pPr>
            <w:r>
              <w:rPr>
                <w:rFonts w:ascii="宋体" w:hAnsi="宋体" w:eastAsia="宋体"/>
                <w:sz w:val="16"/>
              </w:rPr>
              <w:t>1,159.37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BEE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245E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C325F">
            <w:pPr>
              <w:jc w:val="center"/>
            </w:pPr>
            <w:r>
              <w:rPr>
                <w:rFonts w:ascii="宋体" w:hAnsi="宋体" w:eastAsia="宋体"/>
                <w:sz w:val="16"/>
              </w:rPr>
              <w:t>—</w:t>
            </w:r>
          </w:p>
        </w:tc>
      </w:tr>
      <w:tr w14:paraId="24C72A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CB1D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1D76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1D4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FA7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862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DF0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1031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203CB">
            <w:pPr>
              <w:jc w:val="center"/>
            </w:pPr>
            <w:r>
              <w:rPr>
                <w:rFonts w:ascii="宋体" w:hAnsi="宋体" w:eastAsia="宋体"/>
                <w:sz w:val="16"/>
              </w:rPr>
              <w:t>—</w:t>
            </w:r>
          </w:p>
        </w:tc>
      </w:tr>
      <w:tr w14:paraId="1B378EF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653E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31356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4790AD">
            <w:pPr>
              <w:jc w:val="center"/>
            </w:pPr>
            <w:r>
              <w:rPr>
                <w:rFonts w:ascii="宋体" w:hAnsi="宋体" w:eastAsia="宋体"/>
                <w:sz w:val="16"/>
              </w:rPr>
              <w:t>实际完成情况</w:t>
            </w:r>
          </w:p>
        </w:tc>
      </w:tr>
      <w:tr w14:paraId="59EA30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CE599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4BC075">
            <w:pPr>
              <w:jc w:val="both"/>
            </w:pPr>
            <w:r>
              <w:rPr>
                <w:rFonts w:ascii="宋体" w:hAnsi="宋体" w:eastAsia="宋体"/>
                <w:sz w:val="16"/>
              </w:rPr>
              <w:t>以全面加强党的建设为统领，以推动全地区社保事业高质量发展为目标，以“抓作风、优服务、防风险、提质效”为主线，为主线，围绕全面落实养老保险全国统筹等重点改革任务，</w:t>
            </w:r>
            <w:r>
              <w:rPr>
                <w:rFonts w:hint="eastAsia" w:ascii="宋体" w:hAnsi="宋体"/>
                <w:sz w:val="16"/>
                <w:lang w:eastAsia="zh-CN"/>
              </w:rPr>
              <w:t>截至</w:t>
            </w:r>
            <w:r>
              <w:rPr>
                <w:rFonts w:ascii="宋体" w:hAnsi="宋体" w:eastAsia="宋体"/>
                <w:sz w:val="16"/>
              </w:rPr>
              <w:t>年底失业参保人数达到27.67万人，基本养老保险参保人数达到262.43万人，工伤参保人数</w:t>
            </w:r>
            <w:r>
              <w:rPr>
                <w:rFonts w:hint="eastAsia" w:ascii="宋体" w:hAnsi="宋体"/>
                <w:sz w:val="16"/>
                <w:lang w:eastAsia="zh-CN"/>
              </w:rPr>
              <w:t>达到</w:t>
            </w:r>
            <w:r>
              <w:rPr>
                <w:rFonts w:ascii="宋体" w:hAnsi="宋体" w:eastAsia="宋体"/>
                <w:sz w:val="16"/>
              </w:rPr>
              <w:t>35.84人，参加培训人次达到254人次，社保各项业务培训场次8场。确保社保基金风险、全面实行持续扩大社保覆盖面，提升社保经办服务效能，不断提升广大人民群众的获得感、幸福感和安全感。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E1CFDB">
            <w:pPr>
              <w:jc w:val="both"/>
            </w:pPr>
            <w:r>
              <w:rPr>
                <w:rFonts w:ascii="宋体" w:hAnsi="宋体" w:eastAsia="宋体"/>
                <w:sz w:val="16"/>
              </w:rPr>
              <w:t>持续推进参保扩面提质工作。坚持把宣传工作作为推进工作的有力抓手，广泛开展养老保险政策宣传，实施政策找人、分类施策，着力解决“参保不充分”“应保未保”问题。年底失业参保人数达到29.94万人，基本养老保险参保人数达到287.74万人，工伤参保人数</w:t>
            </w:r>
            <w:r>
              <w:rPr>
                <w:rFonts w:hint="eastAsia" w:ascii="宋体" w:hAnsi="宋体"/>
                <w:sz w:val="16"/>
                <w:lang w:eastAsia="zh-CN"/>
              </w:rPr>
              <w:t>达到</w:t>
            </w:r>
            <w:r>
              <w:rPr>
                <w:rFonts w:ascii="宋体" w:hAnsi="宋体" w:eastAsia="宋体"/>
                <w:sz w:val="16"/>
              </w:rPr>
              <w:t>41.78人，参加培训人次达到267人次，社保各项业务培训场次10场，社保覆盖全民确保人人享有社保。</w:t>
            </w:r>
          </w:p>
        </w:tc>
      </w:tr>
      <w:tr w14:paraId="32F9450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2628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3EF4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1A2E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3EC9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113A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961E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524D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6C24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9FE63">
            <w:pPr>
              <w:jc w:val="center"/>
            </w:pPr>
            <w:r>
              <w:rPr>
                <w:rFonts w:ascii="宋体" w:hAnsi="宋体" w:eastAsia="宋体"/>
                <w:sz w:val="16"/>
              </w:rPr>
              <w:t>得分</w:t>
            </w:r>
          </w:p>
        </w:tc>
      </w:tr>
      <w:tr w14:paraId="1301A4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4BF1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0A89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25DAE">
            <w:pPr>
              <w:jc w:val="center"/>
            </w:pPr>
            <w:r>
              <w:rPr>
                <w:rFonts w:ascii="宋体" w:hAnsi="宋体" w:eastAsia="宋体"/>
                <w:sz w:val="16"/>
              </w:rPr>
              <w:t>失业保险参保人数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F042A">
            <w:pPr>
              <w:jc w:val="center"/>
            </w:pPr>
            <w:r>
              <w:rPr>
                <w:rFonts w:ascii="宋体" w:hAnsi="宋体" w:eastAsia="宋体"/>
                <w:sz w:val="16"/>
              </w:rPr>
              <w:t>=27.67万人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30F79">
            <w:pPr>
              <w:jc w:val="center"/>
            </w:pPr>
            <w:r>
              <w:rPr>
                <w:rFonts w:ascii="宋体" w:hAnsi="宋体" w:eastAsia="宋体"/>
                <w:sz w:val="16"/>
              </w:rPr>
              <w:t>喀什地区加快社会保险经办事业高质量发展三年行动方案、关于喀什地区社会保险服务中心机构设置方案的通知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6453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ADA37">
            <w:pPr>
              <w:jc w:val="center"/>
            </w:pPr>
            <w:r>
              <w:rPr>
                <w:rFonts w:ascii="宋体" w:hAnsi="宋体" w:eastAsia="宋体"/>
                <w:sz w:val="16"/>
              </w:rPr>
              <w:t>29.94万人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46654">
            <w:pPr>
              <w:jc w:val="center"/>
            </w:pPr>
            <w:r>
              <w:rPr>
                <w:rFonts w:ascii="宋体" w:hAnsi="宋体" w:eastAsia="宋体"/>
                <w:sz w:val="16"/>
              </w:rPr>
              <w:t>108.2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7DBB7">
            <w:pPr>
              <w:jc w:val="center"/>
            </w:pPr>
            <w:r>
              <w:rPr>
                <w:rFonts w:ascii="宋体" w:hAnsi="宋体" w:eastAsia="宋体"/>
                <w:sz w:val="16"/>
              </w:rPr>
              <w:t>18</w:t>
            </w:r>
          </w:p>
        </w:tc>
      </w:tr>
      <w:tr w14:paraId="5D9726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1FDC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56FE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444CB">
            <w:pPr>
              <w:jc w:val="center"/>
            </w:pPr>
            <w:r>
              <w:rPr>
                <w:rFonts w:ascii="宋体" w:hAnsi="宋体" w:eastAsia="宋体"/>
                <w:sz w:val="16"/>
              </w:rPr>
              <w:t>基本养老保险参保人数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16B1B">
            <w:pPr>
              <w:jc w:val="center"/>
            </w:pPr>
            <w:r>
              <w:rPr>
                <w:rFonts w:ascii="宋体" w:hAnsi="宋体" w:eastAsia="宋体"/>
                <w:sz w:val="16"/>
              </w:rPr>
              <w:t>&gt;=262.43万人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F13EA">
            <w:pPr>
              <w:jc w:val="center"/>
            </w:pPr>
            <w:r>
              <w:rPr>
                <w:rFonts w:ascii="宋体" w:hAnsi="宋体" w:eastAsia="宋体"/>
                <w:sz w:val="16"/>
              </w:rPr>
              <w:t>喀什地区加快社会保险经办事业高质量发展三年行动方案、关于喀什地区社会保险服务中心机构设置方案的通知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D14E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7D46B">
            <w:pPr>
              <w:jc w:val="center"/>
            </w:pPr>
            <w:r>
              <w:rPr>
                <w:rFonts w:ascii="宋体" w:hAnsi="宋体" w:eastAsia="宋体"/>
                <w:sz w:val="16"/>
              </w:rPr>
              <w:t>287.74万人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BFBB8">
            <w:pPr>
              <w:jc w:val="center"/>
            </w:pPr>
            <w:r>
              <w:rPr>
                <w:rFonts w:ascii="宋体" w:hAnsi="宋体" w:eastAsia="宋体"/>
                <w:sz w:val="16"/>
              </w:rPr>
              <w:t>109.64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59739">
            <w:pPr>
              <w:jc w:val="center"/>
            </w:pPr>
            <w:r>
              <w:rPr>
                <w:rFonts w:ascii="宋体" w:hAnsi="宋体" w:eastAsia="宋体"/>
                <w:sz w:val="16"/>
              </w:rPr>
              <w:t>18</w:t>
            </w:r>
          </w:p>
        </w:tc>
      </w:tr>
      <w:tr w14:paraId="165D0D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D68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75F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1C753">
            <w:pPr>
              <w:jc w:val="center"/>
            </w:pPr>
            <w:r>
              <w:rPr>
                <w:rFonts w:ascii="宋体" w:hAnsi="宋体" w:eastAsia="宋体"/>
                <w:sz w:val="16"/>
              </w:rPr>
              <w:t>工伤参保人数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1D382">
            <w:pPr>
              <w:jc w:val="center"/>
            </w:pPr>
            <w:r>
              <w:rPr>
                <w:rFonts w:ascii="宋体" w:hAnsi="宋体" w:eastAsia="宋体"/>
                <w:sz w:val="16"/>
              </w:rPr>
              <w:t>&gt;=35.84万人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9B5AE">
            <w:pPr>
              <w:jc w:val="center"/>
            </w:pPr>
            <w:r>
              <w:rPr>
                <w:rFonts w:ascii="宋体" w:hAnsi="宋体" w:eastAsia="宋体"/>
                <w:sz w:val="16"/>
              </w:rPr>
              <w:t>喀什地区加快社会保险经办事业高质量发展三年行动方案、关于喀什地区社会保险服务中心机构设置方案的通知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3F44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292A2">
            <w:pPr>
              <w:jc w:val="center"/>
            </w:pPr>
            <w:r>
              <w:rPr>
                <w:rFonts w:ascii="宋体" w:hAnsi="宋体" w:eastAsia="宋体"/>
                <w:sz w:val="16"/>
              </w:rPr>
              <w:t>41.78万人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00EFF">
            <w:pPr>
              <w:jc w:val="center"/>
            </w:pPr>
            <w:r>
              <w:rPr>
                <w:rFonts w:ascii="宋体" w:hAnsi="宋体" w:eastAsia="宋体"/>
                <w:sz w:val="16"/>
              </w:rPr>
              <w:t>116.57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87855">
            <w:pPr>
              <w:jc w:val="center"/>
            </w:pPr>
            <w:r>
              <w:rPr>
                <w:rFonts w:ascii="宋体" w:hAnsi="宋体" w:eastAsia="宋体"/>
                <w:sz w:val="16"/>
              </w:rPr>
              <w:t>18</w:t>
            </w:r>
          </w:p>
        </w:tc>
      </w:tr>
      <w:tr w14:paraId="31D94B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47E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E10B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0312C">
            <w:pPr>
              <w:jc w:val="center"/>
            </w:pPr>
            <w:r>
              <w:rPr>
                <w:rFonts w:ascii="宋体" w:hAnsi="宋体" w:eastAsia="宋体"/>
                <w:sz w:val="16"/>
              </w:rPr>
              <w:t>参加培训人次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18B54">
            <w:pPr>
              <w:jc w:val="center"/>
            </w:pPr>
            <w:r>
              <w:rPr>
                <w:rFonts w:ascii="宋体" w:hAnsi="宋体" w:eastAsia="宋体"/>
                <w:sz w:val="16"/>
              </w:rPr>
              <w:t>&lt;=254人次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A8ED1">
            <w:pPr>
              <w:jc w:val="center"/>
            </w:pPr>
            <w:r>
              <w:rPr>
                <w:rFonts w:ascii="宋体" w:hAnsi="宋体" w:eastAsia="宋体"/>
                <w:sz w:val="16"/>
              </w:rPr>
              <w:t>2024年学习培训计划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3A4B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2E91F">
            <w:pPr>
              <w:jc w:val="center"/>
            </w:pPr>
            <w:r>
              <w:rPr>
                <w:rFonts w:ascii="宋体" w:hAnsi="宋体" w:eastAsia="宋体"/>
                <w:sz w:val="16"/>
              </w:rPr>
              <w:t>267人次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D621D">
            <w:pPr>
              <w:jc w:val="center"/>
            </w:pPr>
            <w:r>
              <w:rPr>
                <w:rFonts w:ascii="宋体" w:hAnsi="宋体" w:eastAsia="宋体"/>
                <w:sz w:val="16"/>
              </w:rPr>
              <w:t>105.12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541CB">
            <w:pPr>
              <w:jc w:val="center"/>
            </w:pPr>
            <w:r>
              <w:rPr>
                <w:rFonts w:ascii="宋体" w:hAnsi="宋体" w:eastAsia="宋体"/>
                <w:sz w:val="16"/>
              </w:rPr>
              <w:t>18</w:t>
            </w:r>
          </w:p>
        </w:tc>
      </w:tr>
      <w:tr w14:paraId="553BFC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8F83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DE15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0EC72">
            <w:pPr>
              <w:jc w:val="center"/>
            </w:pPr>
            <w:r>
              <w:rPr>
                <w:rFonts w:ascii="宋体" w:hAnsi="宋体" w:eastAsia="宋体"/>
                <w:sz w:val="16"/>
              </w:rPr>
              <w:t>社保各项业务培训场次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7EB3B">
            <w:pPr>
              <w:jc w:val="center"/>
            </w:pPr>
            <w:r>
              <w:rPr>
                <w:rFonts w:ascii="宋体" w:hAnsi="宋体" w:eastAsia="宋体"/>
                <w:sz w:val="16"/>
              </w:rPr>
              <w:t>&gt;=8场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819C1">
            <w:pPr>
              <w:jc w:val="center"/>
            </w:pPr>
            <w:r>
              <w:rPr>
                <w:rFonts w:ascii="宋体" w:hAnsi="宋体" w:eastAsia="宋体"/>
                <w:sz w:val="16"/>
              </w:rPr>
              <w:t>2024年学习培训计划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EA9C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834F8">
            <w:pPr>
              <w:jc w:val="center"/>
            </w:pPr>
            <w:r>
              <w:rPr>
                <w:rFonts w:ascii="宋体" w:hAnsi="宋体" w:eastAsia="宋体"/>
                <w:sz w:val="16"/>
              </w:rPr>
              <w:t>10场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62AFB">
            <w:pPr>
              <w:jc w:val="center"/>
            </w:pPr>
            <w:r>
              <w:rPr>
                <w:rFonts w:ascii="宋体" w:hAnsi="宋体" w:eastAsia="宋体"/>
                <w:sz w:val="16"/>
              </w:rPr>
              <w:t>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00345">
            <w:pPr>
              <w:jc w:val="center"/>
            </w:pPr>
            <w:r>
              <w:rPr>
                <w:rFonts w:ascii="宋体" w:hAnsi="宋体" w:eastAsia="宋体"/>
                <w:sz w:val="16"/>
              </w:rPr>
              <w:t>18</w:t>
            </w:r>
          </w:p>
        </w:tc>
      </w:tr>
    </w:tbl>
    <w:p w14:paraId="2C9C51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2D191B7">
        <w:tblPrEx>
          <w:tblCellMar>
            <w:top w:w="0" w:type="dxa"/>
            <w:left w:w="108" w:type="dxa"/>
            <w:bottom w:w="0" w:type="dxa"/>
            <w:right w:w="108" w:type="dxa"/>
          </w:tblCellMar>
        </w:tblPrEx>
        <w:tc>
          <w:tcPr>
            <w:tcW w:w="8848" w:type="dxa"/>
            <w:gridSpan w:val="14"/>
            <w:vAlign w:val="center"/>
          </w:tcPr>
          <w:p w14:paraId="365B721F">
            <w:pPr>
              <w:jc w:val="center"/>
            </w:pPr>
            <w:r>
              <w:rPr>
                <w:rFonts w:ascii="宋体" w:hAnsi="宋体" w:eastAsia="宋体"/>
                <w:sz w:val="24"/>
              </w:rPr>
              <w:t>项目支出绩效自评表</w:t>
            </w:r>
          </w:p>
        </w:tc>
      </w:tr>
      <w:tr w14:paraId="7FCB4897">
        <w:tblPrEx>
          <w:tblCellMar>
            <w:top w:w="0" w:type="dxa"/>
            <w:left w:w="108" w:type="dxa"/>
            <w:bottom w:w="0" w:type="dxa"/>
            <w:right w:w="108" w:type="dxa"/>
          </w:tblCellMar>
        </w:tblPrEx>
        <w:tc>
          <w:tcPr>
            <w:tcW w:w="8848" w:type="dxa"/>
            <w:gridSpan w:val="14"/>
            <w:vAlign w:val="center"/>
          </w:tcPr>
          <w:p w14:paraId="25A76C1E">
            <w:pPr>
              <w:jc w:val="center"/>
            </w:pPr>
            <w:r>
              <w:rPr>
                <w:rFonts w:ascii="宋体" w:hAnsi="宋体" w:eastAsia="宋体"/>
                <w:sz w:val="24"/>
              </w:rPr>
              <w:t>(2024年度)</w:t>
            </w:r>
          </w:p>
        </w:tc>
      </w:tr>
      <w:tr w14:paraId="28FE8E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E5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C81A01">
            <w:pPr>
              <w:jc w:val="center"/>
            </w:pPr>
            <w:r>
              <w:rPr>
                <w:rFonts w:ascii="宋体" w:hAnsi="宋体" w:eastAsia="宋体"/>
                <w:sz w:val="16"/>
              </w:rPr>
              <w:t>1995年前退休（退职）人员2024年4月-2025年3月生活补贴项目</w:t>
            </w:r>
          </w:p>
        </w:tc>
      </w:tr>
      <w:tr w14:paraId="1CC3F6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BB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8DFDDC">
            <w:pPr>
              <w:jc w:val="center"/>
            </w:pPr>
            <w:r>
              <w:rPr>
                <w:rFonts w:ascii="宋体" w:hAnsi="宋体" w:eastAsia="宋体"/>
                <w:sz w:val="16"/>
              </w:rPr>
              <w:t>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76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2A1C80">
            <w:pPr>
              <w:jc w:val="center"/>
            </w:pPr>
            <w:r>
              <w:rPr>
                <w:rFonts w:ascii="宋体" w:hAnsi="宋体" w:eastAsia="宋体"/>
                <w:sz w:val="16"/>
              </w:rPr>
              <w:t>新疆维吾尔自治区喀什地区社会保险服务中心</w:t>
            </w:r>
          </w:p>
        </w:tc>
      </w:tr>
      <w:tr w14:paraId="6A48EA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ABB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03B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BA2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678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A9B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6F7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88A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A03B">
            <w:pPr>
              <w:jc w:val="center"/>
            </w:pPr>
            <w:r>
              <w:rPr>
                <w:rFonts w:ascii="宋体" w:hAnsi="宋体" w:eastAsia="宋体"/>
                <w:sz w:val="16"/>
              </w:rPr>
              <w:t>得分</w:t>
            </w:r>
          </w:p>
        </w:tc>
      </w:tr>
      <w:tr w14:paraId="122B9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3CD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972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91632">
            <w:pPr>
              <w:jc w:val="center"/>
            </w:pPr>
            <w:r>
              <w:rPr>
                <w:rFonts w:ascii="宋体" w:hAnsi="宋体" w:eastAsia="宋体"/>
                <w:sz w:val="16"/>
              </w:rPr>
              <w:t>22.03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01DB5">
            <w:pPr>
              <w:jc w:val="center"/>
            </w:pPr>
            <w:r>
              <w:rPr>
                <w:rFonts w:ascii="宋体" w:hAnsi="宋体" w:eastAsia="宋体"/>
                <w:sz w:val="16"/>
              </w:rPr>
              <w:t>20.66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8ABB3">
            <w:pPr>
              <w:jc w:val="center"/>
            </w:pPr>
            <w:r>
              <w:rPr>
                <w:rFonts w:ascii="宋体" w:hAnsi="宋体" w:eastAsia="宋体"/>
                <w:sz w:val="16"/>
              </w:rPr>
              <w:t>20.66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30E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2DB0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8EA6">
            <w:pPr>
              <w:jc w:val="center"/>
            </w:pPr>
            <w:r>
              <w:rPr>
                <w:rFonts w:ascii="宋体" w:hAnsi="宋体" w:eastAsia="宋体"/>
                <w:sz w:val="16"/>
              </w:rPr>
              <w:t>10.00分</w:t>
            </w:r>
          </w:p>
        </w:tc>
      </w:tr>
      <w:tr w14:paraId="533FA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E9A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C09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5EDFB">
            <w:pPr>
              <w:jc w:val="center"/>
            </w:pPr>
            <w:r>
              <w:rPr>
                <w:rFonts w:ascii="宋体" w:hAnsi="宋体" w:eastAsia="宋体"/>
                <w:sz w:val="16"/>
              </w:rPr>
              <w:t>22.03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C31F3">
            <w:pPr>
              <w:jc w:val="center"/>
            </w:pPr>
            <w:r>
              <w:rPr>
                <w:rFonts w:ascii="宋体" w:hAnsi="宋体" w:eastAsia="宋体"/>
                <w:sz w:val="16"/>
              </w:rPr>
              <w:t>20.66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F385A">
            <w:pPr>
              <w:jc w:val="center"/>
            </w:pPr>
            <w:r>
              <w:rPr>
                <w:rFonts w:ascii="宋体" w:hAnsi="宋体" w:eastAsia="宋体"/>
                <w:sz w:val="16"/>
              </w:rPr>
              <w:t>20.66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474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C86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E1AF">
            <w:pPr>
              <w:jc w:val="center"/>
            </w:pPr>
            <w:r>
              <w:rPr>
                <w:rFonts w:ascii="宋体" w:hAnsi="宋体" w:eastAsia="宋体"/>
                <w:sz w:val="16"/>
              </w:rPr>
              <w:t>—</w:t>
            </w:r>
          </w:p>
        </w:tc>
      </w:tr>
      <w:tr w14:paraId="71554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450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A81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BA5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53A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9B1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5EB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BFE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7786">
            <w:pPr>
              <w:jc w:val="center"/>
            </w:pPr>
            <w:r>
              <w:rPr>
                <w:rFonts w:ascii="宋体" w:hAnsi="宋体" w:eastAsia="宋体"/>
                <w:sz w:val="16"/>
              </w:rPr>
              <w:t>—</w:t>
            </w:r>
          </w:p>
        </w:tc>
      </w:tr>
      <w:tr w14:paraId="44F149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99A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6D40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0F8E2A">
            <w:pPr>
              <w:jc w:val="center"/>
            </w:pPr>
            <w:r>
              <w:rPr>
                <w:rFonts w:ascii="宋体" w:hAnsi="宋体" w:eastAsia="宋体"/>
                <w:sz w:val="16"/>
              </w:rPr>
              <w:t>实际完成情况</w:t>
            </w:r>
          </w:p>
        </w:tc>
      </w:tr>
      <w:tr w14:paraId="544093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747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399052">
            <w:pPr>
              <w:jc w:val="both"/>
            </w:pPr>
            <w:r>
              <w:rPr>
                <w:rFonts w:ascii="宋体" w:hAnsi="宋体" w:eastAsia="宋体"/>
                <w:sz w:val="16"/>
              </w:rPr>
              <w:t>该项目2024年预算数20.66万元，用于支付1995年前退休（退职）人员生活补助。保障1995年前退休231名职工按文件标准每人每月补助120元生活待遇，确保退休职工老有所养、老有所依。</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DB5564">
            <w:pPr>
              <w:jc w:val="both"/>
            </w:pPr>
            <w:r>
              <w:rPr>
                <w:rFonts w:ascii="宋体" w:hAnsi="宋体" w:eastAsia="宋体"/>
                <w:sz w:val="16"/>
              </w:rPr>
              <w:t>该项目切实保障了1995年12月31日前办理退休（退职）手续的企业退休人员生活补贴，提高了他们的生活保障水平。</w:t>
            </w:r>
            <w:r>
              <w:rPr>
                <w:rFonts w:hint="eastAsia" w:ascii="宋体" w:hAnsi="宋体"/>
                <w:sz w:val="16"/>
                <w:lang w:eastAsia="zh-CN"/>
              </w:rPr>
              <w:t>截至</w:t>
            </w:r>
            <w:r>
              <w:rPr>
                <w:rFonts w:ascii="宋体" w:hAnsi="宋体" w:eastAsia="宋体"/>
                <w:sz w:val="16"/>
              </w:rPr>
              <w:t>2024年12月发放了227人，每人每月120元。补贴共计20.66万元。使退休人员老有所养，有效保障了退休人员的生活待遇。</w:t>
            </w:r>
          </w:p>
        </w:tc>
      </w:tr>
      <w:tr w14:paraId="48D8A4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6117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F8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7F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6C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7B7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EB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D7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13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AE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B4B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13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BE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FCB48">
            <w:pPr>
              <w:jc w:val="center"/>
            </w:pPr>
            <w:r>
              <w:rPr>
                <w:rFonts w:ascii="宋体" w:hAnsi="宋体" w:eastAsia="宋体"/>
                <w:sz w:val="16"/>
              </w:rPr>
              <w:t>偏差原因分析及改进措施</w:t>
            </w:r>
          </w:p>
        </w:tc>
      </w:tr>
      <w:tr w14:paraId="017A36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F38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14F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8EA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24B4">
            <w:pPr>
              <w:jc w:val="center"/>
            </w:pPr>
            <w:r>
              <w:rPr>
                <w:rFonts w:ascii="宋体" w:hAnsi="宋体" w:eastAsia="宋体"/>
                <w:sz w:val="16"/>
              </w:rPr>
              <w:t>企业1995年12月31日前退休（退职）补助人（次）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8E2C">
            <w:pPr>
              <w:jc w:val="center"/>
            </w:pPr>
            <w:r>
              <w:rPr>
                <w:rFonts w:ascii="宋体" w:hAnsi="宋体" w:eastAsia="宋体"/>
                <w:sz w:val="16"/>
              </w:rPr>
              <w:t>=227人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292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34F9">
            <w:pPr>
              <w:jc w:val="center"/>
            </w:pPr>
            <w:r>
              <w:rPr>
                <w:rFonts w:ascii="宋体" w:hAnsi="宋体" w:eastAsia="宋体"/>
                <w:sz w:val="16"/>
              </w:rPr>
              <w:t>227人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9B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E3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D5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A050">
            <w:pPr>
              <w:jc w:val="center"/>
            </w:pPr>
            <w:r>
              <w:rPr>
                <w:rFonts w:ascii="宋体" w:hAnsi="宋体" w:eastAsia="宋体"/>
                <w:sz w:val="16"/>
              </w:rPr>
              <w:t>=227人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CC7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A383F">
            <w:pPr>
              <w:jc w:val="center"/>
            </w:pPr>
          </w:p>
        </w:tc>
      </w:tr>
      <w:tr w14:paraId="0D79F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53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7B9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BC6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1ED5">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5CAA">
            <w:pPr>
              <w:jc w:val="center"/>
            </w:pPr>
            <w:r>
              <w:rPr>
                <w:rFonts w:ascii="宋体" w:hAnsi="宋体" w:eastAsia="宋体"/>
                <w:sz w:val="16"/>
              </w:rPr>
              <w:t>&gt;=7.58次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FC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C3A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94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6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13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EB4C">
            <w:pPr>
              <w:jc w:val="center"/>
            </w:pPr>
            <w:r>
              <w:rPr>
                <w:rFonts w:ascii="宋体" w:hAnsi="宋体" w:eastAsia="宋体"/>
                <w:sz w:val="16"/>
              </w:rPr>
              <w:t>=7.58次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AA6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81855">
            <w:pPr>
              <w:jc w:val="center"/>
            </w:pPr>
          </w:p>
        </w:tc>
      </w:tr>
      <w:tr w14:paraId="6A875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3D4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D0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AFC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3DAE">
            <w:pPr>
              <w:jc w:val="center"/>
            </w:pPr>
            <w:r>
              <w:rPr>
                <w:rFonts w:ascii="宋体" w:hAnsi="宋体" w:eastAsia="宋体"/>
                <w:sz w:val="16"/>
              </w:rPr>
              <w:t>按补贴标准足额发放率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DB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759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FA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F7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9C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3C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41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8738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FD3B1">
            <w:pPr>
              <w:jc w:val="center"/>
            </w:pPr>
          </w:p>
        </w:tc>
      </w:tr>
      <w:tr w14:paraId="50FDA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18E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4E0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5FF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EAF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1A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B6A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56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B6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67C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0CE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4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0DB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F74D4">
            <w:pPr>
              <w:jc w:val="center"/>
            </w:pPr>
          </w:p>
        </w:tc>
      </w:tr>
      <w:tr w14:paraId="423C2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A2B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19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99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83F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FA46">
            <w:pPr>
              <w:jc w:val="center"/>
            </w:pPr>
            <w:r>
              <w:rPr>
                <w:rFonts w:ascii="宋体" w:hAnsi="宋体" w:eastAsia="宋体"/>
                <w:sz w:val="16"/>
              </w:rPr>
              <w:t>=2025年3月30日前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46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DB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8A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5F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B4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DD98">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4035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0B6E3">
            <w:pPr>
              <w:jc w:val="center"/>
            </w:pPr>
          </w:p>
        </w:tc>
      </w:tr>
      <w:tr w14:paraId="758D7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0AC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943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71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84CA">
            <w:pPr>
              <w:jc w:val="center"/>
            </w:pPr>
            <w:r>
              <w:rPr>
                <w:rFonts w:ascii="宋体" w:hAnsi="宋体" w:eastAsia="宋体"/>
                <w:sz w:val="16"/>
              </w:rPr>
              <w:t>1995年12月31日前退休（退职）人员生活补贴发放标准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22E4">
            <w:pPr>
              <w:jc w:val="center"/>
            </w:pPr>
            <w:r>
              <w:rPr>
                <w:rFonts w:ascii="宋体" w:hAnsi="宋体" w:eastAsia="宋体"/>
                <w:sz w:val="16"/>
              </w:rPr>
              <w:t>=120元/月/人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084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60D0">
            <w:pPr>
              <w:jc w:val="center"/>
            </w:pPr>
            <w:r>
              <w:rPr>
                <w:rFonts w:ascii="宋体" w:hAnsi="宋体" w:eastAsia="宋体"/>
                <w:sz w:val="16"/>
              </w:rPr>
              <w:t>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32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D5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40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7CB9">
            <w:pPr>
              <w:jc w:val="center"/>
            </w:pPr>
            <w:r>
              <w:rPr>
                <w:rFonts w:ascii="宋体" w:hAnsi="宋体" w:eastAsia="宋体"/>
                <w:sz w:val="16"/>
              </w:rPr>
              <w:t>=120元/月/人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B28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E791D">
            <w:pPr>
              <w:jc w:val="center"/>
            </w:pPr>
          </w:p>
        </w:tc>
      </w:tr>
      <w:tr w14:paraId="408B2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06D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7ED0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40F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61C0">
            <w:pPr>
              <w:jc w:val="center"/>
            </w:pPr>
            <w:r>
              <w:rPr>
                <w:rFonts w:hint="eastAsia" w:ascii="宋体" w:hAnsi="宋体"/>
                <w:sz w:val="16"/>
                <w:lang w:eastAsia="zh-CN"/>
              </w:rPr>
              <w:t>群体性上访事件</w:t>
            </w:r>
            <w:r>
              <w:rPr>
                <w:rFonts w:ascii="宋体" w:hAnsi="宋体" w:eastAsia="宋体"/>
                <w:sz w:val="16"/>
              </w:rPr>
              <w:t>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245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68B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351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1B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6A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08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0C5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67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584A9">
            <w:pPr>
              <w:jc w:val="center"/>
            </w:pPr>
          </w:p>
        </w:tc>
      </w:tr>
      <w:tr w14:paraId="2434D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07D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CA2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162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5165">
            <w:pPr>
              <w:jc w:val="center"/>
            </w:pPr>
            <w:r>
              <w:rPr>
                <w:rFonts w:ascii="宋体" w:hAnsi="宋体" w:eastAsia="宋体"/>
                <w:sz w:val="16"/>
              </w:rPr>
              <w:t>保障1995年前退休（退职）人员待遇，维护社会稳固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723D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C5E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28A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DF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ED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D4A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F79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7B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D7FE0">
            <w:pPr>
              <w:jc w:val="center"/>
            </w:pPr>
          </w:p>
        </w:tc>
      </w:tr>
      <w:tr w14:paraId="189CF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747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8A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01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FF0C">
            <w:pPr>
              <w:jc w:val="center"/>
            </w:pPr>
            <w:r>
              <w:rPr>
                <w:rFonts w:ascii="宋体" w:hAnsi="宋体" w:eastAsia="宋体"/>
                <w:sz w:val="16"/>
              </w:rPr>
              <w:t>退休（退职）人员满意度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81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C1E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F26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73E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06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81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025C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F8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22852">
            <w:pPr>
              <w:jc w:val="center"/>
            </w:pPr>
          </w:p>
        </w:tc>
      </w:tr>
      <w:tr w14:paraId="12F3B29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ADD0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263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15D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030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5CF34B"/>
        </w:tc>
      </w:tr>
    </w:tbl>
    <w:p w14:paraId="6A47EC1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2BE49B7">
        <w:tblPrEx>
          <w:tblCellMar>
            <w:top w:w="0" w:type="dxa"/>
            <w:left w:w="108" w:type="dxa"/>
            <w:bottom w:w="0" w:type="dxa"/>
            <w:right w:w="108" w:type="dxa"/>
          </w:tblCellMar>
        </w:tblPrEx>
        <w:tc>
          <w:tcPr>
            <w:tcW w:w="8848" w:type="dxa"/>
            <w:gridSpan w:val="14"/>
            <w:vAlign w:val="center"/>
          </w:tcPr>
          <w:p w14:paraId="5BCB36FD">
            <w:pPr>
              <w:jc w:val="center"/>
            </w:pPr>
            <w:r>
              <w:rPr>
                <w:rFonts w:ascii="宋体" w:hAnsi="宋体" w:eastAsia="宋体"/>
                <w:sz w:val="24"/>
              </w:rPr>
              <w:t>项目支出绩效自评表</w:t>
            </w:r>
          </w:p>
        </w:tc>
      </w:tr>
      <w:tr w14:paraId="7CFFC84F">
        <w:tblPrEx>
          <w:tblCellMar>
            <w:top w:w="0" w:type="dxa"/>
            <w:left w:w="108" w:type="dxa"/>
            <w:bottom w:w="0" w:type="dxa"/>
            <w:right w:w="108" w:type="dxa"/>
          </w:tblCellMar>
        </w:tblPrEx>
        <w:tc>
          <w:tcPr>
            <w:tcW w:w="8848" w:type="dxa"/>
            <w:gridSpan w:val="14"/>
            <w:vAlign w:val="center"/>
          </w:tcPr>
          <w:p w14:paraId="001724B4">
            <w:pPr>
              <w:jc w:val="center"/>
            </w:pPr>
            <w:r>
              <w:rPr>
                <w:rFonts w:ascii="宋体" w:hAnsi="宋体" w:eastAsia="宋体"/>
                <w:sz w:val="24"/>
              </w:rPr>
              <w:t>(2024年度)</w:t>
            </w:r>
          </w:p>
        </w:tc>
      </w:tr>
      <w:tr w14:paraId="014A10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7D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6FB30D">
            <w:pPr>
              <w:jc w:val="center"/>
            </w:pPr>
            <w:r>
              <w:rPr>
                <w:rFonts w:ascii="宋体" w:hAnsi="宋体" w:eastAsia="宋体"/>
                <w:sz w:val="16"/>
              </w:rPr>
              <w:t>2023年1995年前退休（退职）人员2023年4月-2024年3月退休生活补贴项目</w:t>
            </w:r>
          </w:p>
        </w:tc>
      </w:tr>
      <w:tr w14:paraId="1AB0D1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30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F0A237">
            <w:pPr>
              <w:jc w:val="center"/>
            </w:pPr>
            <w:r>
              <w:rPr>
                <w:rFonts w:ascii="宋体" w:hAnsi="宋体" w:eastAsia="宋体"/>
                <w:sz w:val="16"/>
              </w:rPr>
              <w:t>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8B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0AFF6E">
            <w:pPr>
              <w:jc w:val="center"/>
            </w:pPr>
            <w:r>
              <w:rPr>
                <w:rFonts w:ascii="宋体" w:hAnsi="宋体" w:eastAsia="宋体"/>
                <w:sz w:val="16"/>
              </w:rPr>
              <w:t>新疆维吾尔自治区喀什地区社会保险服务中心</w:t>
            </w:r>
          </w:p>
        </w:tc>
      </w:tr>
      <w:tr w14:paraId="037199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BC9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F960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E233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A57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02E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E9E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903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3C3F">
            <w:pPr>
              <w:jc w:val="center"/>
            </w:pPr>
            <w:r>
              <w:rPr>
                <w:rFonts w:ascii="宋体" w:hAnsi="宋体" w:eastAsia="宋体"/>
                <w:sz w:val="16"/>
              </w:rPr>
              <w:t>得分</w:t>
            </w:r>
          </w:p>
        </w:tc>
      </w:tr>
      <w:tr w14:paraId="1D80C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C19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CEA9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24D28">
            <w:pPr>
              <w:jc w:val="center"/>
            </w:pPr>
            <w:r>
              <w:rPr>
                <w:rFonts w:ascii="宋体" w:hAnsi="宋体" w:eastAsia="宋体"/>
                <w:sz w:val="16"/>
              </w:rPr>
              <w:t>11.37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5FE0E">
            <w:pPr>
              <w:jc w:val="center"/>
            </w:pPr>
            <w:r>
              <w:rPr>
                <w:rFonts w:ascii="宋体" w:hAnsi="宋体" w:eastAsia="宋体"/>
                <w:sz w:val="16"/>
              </w:rPr>
              <w:t>11.37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630CF">
            <w:pPr>
              <w:jc w:val="center"/>
            </w:pPr>
            <w:r>
              <w:rPr>
                <w:rFonts w:ascii="宋体" w:hAnsi="宋体" w:eastAsia="宋体"/>
                <w:sz w:val="16"/>
              </w:rPr>
              <w:t>11.37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1A9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4170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C3BF">
            <w:pPr>
              <w:jc w:val="center"/>
            </w:pPr>
            <w:r>
              <w:rPr>
                <w:rFonts w:ascii="宋体" w:hAnsi="宋体" w:eastAsia="宋体"/>
                <w:sz w:val="16"/>
              </w:rPr>
              <w:t>10.00分</w:t>
            </w:r>
          </w:p>
        </w:tc>
      </w:tr>
      <w:tr w14:paraId="146D0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542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87B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3C686">
            <w:pPr>
              <w:jc w:val="center"/>
            </w:pPr>
            <w:r>
              <w:rPr>
                <w:rFonts w:ascii="宋体" w:hAnsi="宋体" w:eastAsia="宋体"/>
                <w:sz w:val="16"/>
              </w:rPr>
              <w:t>11.37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36503">
            <w:pPr>
              <w:jc w:val="center"/>
            </w:pPr>
            <w:r>
              <w:rPr>
                <w:rFonts w:ascii="宋体" w:hAnsi="宋体" w:eastAsia="宋体"/>
                <w:sz w:val="16"/>
              </w:rPr>
              <w:t>11.37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E763C">
            <w:pPr>
              <w:jc w:val="center"/>
            </w:pPr>
            <w:r>
              <w:rPr>
                <w:rFonts w:ascii="宋体" w:hAnsi="宋体" w:eastAsia="宋体"/>
                <w:sz w:val="16"/>
              </w:rPr>
              <w:t>11.37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3E3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305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B4C3">
            <w:pPr>
              <w:jc w:val="center"/>
            </w:pPr>
            <w:r>
              <w:rPr>
                <w:rFonts w:ascii="宋体" w:hAnsi="宋体" w:eastAsia="宋体"/>
                <w:sz w:val="16"/>
              </w:rPr>
              <w:t>—</w:t>
            </w:r>
          </w:p>
        </w:tc>
      </w:tr>
      <w:tr w14:paraId="608E1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B43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DA4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074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513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05D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A86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9A0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6FD9">
            <w:pPr>
              <w:jc w:val="center"/>
            </w:pPr>
            <w:r>
              <w:rPr>
                <w:rFonts w:ascii="宋体" w:hAnsi="宋体" w:eastAsia="宋体"/>
                <w:sz w:val="16"/>
              </w:rPr>
              <w:t>—</w:t>
            </w:r>
          </w:p>
        </w:tc>
      </w:tr>
      <w:tr w14:paraId="59039A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B664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41D6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6F5236">
            <w:pPr>
              <w:jc w:val="center"/>
            </w:pPr>
            <w:r>
              <w:rPr>
                <w:rFonts w:ascii="宋体" w:hAnsi="宋体" w:eastAsia="宋体"/>
                <w:sz w:val="16"/>
              </w:rPr>
              <w:t>实际完成情况</w:t>
            </w:r>
          </w:p>
        </w:tc>
      </w:tr>
      <w:tr w14:paraId="230CD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ADC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71B7D7">
            <w:pPr>
              <w:jc w:val="both"/>
            </w:pPr>
            <w:r>
              <w:rPr>
                <w:rFonts w:ascii="宋体" w:hAnsi="宋体" w:eastAsia="宋体"/>
                <w:sz w:val="16"/>
              </w:rPr>
              <w:t>2024年预算11.37万元，用于支付1995年前退休（退职）人员生活补助。保障1995年前退休231名职工按文件标准每人每月补助120元生活待遇，确保退休职工老有所养、老有所依。</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48EE13">
            <w:pPr>
              <w:jc w:val="both"/>
            </w:pPr>
            <w:r>
              <w:rPr>
                <w:rFonts w:ascii="宋体" w:hAnsi="宋体" w:eastAsia="宋体"/>
                <w:sz w:val="16"/>
              </w:rPr>
              <w:t>截至目前，1995年前退休人员生活补助项目11.37万元已执行完毕，该项目的实施确保了退休人员安享晚年！</w:t>
            </w:r>
          </w:p>
        </w:tc>
      </w:tr>
      <w:tr w14:paraId="1D2474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37B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416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BA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31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ED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49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775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A8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C5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08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FB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79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D3402">
            <w:pPr>
              <w:jc w:val="center"/>
            </w:pPr>
            <w:r>
              <w:rPr>
                <w:rFonts w:ascii="宋体" w:hAnsi="宋体" w:eastAsia="宋体"/>
                <w:sz w:val="16"/>
              </w:rPr>
              <w:t>偏差原因分析及改进措施</w:t>
            </w:r>
          </w:p>
        </w:tc>
      </w:tr>
      <w:tr w14:paraId="2B714D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EC2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8B6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7E2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36FA">
            <w:pPr>
              <w:jc w:val="center"/>
            </w:pPr>
            <w:r>
              <w:rPr>
                <w:rFonts w:ascii="宋体" w:hAnsi="宋体" w:eastAsia="宋体"/>
                <w:sz w:val="16"/>
              </w:rPr>
              <w:t>企业1995年12月31日前退休（退职）补助人数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E59E">
            <w:pPr>
              <w:jc w:val="center"/>
            </w:pPr>
            <w:r>
              <w:rPr>
                <w:rFonts w:ascii="宋体" w:hAnsi="宋体" w:eastAsia="宋体"/>
                <w:sz w:val="16"/>
              </w:rPr>
              <w:t>=231人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A2B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A20C">
            <w:pPr>
              <w:jc w:val="center"/>
            </w:pPr>
            <w:r>
              <w:rPr>
                <w:rFonts w:ascii="宋体" w:hAnsi="宋体" w:eastAsia="宋体"/>
                <w:sz w:val="16"/>
              </w:rPr>
              <w:t>233人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AE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0B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19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F780">
            <w:pPr>
              <w:jc w:val="center"/>
            </w:pPr>
            <w:r>
              <w:rPr>
                <w:rFonts w:ascii="宋体" w:hAnsi="宋体" w:eastAsia="宋体"/>
                <w:sz w:val="16"/>
              </w:rPr>
              <w:t>=231人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FE5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85362">
            <w:pPr>
              <w:jc w:val="center"/>
            </w:pPr>
          </w:p>
        </w:tc>
      </w:tr>
      <w:tr w14:paraId="7DB1AE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F91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09A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39F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74EA">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4475">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A4A7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74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30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F2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18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ECD3">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4FC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783A6">
            <w:pPr>
              <w:jc w:val="center"/>
            </w:pPr>
          </w:p>
        </w:tc>
      </w:tr>
      <w:tr w14:paraId="1254E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177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769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82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F541">
            <w:pPr>
              <w:jc w:val="center"/>
            </w:pPr>
            <w:r>
              <w:rPr>
                <w:rFonts w:ascii="宋体" w:hAnsi="宋体" w:eastAsia="宋体"/>
                <w:sz w:val="16"/>
              </w:rPr>
              <w:t>按补贴标准足额发放率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AC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AAA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F1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9E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3F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C0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55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3DF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F0166">
            <w:pPr>
              <w:jc w:val="center"/>
            </w:pPr>
          </w:p>
        </w:tc>
      </w:tr>
      <w:tr w14:paraId="34A1F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87F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0E7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9238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485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B6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1B9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5B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2E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DE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50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1C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D35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4D20F">
            <w:pPr>
              <w:jc w:val="center"/>
            </w:pPr>
          </w:p>
        </w:tc>
      </w:tr>
      <w:tr w14:paraId="038584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D84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0D9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10C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13A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4FA58">
            <w:pPr>
              <w:jc w:val="center"/>
            </w:pPr>
            <w:r>
              <w:rPr>
                <w:rFonts w:ascii="宋体" w:hAnsi="宋体" w:eastAsia="宋体"/>
                <w:sz w:val="16"/>
              </w:rPr>
              <w:t>=2024年4月30日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B2A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02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D5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7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E5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9116">
            <w:pPr>
              <w:jc w:val="center"/>
            </w:pPr>
            <w:r>
              <w:rPr>
                <w:rFonts w:ascii="宋体" w:hAnsi="宋体" w:eastAsia="宋体"/>
                <w:sz w:val="16"/>
              </w:rPr>
              <w:t>=2024年4月30日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AA8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85B2D">
            <w:pPr>
              <w:jc w:val="center"/>
            </w:pPr>
          </w:p>
        </w:tc>
      </w:tr>
      <w:tr w14:paraId="0BB8D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C97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511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4C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8E65">
            <w:pPr>
              <w:jc w:val="center"/>
            </w:pPr>
            <w:r>
              <w:rPr>
                <w:rFonts w:ascii="宋体" w:hAnsi="宋体" w:eastAsia="宋体"/>
                <w:sz w:val="16"/>
              </w:rPr>
              <w:t>1995年12月31日前退休（退职）人员生活补贴发放标准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1D72">
            <w:pPr>
              <w:jc w:val="center"/>
            </w:pPr>
            <w:r>
              <w:rPr>
                <w:rFonts w:ascii="宋体" w:hAnsi="宋体" w:eastAsia="宋体"/>
                <w:sz w:val="16"/>
              </w:rPr>
              <w:t>&lt;=120元/月/人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486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D52EE">
            <w:pPr>
              <w:jc w:val="center"/>
            </w:pPr>
            <w:r>
              <w:rPr>
                <w:rFonts w:ascii="宋体" w:hAnsi="宋体" w:eastAsia="宋体"/>
                <w:sz w:val="16"/>
              </w:rPr>
              <w:t>=120元/月/人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48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7A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62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187E">
            <w:pPr>
              <w:jc w:val="center"/>
            </w:pPr>
            <w:r>
              <w:rPr>
                <w:rFonts w:ascii="宋体" w:hAnsi="宋体" w:eastAsia="宋体"/>
                <w:sz w:val="16"/>
              </w:rPr>
              <w:t>=120元/月/人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D9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C01B6">
            <w:pPr>
              <w:jc w:val="center"/>
            </w:pPr>
          </w:p>
        </w:tc>
      </w:tr>
      <w:tr w14:paraId="6495BF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4BE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EAAF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66F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EE2B">
            <w:pPr>
              <w:jc w:val="center"/>
            </w:pPr>
            <w:r>
              <w:rPr>
                <w:rFonts w:hint="eastAsia" w:ascii="宋体" w:hAnsi="宋体"/>
                <w:sz w:val="16"/>
                <w:lang w:eastAsia="zh-CN"/>
              </w:rPr>
              <w:t>群体性上访事件</w:t>
            </w:r>
            <w:r>
              <w:rPr>
                <w:rFonts w:ascii="宋体" w:hAnsi="宋体" w:eastAsia="宋体"/>
                <w:sz w:val="16"/>
              </w:rPr>
              <w:t>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503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F2A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DE1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F0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CD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59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81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62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21B92">
            <w:pPr>
              <w:jc w:val="center"/>
            </w:pPr>
          </w:p>
        </w:tc>
      </w:tr>
      <w:tr w14:paraId="5B305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F07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3B0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5B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4285">
            <w:pPr>
              <w:jc w:val="center"/>
            </w:pPr>
            <w:r>
              <w:rPr>
                <w:rFonts w:ascii="宋体" w:hAnsi="宋体" w:eastAsia="宋体"/>
                <w:sz w:val="16"/>
              </w:rPr>
              <w:t>保障1995年前退休（退职）人员待遇，维护社会稳固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687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5CA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0E8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70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E6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19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276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4B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47786">
            <w:pPr>
              <w:jc w:val="center"/>
            </w:pPr>
          </w:p>
        </w:tc>
      </w:tr>
      <w:tr w14:paraId="60304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901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84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F8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7BDE">
            <w:pPr>
              <w:jc w:val="center"/>
            </w:pPr>
            <w:r>
              <w:rPr>
                <w:rFonts w:ascii="宋体" w:hAnsi="宋体" w:eastAsia="宋体"/>
                <w:sz w:val="16"/>
              </w:rPr>
              <w:t>退休（退职）人员满意度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72A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976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4E3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FE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37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62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3AB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69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B868D">
            <w:pPr>
              <w:jc w:val="center"/>
            </w:pPr>
          </w:p>
        </w:tc>
      </w:tr>
      <w:tr w14:paraId="6DB833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A65F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DDF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A45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D02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D8C76C"/>
        </w:tc>
      </w:tr>
    </w:tbl>
    <w:p w14:paraId="10EB16E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9A8A525">
        <w:tblPrEx>
          <w:tblCellMar>
            <w:top w:w="0" w:type="dxa"/>
            <w:left w:w="108" w:type="dxa"/>
            <w:bottom w:w="0" w:type="dxa"/>
            <w:right w:w="108" w:type="dxa"/>
          </w:tblCellMar>
        </w:tblPrEx>
        <w:tc>
          <w:tcPr>
            <w:tcW w:w="8848" w:type="dxa"/>
            <w:gridSpan w:val="14"/>
            <w:vAlign w:val="center"/>
          </w:tcPr>
          <w:p w14:paraId="29F699F1">
            <w:pPr>
              <w:jc w:val="center"/>
            </w:pPr>
            <w:r>
              <w:rPr>
                <w:rFonts w:ascii="宋体" w:hAnsi="宋体" w:eastAsia="宋体"/>
                <w:sz w:val="24"/>
              </w:rPr>
              <w:t>项目支出绩效自评表</w:t>
            </w:r>
          </w:p>
        </w:tc>
      </w:tr>
      <w:tr w14:paraId="287FD5D4">
        <w:tblPrEx>
          <w:tblCellMar>
            <w:top w:w="0" w:type="dxa"/>
            <w:left w:w="108" w:type="dxa"/>
            <w:bottom w:w="0" w:type="dxa"/>
            <w:right w:w="108" w:type="dxa"/>
          </w:tblCellMar>
        </w:tblPrEx>
        <w:tc>
          <w:tcPr>
            <w:tcW w:w="8848" w:type="dxa"/>
            <w:gridSpan w:val="14"/>
            <w:vAlign w:val="center"/>
          </w:tcPr>
          <w:p w14:paraId="5220F88D">
            <w:pPr>
              <w:jc w:val="center"/>
            </w:pPr>
            <w:r>
              <w:rPr>
                <w:rFonts w:ascii="宋体" w:hAnsi="宋体" w:eastAsia="宋体"/>
                <w:sz w:val="24"/>
              </w:rPr>
              <w:t>(2024年度)</w:t>
            </w:r>
          </w:p>
        </w:tc>
      </w:tr>
      <w:tr w14:paraId="563ADF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FA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ECC889">
            <w:pPr>
              <w:jc w:val="center"/>
            </w:pPr>
            <w:r>
              <w:rPr>
                <w:rFonts w:ascii="宋体" w:hAnsi="宋体" w:eastAsia="宋体"/>
                <w:sz w:val="16"/>
              </w:rPr>
              <w:t>2024年自治区财政社保经办机构业务补助项目</w:t>
            </w:r>
          </w:p>
        </w:tc>
      </w:tr>
      <w:tr w14:paraId="27BFCE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C9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EC7E5">
            <w:pPr>
              <w:jc w:val="center"/>
            </w:pPr>
            <w:r>
              <w:rPr>
                <w:rFonts w:ascii="宋体" w:hAnsi="宋体" w:eastAsia="宋体"/>
                <w:sz w:val="16"/>
              </w:rPr>
              <w:t>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34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23100D">
            <w:pPr>
              <w:jc w:val="center"/>
            </w:pPr>
            <w:r>
              <w:rPr>
                <w:rFonts w:ascii="宋体" w:hAnsi="宋体" w:eastAsia="宋体"/>
                <w:sz w:val="16"/>
              </w:rPr>
              <w:t>新疆维吾尔自治区喀什地区社会保险服务中心</w:t>
            </w:r>
          </w:p>
        </w:tc>
      </w:tr>
      <w:tr w14:paraId="0114B1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93E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719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149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8CF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BD0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EC9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E7F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EA25">
            <w:pPr>
              <w:jc w:val="center"/>
            </w:pPr>
            <w:r>
              <w:rPr>
                <w:rFonts w:ascii="宋体" w:hAnsi="宋体" w:eastAsia="宋体"/>
                <w:sz w:val="16"/>
              </w:rPr>
              <w:t>得分</w:t>
            </w:r>
          </w:p>
        </w:tc>
      </w:tr>
      <w:tr w14:paraId="29620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CA7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5CC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A0A7D">
            <w:pPr>
              <w:jc w:val="center"/>
            </w:pPr>
            <w:r>
              <w:rPr>
                <w:rFonts w:ascii="宋体" w:hAnsi="宋体" w:eastAsia="宋体"/>
                <w:sz w:val="16"/>
              </w:rPr>
              <w:t>26.73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2D0F2">
            <w:pPr>
              <w:jc w:val="center"/>
            </w:pPr>
            <w:r>
              <w:rPr>
                <w:rFonts w:ascii="宋体" w:hAnsi="宋体" w:eastAsia="宋体"/>
                <w:sz w:val="16"/>
              </w:rPr>
              <w:t>26.73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8EA5C">
            <w:pPr>
              <w:jc w:val="center"/>
            </w:pPr>
            <w:r>
              <w:rPr>
                <w:rFonts w:ascii="宋体" w:hAnsi="宋体" w:eastAsia="宋体"/>
                <w:sz w:val="16"/>
              </w:rPr>
              <w:t>26.73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AE6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3C83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E235">
            <w:pPr>
              <w:jc w:val="center"/>
            </w:pPr>
            <w:r>
              <w:rPr>
                <w:rFonts w:ascii="宋体" w:hAnsi="宋体" w:eastAsia="宋体"/>
                <w:sz w:val="16"/>
              </w:rPr>
              <w:t>10.00分</w:t>
            </w:r>
          </w:p>
        </w:tc>
      </w:tr>
      <w:tr w14:paraId="518D3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196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0B6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946D2">
            <w:pPr>
              <w:jc w:val="center"/>
            </w:pPr>
            <w:r>
              <w:rPr>
                <w:rFonts w:ascii="宋体" w:hAnsi="宋体" w:eastAsia="宋体"/>
                <w:sz w:val="16"/>
              </w:rPr>
              <w:t>26.73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26431">
            <w:pPr>
              <w:jc w:val="center"/>
            </w:pPr>
            <w:r>
              <w:rPr>
                <w:rFonts w:ascii="宋体" w:hAnsi="宋体" w:eastAsia="宋体"/>
                <w:sz w:val="16"/>
              </w:rPr>
              <w:t>26.73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4EED1">
            <w:pPr>
              <w:jc w:val="center"/>
            </w:pPr>
            <w:r>
              <w:rPr>
                <w:rFonts w:ascii="宋体" w:hAnsi="宋体" w:eastAsia="宋体"/>
                <w:sz w:val="16"/>
              </w:rPr>
              <w:t>26.73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D0C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E82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5963">
            <w:pPr>
              <w:jc w:val="center"/>
            </w:pPr>
            <w:r>
              <w:rPr>
                <w:rFonts w:ascii="宋体" w:hAnsi="宋体" w:eastAsia="宋体"/>
                <w:sz w:val="16"/>
              </w:rPr>
              <w:t>—</w:t>
            </w:r>
          </w:p>
        </w:tc>
      </w:tr>
      <w:tr w14:paraId="002948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770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21A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3FD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A2A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7EF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F60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6C9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AEE6">
            <w:pPr>
              <w:jc w:val="center"/>
            </w:pPr>
            <w:r>
              <w:rPr>
                <w:rFonts w:ascii="宋体" w:hAnsi="宋体" w:eastAsia="宋体"/>
                <w:sz w:val="16"/>
              </w:rPr>
              <w:t>—</w:t>
            </w:r>
          </w:p>
        </w:tc>
      </w:tr>
      <w:tr w14:paraId="75DAD8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1CD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08534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0ECBA1">
            <w:pPr>
              <w:jc w:val="center"/>
            </w:pPr>
            <w:r>
              <w:rPr>
                <w:rFonts w:ascii="宋体" w:hAnsi="宋体" w:eastAsia="宋体"/>
                <w:sz w:val="16"/>
              </w:rPr>
              <w:t>实际完成情况</w:t>
            </w:r>
          </w:p>
        </w:tc>
      </w:tr>
      <w:tr w14:paraId="5EE651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BC7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DBA06">
            <w:pPr>
              <w:jc w:val="both"/>
            </w:pPr>
            <w:r>
              <w:rPr>
                <w:rFonts w:ascii="宋体" w:hAnsi="宋体" w:eastAsia="宋体"/>
                <w:sz w:val="16"/>
              </w:rPr>
              <w:t>该项目2024年预算数26.73万元，支付9名代办员补助经费按文件标准补助共7个月，每人每月750元，共计4.73万元，全民参保经费11万元用于委托第三方服务机构1家，3万用于社保政策宣传。扩面经费8万元：聘请引导员2人，补充采购办公用品7批，采购各类所需物品和宣传社保业务。项目的实施，有效推进各级社保经办机构相关业务开展，实现人人都享有社会保障的权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F8A5A4">
            <w:pPr>
              <w:jc w:val="both"/>
            </w:pPr>
            <w:r>
              <w:rPr>
                <w:rFonts w:ascii="宋体" w:hAnsi="宋体" w:eastAsia="宋体"/>
                <w:sz w:val="16"/>
              </w:rPr>
              <w:t>该项目支付9名代办员补助经费按文件标准补助共7个月，每人每月750元，共计4.73万元，使他们安心工作的同时也照顾好家人，委托第三方内审使我们社保业务更规范，查漏补缺。采购各类所需物品和宣传社保业务。项目的实施，有效推进各级社保经办机构相关业务开展，助力社会保障工作。</w:t>
            </w:r>
          </w:p>
        </w:tc>
      </w:tr>
      <w:tr w14:paraId="0B40CB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2D0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A8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8E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F4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648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6F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A79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4F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B5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1F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895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6E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BBD24">
            <w:pPr>
              <w:jc w:val="center"/>
            </w:pPr>
            <w:r>
              <w:rPr>
                <w:rFonts w:ascii="宋体" w:hAnsi="宋体" w:eastAsia="宋体"/>
                <w:sz w:val="16"/>
              </w:rPr>
              <w:t>偏差原因分析及改进措施</w:t>
            </w:r>
          </w:p>
        </w:tc>
      </w:tr>
      <w:tr w14:paraId="2A06D3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663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1B9A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D83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F9A4">
            <w:pPr>
              <w:jc w:val="center"/>
            </w:pPr>
            <w:r>
              <w:rPr>
                <w:rFonts w:ascii="宋体" w:hAnsi="宋体" w:eastAsia="宋体"/>
                <w:sz w:val="16"/>
              </w:rPr>
              <w:t>代办员补助月数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936A">
            <w:pPr>
              <w:jc w:val="center"/>
            </w:pPr>
            <w:r>
              <w:rPr>
                <w:rFonts w:ascii="宋体" w:hAnsi="宋体" w:eastAsia="宋体"/>
                <w:sz w:val="16"/>
              </w:rPr>
              <w:t>=7月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A8E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B1AC">
            <w:pPr>
              <w:jc w:val="center"/>
            </w:pPr>
            <w:r>
              <w:rPr>
                <w:rFonts w:ascii="宋体" w:hAnsi="宋体" w:eastAsia="宋体"/>
                <w:sz w:val="16"/>
              </w:rPr>
              <w:t>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099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66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E5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0ADA">
            <w:pPr>
              <w:jc w:val="center"/>
            </w:pPr>
            <w:r>
              <w:rPr>
                <w:rFonts w:ascii="宋体" w:hAnsi="宋体" w:eastAsia="宋体"/>
                <w:sz w:val="16"/>
              </w:rPr>
              <w:t>=7月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18B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00F00">
            <w:pPr>
              <w:jc w:val="center"/>
            </w:pPr>
          </w:p>
        </w:tc>
      </w:tr>
      <w:tr w14:paraId="643E85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738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0D9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B5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F0B9">
            <w:pPr>
              <w:jc w:val="center"/>
            </w:pPr>
            <w:r>
              <w:rPr>
                <w:rFonts w:ascii="宋体" w:hAnsi="宋体" w:eastAsia="宋体"/>
                <w:sz w:val="16"/>
              </w:rPr>
              <w:t>代办员人数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62F5">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3DA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713F">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B43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7B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BE2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564A">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51C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7C354">
            <w:pPr>
              <w:jc w:val="center"/>
            </w:pPr>
          </w:p>
        </w:tc>
      </w:tr>
      <w:tr w14:paraId="66F00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BB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BA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05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A94B">
            <w:pPr>
              <w:jc w:val="center"/>
            </w:pPr>
            <w:r>
              <w:rPr>
                <w:rFonts w:ascii="宋体" w:hAnsi="宋体" w:eastAsia="宋体"/>
                <w:sz w:val="16"/>
              </w:rPr>
              <w:t>委托第三方服务机构数量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7952">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F015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9CC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D6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4C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7D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AF53">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C7A2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A813D">
            <w:pPr>
              <w:jc w:val="center"/>
            </w:pPr>
          </w:p>
        </w:tc>
      </w:tr>
      <w:tr w14:paraId="71249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2C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850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CB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9D4E">
            <w:pPr>
              <w:jc w:val="center"/>
            </w:pPr>
            <w:r>
              <w:rPr>
                <w:rFonts w:ascii="宋体" w:hAnsi="宋体" w:eastAsia="宋体"/>
                <w:sz w:val="16"/>
              </w:rPr>
              <w:t>代办员人数覆盖率（%）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6DB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ED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44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C4E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002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E03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9C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E8C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72320">
            <w:pPr>
              <w:jc w:val="center"/>
            </w:pPr>
          </w:p>
        </w:tc>
      </w:tr>
      <w:tr w14:paraId="7BBF1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FE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7EE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E28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C74F">
            <w:pPr>
              <w:jc w:val="center"/>
            </w:pPr>
            <w:r>
              <w:rPr>
                <w:rFonts w:ascii="宋体" w:hAnsi="宋体" w:eastAsia="宋体"/>
                <w:sz w:val="16"/>
              </w:rPr>
              <w:t>资金发放（补助）及时率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1B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7E4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56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D3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3FC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B9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4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882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CA828">
            <w:pPr>
              <w:jc w:val="center"/>
            </w:pPr>
          </w:p>
        </w:tc>
      </w:tr>
      <w:tr w14:paraId="35778A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2D5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2AE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73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560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AED3">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72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30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F5B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B0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D9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E63D6">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304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0A405">
            <w:pPr>
              <w:jc w:val="center"/>
            </w:pPr>
          </w:p>
        </w:tc>
      </w:tr>
      <w:tr w14:paraId="5458C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F2B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3D5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AC3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41BC">
            <w:pPr>
              <w:jc w:val="center"/>
            </w:pPr>
            <w:r>
              <w:rPr>
                <w:rFonts w:ascii="宋体" w:hAnsi="宋体" w:eastAsia="宋体"/>
                <w:sz w:val="16"/>
              </w:rPr>
              <w:t>每人每月补助标准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EA19">
            <w:pPr>
              <w:jc w:val="center"/>
            </w:pPr>
            <w:r>
              <w:rPr>
                <w:rFonts w:ascii="宋体" w:hAnsi="宋体" w:eastAsia="宋体"/>
                <w:sz w:val="16"/>
              </w:rPr>
              <w:t>=750元/人/月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D12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A8C5">
            <w:pPr>
              <w:jc w:val="center"/>
            </w:pPr>
            <w:r>
              <w:rPr>
                <w:rFonts w:ascii="宋体" w:hAnsi="宋体" w:eastAsia="宋体"/>
                <w:sz w:val="16"/>
              </w:rPr>
              <w:t>750元/人/月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DF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11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15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72E7">
            <w:pPr>
              <w:jc w:val="center"/>
            </w:pPr>
            <w:r>
              <w:rPr>
                <w:rFonts w:ascii="宋体" w:hAnsi="宋体" w:eastAsia="宋体"/>
                <w:sz w:val="16"/>
              </w:rPr>
              <w:t>=750元/人/月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13F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4F504">
            <w:pPr>
              <w:jc w:val="center"/>
            </w:pPr>
          </w:p>
        </w:tc>
      </w:tr>
      <w:tr w14:paraId="1E4E96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9C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137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4DB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B6E8">
            <w:pPr>
              <w:jc w:val="center"/>
            </w:pPr>
            <w:r>
              <w:rPr>
                <w:rFonts w:ascii="宋体" w:hAnsi="宋体" w:eastAsia="宋体"/>
                <w:sz w:val="16"/>
              </w:rPr>
              <w:t>扩面经费支出成本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9B4E">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3E6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3B03">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CEA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82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1B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6CB9">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71F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BB7DB">
            <w:pPr>
              <w:jc w:val="center"/>
            </w:pPr>
          </w:p>
        </w:tc>
      </w:tr>
      <w:tr w14:paraId="4D63A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5E2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0B1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83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63EC">
            <w:pPr>
              <w:jc w:val="center"/>
            </w:pPr>
            <w:r>
              <w:rPr>
                <w:rFonts w:ascii="宋体" w:hAnsi="宋体" w:eastAsia="宋体"/>
                <w:sz w:val="16"/>
              </w:rPr>
              <w:t>全民参保成本支出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24FB">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83A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47B3">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5B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7C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77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A035">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5B5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D71FC">
            <w:pPr>
              <w:jc w:val="center"/>
            </w:pPr>
          </w:p>
        </w:tc>
      </w:tr>
      <w:tr w14:paraId="3DE3A6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9F5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93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E6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8D3C">
            <w:pPr>
              <w:jc w:val="center"/>
            </w:pPr>
            <w:r>
              <w:rPr>
                <w:rFonts w:ascii="宋体" w:hAnsi="宋体" w:eastAsia="宋体"/>
                <w:sz w:val="16"/>
              </w:rPr>
              <w:t>提升社会保险的知晓率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B1C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DF2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F8E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1C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84F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A8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861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B3C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E6C28">
            <w:pPr>
              <w:jc w:val="center"/>
            </w:pPr>
          </w:p>
        </w:tc>
      </w:tr>
      <w:tr w14:paraId="4E5E9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2A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B9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F0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0E645">
            <w:pPr>
              <w:jc w:val="center"/>
            </w:pPr>
            <w:r>
              <w:rPr>
                <w:rFonts w:ascii="宋体" w:hAnsi="宋体" w:eastAsia="宋体"/>
                <w:sz w:val="16"/>
              </w:rPr>
              <w:t>代办员及工作人员满意度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E22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7391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8E1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6D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074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1C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20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8D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6A3EB">
            <w:pPr>
              <w:jc w:val="center"/>
            </w:pPr>
          </w:p>
        </w:tc>
      </w:tr>
      <w:tr w14:paraId="73875FB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7057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6A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E0146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D1D7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55595E"/>
        </w:tc>
      </w:tr>
    </w:tbl>
    <w:p w14:paraId="25F734C0">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22"/>
        <w:gridCol w:w="856"/>
        <w:gridCol w:w="606"/>
        <w:gridCol w:w="622"/>
        <w:gridCol w:w="614"/>
        <w:gridCol w:w="606"/>
        <w:gridCol w:w="606"/>
        <w:gridCol w:w="856"/>
        <w:gridCol w:w="632"/>
        <w:gridCol w:w="575"/>
        <w:gridCol w:w="631"/>
      </w:tblGrid>
      <w:tr w14:paraId="6D1C42CF">
        <w:tblPrEx>
          <w:tblCellMar>
            <w:top w:w="0" w:type="dxa"/>
            <w:left w:w="108" w:type="dxa"/>
            <w:bottom w:w="0" w:type="dxa"/>
            <w:right w:w="108" w:type="dxa"/>
          </w:tblCellMar>
        </w:tblPrEx>
        <w:tc>
          <w:tcPr>
            <w:tcW w:w="8848" w:type="dxa"/>
            <w:gridSpan w:val="14"/>
            <w:vAlign w:val="center"/>
          </w:tcPr>
          <w:p w14:paraId="5FBCD769">
            <w:pPr>
              <w:jc w:val="center"/>
            </w:pPr>
            <w:r>
              <w:rPr>
                <w:rFonts w:ascii="宋体" w:hAnsi="宋体" w:eastAsia="宋体"/>
                <w:sz w:val="24"/>
              </w:rPr>
              <w:t>项目支出绩效自评表</w:t>
            </w:r>
          </w:p>
        </w:tc>
      </w:tr>
      <w:tr w14:paraId="2BE5DDD3">
        <w:tblPrEx>
          <w:tblCellMar>
            <w:top w:w="0" w:type="dxa"/>
            <w:left w:w="108" w:type="dxa"/>
            <w:bottom w:w="0" w:type="dxa"/>
            <w:right w:w="108" w:type="dxa"/>
          </w:tblCellMar>
        </w:tblPrEx>
        <w:tc>
          <w:tcPr>
            <w:tcW w:w="8848" w:type="dxa"/>
            <w:gridSpan w:val="14"/>
            <w:vAlign w:val="center"/>
          </w:tcPr>
          <w:p w14:paraId="05EC9CC0">
            <w:pPr>
              <w:jc w:val="center"/>
            </w:pPr>
            <w:r>
              <w:rPr>
                <w:rFonts w:ascii="宋体" w:hAnsi="宋体" w:eastAsia="宋体"/>
                <w:sz w:val="24"/>
              </w:rPr>
              <w:t>(2024年度)</w:t>
            </w:r>
          </w:p>
        </w:tc>
      </w:tr>
      <w:tr w14:paraId="15BDDA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F8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D6F4B6">
            <w:pPr>
              <w:jc w:val="center"/>
            </w:pPr>
            <w:r>
              <w:rPr>
                <w:rFonts w:ascii="宋体" w:hAnsi="宋体" w:eastAsia="宋体"/>
                <w:sz w:val="16"/>
              </w:rPr>
              <w:t>区属国有企业办医院退休人员2024年1月-2025年3月生活补助资金项目</w:t>
            </w:r>
          </w:p>
        </w:tc>
      </w:tr>
      <w:tr w14:paraId="1CC55E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5C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90A7CB">
            <w:pPr>
              <w:jc w:val="center"/>
            </w:pPr>
            <w:r>
              <w:rPr>
                <w:rFonts w:ascii="宋体" w:hAnsi="宋体" w:eastAsia="宋体"/>
                <w:sz w:val="16"/>
              </w:rPr>
              <w:t>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94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DAF4A0">
            <w:pPr>
              <w:jc w:val="center"/>
            </w:pPr>
            <w:r>
              <w:rPr>
                <w:rFonts w:ascii="宋体" w:hAnsi="宋体" w:eastAsia="宋体"/>
                <w:sz w:val="16"/>
              </w:rPr>
              <w:t>新疆维吾尔自治区喀什地区社会保险服务中心</w:t>
            </w:r>
          </w:p>
        </w:tc>
      </w:tr>
      <w:tr w14:paraId="362393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1AC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7F0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84D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C87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20F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AE1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56B0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5492">
            <w:pPr>
              <w:jc w:val="center"/>
            </w:pPr>
            <w:r>
              <w:rPr>
                <w:rFonts w:ascii="宋体" w:hAnsi="宋体" w:eastAsia="宋体"/>
                <w:sz w:val="16"/>
              </w:rPr>
              <w:t>得分</w:t>
            </w:r>
          </w:p>
        </w:tc>
      </w:tr>
      <w:tr w14:paraId="7403D2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FEF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C0E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B0421">
            <w:pPr>
              <w:jc w:val="center"/>
            </w:pPr>
            <w:r>
              <w:rPr>
                <w:rFonts w:ascii="宋体" w:hAnsi="宋体" w:eastAsia="宋体"/>
                <w:sz w:val="16"/>
              </w:rPr>
              <w:t>24.66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9822F">
            <w:pPr>
              <w:jc w:val="center"/>
            </w:pPr>
            <w:r>
              <w:rPr>
                <w:rFonts w:ascii="宋体" w:hAnsi="宋体" w:eastAsia="宋体"/>
                <w:sz w:val="16"/>
              </w:rPr>
              <w:t>82.17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289D2">
            <w:pPr>
              <w:jc w:val="center"/>
            </w:pPr>
            <w:r>
              <w:rPr>
                <w:rFonts w:ascii="宋体" w:hAnsi="宋体" w:eastAsia="宋体"/>
                <w:sz w:val="16"/>
              </w:rPr>
              <w:t>82.17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AF0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DDDB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3225">
            <w:pPr>
              <w:jc w:val="center"/>
            </w:pPr>
            <w:r>
              <w:rPr>
                <w:rFonts w:ascii="宋体" w:hAnsi="宋体" w:eastAsia="宋体"/>
                <w:sz w:val="16"/>
              </w:rPr>
              <w:t>10.00分</w:t>
            </w:r>
          </w:p>
        </w:tc>
      </w:tr>
      <w:tr w14:paraId="3D17D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D11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636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1D7F0">
            <w:pPr>
              <w:jc w:val="center"/>
            </w:pPr>
            <w:r>
              <w:rPr>
                <w:rFonts w:ascii="宋体" w:hAnsi="宋体" w:eastAsia="宋体"/>
                <w:sz w:val="16"/>
              </w:rPr>
              <w:t>24.66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BE3C1">
            <w:pPr>
              <w:jc w:val="center"/>
            </w:pPr>
            <w:r>
              <w:rPr>
                <w:rFonts w:ascii="宋体" w:hAnsi="宋体" w:eastAsia="宋体"/>
                <w:sz w:val="16"/>
              </w:rPr>
              <w:t>82.17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38F62">
            <w:pPr>
              <w:jc w:val="center"/>
            </w:pPr>
            <w:r>
              <w:rPr>
                <w:rFonts w:ascii="宋体" w:hAnsi="宋体" w:eastAsia="宋体"/>
                <w:sz w:val="16"/>
              </w:rPr>
              <w:t>82.17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1C3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A02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DB19">
            <w:pPr>
              <w:jc w:val="center"/>
            </w:pPr>
            <w:r>
              <w:rPr>
                <w:rFonts w:ascii="宋体" w:hAnsi="宋体" w:eastAsia="宋体"/>
                <w:sz w:val="16"/>
              </w:rPr>
              <w:t>—</w:t>
            </w:r>
          </w:p>
        </w:tc>
      </w:tr>
      <w:tr w14:paraId="78921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4D7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E68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56F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61B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92B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F9E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383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450E">
            <w:pPr>
              <w:jc w:val="center"/>
            </w:pPr>
            <w:r>
              <w:rPr>
                <w:rFonts w:ascii="宋体" w:hAnsi="宋体" w:eastAsia="宋体"/>
                <w:sz w:val="16"/>
              </w:rPr>
              <w:t>—</w:t>
            </w:r>
          </w:p>
        </w:tc>
      </w:tr>
      <w:tr w14:paraId="3F974B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19F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0FE6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6F9863">
            <w:pPr>
              <w:jc w:val="center"/>
            </w:pPr>
            <w:r>
              <w:rPr>
                <w:rFonts w:ascii="宋体" w:hAnsi="宋体" w:eastAsia="宋体"/>
                <w:sz w:val="16"/>
              </w:rPr>
              <w:t>实际完成情况</w:t>
            </w:r>
          </w:p>
        </w:tc>
      </w:tr>
      <w:tr w14:paraId="406702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301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0A3E63">
            <w:pPr>
              <w:jc w:val="both"/>
            </w:pPr>
            <w:r>
              <w:rPr>
                <w:rFonts w:ascii="宋体" w:hAnsi="宋体" w:eastAsia="宋体"/>
                <w:sz w:val="16"/>
              </w:rPr>
              <w:t>该项目2024年预算数82.17万元。用于区属国有企业办医院26名退休人员的生活待遇补差。确保退休职工老有所养、老有所依，安享晚年。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381155">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年12月底，共计支出82.17万元，有效地保障了国有企业办医院退休人员26名老人的生活待遇，确保他们待遇不降低，生活水平得到保障，使他们感受到党的温暖，老有所依！</w:t>
            </w:r>
          </w:p>
        </w:tc>
      </w:tr>
      <w:tr w14:paraId="466A72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B597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67C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2DF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A0A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440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119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BA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42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62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E6A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068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6C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D09F2">
            <w:pPr>
              <w:jc w:val="center"/>
            </w:pPr>
            <w:r>
              <w:rPr>
                <w:rFonts w:ascii="宋体" w:hAnsi="宋体" w:eastAsia="宋体"/>
                <w:sz w:val="16"/>
              </w:rPr>
              <w:t>偏差原因分析及改进措施</w:t>
            </w:r>
          </w:p>
        </w:tc>
      </w:tr>
      <w:tr w14:paraId="0068E0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DED8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26BA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242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7C7CC">
            <w:pPr>
              <w:jc w:val="center"/>
            </w:pPr>
            <w:r>
              <w:rPr>
                <w:rFonts w:ascii="宋体" w:hAnsi="宋体" w:eastAsia="宋体"/>
                <w:sz w:val="16"/>
              </w:rPr>
              <w:t>保障国有企业办医院退休人数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2E0F">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F3C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AE13">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88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F97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3C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49B7">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9E4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5FC5D">
            <w:pPr>
              <w:jc w:val="center"/>
            </w:pPr>
          </w:p>
        </w:tc>
      </w:tr>
      <w:tr w14:paraId="4EB25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932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147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5EB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E02C">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9739">
            <w:pPr>
              <w:jc w:val="center"/>
            </w:pPr>
            <w:r>
              <w:rPr>
                <w:rFonts w:ascii="宋体" w:hAnsi="宋体" w:eastAsia="宋体"/>
                <w:sz w:val="16"/>
              </w:rPr>
              <w:t>=12人次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82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FF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27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48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AB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C9D9">
            <w:pPr>
              <w:jc w:val="center"/>
            </w:pPr>
            <w:r>
              <w:rPr>
                <w:rFonts w:ascii="宋体" w:hAnsi="宋体" w:eastAsia="宋体"/>
                <w:sz w:val="16"/>
              </w:rPr>
              <w:t>=12人次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EF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A2369">
            <w:pPr>
              <w:jc w:val="center"/>
            </w:pPr>
          </w:p>
        </w:tc>
      </w:tr>
      <w:tr w14:paraId="71713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47F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E6A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25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7664">
            <w:pPr>
              <w:jc w:val="center"/>
            </w:pPr>
            <w:r>
              <w:rPr>
                <w:rFonts w:ascii="宋体" w:hAnsi="宋体" w:eastAsia="宋体"/>
                <w:sz w:val="16"/>
              </w:rPr>
              <w:t>生活补助覆盖率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28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4FA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DA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7F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F1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17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95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C28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4EC4B">
            <w:pPr>
              <w:jc w:val="center"/>
            </w:pPr>
          </w:p>
        </w:tc>
      </w:tr>
      <w:tr w14:paraId="7A304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E67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A4D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E72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6D9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292A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B1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E7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05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30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57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FCBA">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0E3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1FEDC">
            <w:pPr>
              <w:jc w:val="center"/>
            </w:pPr>
          </w:p>
        </w:tc>
      </w:tr>
      <w:tr w14:paraId="5392D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9C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2B9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3A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D66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83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085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4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98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4A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6B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E1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77E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61777">
            <w:pPr>
              <w:jc w:val="center"/>
            </w:pPr>
          </w:p>
        </w:tc>
      </w:tr>
      <w:tr w14:paraId="19E51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A79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CAA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39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0EFC">
            <w:pPr>
              <w:jc w:val="center"/>
            </w:pPr>
            <w:r>
              <w:rPr>
                <w:rFonts w:ascii="宋体" w:hAnsi="宋体" w:eastAsia="宋体"/>
                <w:sz w:val="16"/>
              </w:rPr>
              <w:t>生活补助发放标准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B0E7">
            <w:pPr>
              <w:jc w:val="center"/>
            </w:pPr>
            <w:r>
              <w:rPr>
                <w:rFonts w:ascii="宋体" w:hAnsi="宋体" w:eastAsia="宋体"/>
                <w:sz w:val="16"/>
              </w:rPr>
              <w:t>=2633.65元/人/次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71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500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FE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E2A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D2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D0E6">
            <w:pPr>
              <w:jc w:val="center"/>
            </w:pPr>
            <w:r>
              <w:rPr>
                <w:rFonts w:ascii="宋体" w:hAnsi="宋体" w:eastAsia="宋体"/>
                <w:sz w:val="16"/>
              </w:rPr>
              <w:t>=2633.65元/人/次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277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95F6E">
            <w:pPr>
              <w:jc w:val="center"/>
            </w:pPr>
          </w:p>
        </w:tc>
      </w:tr>
      <w:tr w14:paraId="37389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0AD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E8A5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E65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E6A9">
            <w:pPr>
              <w:jc w:val="center"/>
            </w:pPr>
            <w:r>
              <w:rPr>
                <w:rFonts w:ascii="宋体" w:hAnsi="宋体" w:eastAsia="宋体"/>
                <w:sz w:val="16"/>
              </w:rPr>
              <w:t>保障国有企业退休人员待遇，维护社会稳固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961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257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1FC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0F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09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54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75E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3D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7EBBC">
            <w:pPr>
              <w:jc w:val="center"/>
            </w:pPr>
          </w:p>
        </w:tc>
      </w:tr>
      <w:tr w14:paraId="2834A4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C42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5FB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ED1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DA76">
            <w:pPr>
              <w:jc w:val="center"/>
            </w:pPr>
            <w:r>
              <w:rPr>
                <w:rFonts w:hint="eastAsia" w:ascii="宋体" w:hAnsi="宋体"/>
                <w:sz w:val="16"/>
                <w:lang w:eastAsia="zh-CN"/>
              </w:rPr>
              <w:t>群体性上访事件</w:t>
            </w:r>
            <w:r>
              <w:rPr>
                <w:rFonts w:ascii="宋体" w:hAnsi="宋体" w:eastAsia="宋体"/>
                <w:sz w:val="16"/>
              </w:rPr>
              <w:t>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662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158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8D1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E0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FB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0D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FBE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09F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1E4A4">
            <w:pPr>
              <w:jc w:val="center"/>
            </w:pPr>
          </w:p>
        </w:tc>
      </w:tr>
      <w:tr w14:paraId="23665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4A2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59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38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6730">
            <w:pPr>
              <w:jc w:val="center"/>
            </w:pPr>
            <w:r>
              <w:rPr>
                <w:rFonts w:ascii="宋体" w:hAnsi="宋体" w:eastAsia="宋体"/>
                <w:sz w:val="16"/>
              </w:rPr>
              <w:t>企业退休人员满意度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BF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851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74F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11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E7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B8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F5C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29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A53A3">
            <w:pPr>
              <w:jc w:val="center"/>
            </w:pPr>
          </w:p>
        </w:tc>
      </w:tr>
      <w:tr w14:paraId="68ECEC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D536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BF4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FFA6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EAB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D27194"/>
        </w:tc>
      </w:tr>
    </w:tbl>
    <w:p w14:paraId="42517C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1A4B93B7">
        <w:tblPrEx>
          <w:tblCellMar>
            <w:top w:w="0" w:type="dxa"/>
            <w:left w:w="108" w:type="dxa"/>
            <w:bottom w:w="0" w:type="dxa"/>
            <w:right w:w="108" w:type="dxa"/>
          </w:tblCellMar>
        </w:tblPrEx>
        <w:tc>
          <w:tcPr>
            <w:tcW w:w="8848" w:type="dxa"/>
            <w:gridSpan w:val="14"/>
            <w:vAlign w:val="center"/>
          </w:tcPr>
          <w:p w14:paraId="4D5EF5E7">
            <w:pPr>
              <w:jc w:val="center"/>
            </w:pPr>
            <w:r>
              <w:rPr>
                <w:rFonts w:ascii="宋体" w:hAnsi="宋体" w:eastAsia="宋体"/>
                <w:sz w:val="24"/>
              </w:rPr>
              <w:t>项目支出绩效自评表</w:t>
            </w:r>
          </w:p>
        </w:tc>
      </w:tr>
      <w:tr w14:paraId="7DA5A327">
        <w:tblPrEx>
          <w:tblCellMar>
            <w:top w:w="0" w:type="dxa"/>
            <w:left w:w="108" w:type="dxa"/>
            <w:bottom w:w="0" w:type="dxa"/>
            <w:right w:w="108" w:type="dxa"/>
          </w:tblCellMar>
        </w:tblPrEx>
        <w:tc>
          <w:tcPr>
            <w:tcW w:w="8848" w:type="dxa"/>
            <w:gridSpan w:val="14"/>
            <w:vAlign w:val="center"/>
          </w:tcPr>
          <w:p w14:paraId="1F28512D">
            <w:pPr>
              <w:jc w:val="center"/>
            </w:pPr>
            <w:r>
              <w:rPr>
                <w:rFonts w:ascii="宋体" w:hAnsi="宋体" w:eastAsia="宋体"/>
                <w:sz w:val="24"/>
              </w:rPr>
              <w:t>(2024年度)</w:t>
            </w:r>
          </w:p>
        </w:tc>
      </w:tr>
      <w:tr w14:paraId="475AB9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C5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FF8413">
            <w:pPr>
              <w:jc w:val="center"/>
            </w:pPr>
            <w:r>
              <w:rPr>
                <w:rFonts w:ascii="宋体" w:hAnsi="宋体" w:eastAsia="宋体"/>
                <w:sz w:val="16"/>
              </w:rPr>
              <w:t>社保大厅运行维护保障项目</w:t>
            </w:r>
          </w:p>
        </w:tc>
      </w:tr>
      <w:tr w14:paraId="16DE98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6E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EDFDBD">
            <w:pPr>
              <w:jc w:val="center"/>
            </w:pPr>
            <w:r>
              <w:rPr>
                <w:rFonts w:ascii="宋体" w:hAnsi="宋体" w:eastAsia="宋体"/>
                <w:sz w:val="16"/>
              </w:rPr>
              <w:t>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76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11BFC0">
            <w:pPr>
              <w:jc w:val="center"/>
            </w:pPr>
            <w:r>
              <w:rPr>
                <w:rFonts w:ascii="宋体" w:hAnsi="宋体" w:eastAsia="宋体"/>
                <w:sz w:val="16"/>
              </w:rPr>
              <w:t>新疆维吾尔自治区喀什地区社会保险服务中心</w:t>
            </w:r>
          </w:p>
        </w:tc>
      </w:tr>
      <w:tr w14:paraId="178CE2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D7F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961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254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273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B134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1C6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5D4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5AD5">
            <w:pPr>
              <w:jc w:val="center"/>
            </w:pPr>
            <w:r>
              <w:rPr>
                <w:rFonts w:ascii="宋体" w:hAnsi="宋体" w:eastAsia="宋体"/>
                <w:sz w:val="16"/>
              </w:rPr>
              <w:t>得分</w:t>
            </w:r>
          </w:p>
        </w:tc>
      </w:tr>
      <w:tr w14:paraId="12244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E9E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807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4A7DB">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8BC39">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C3A5F">
            <w:pPr>
              <w:jc w:val="center"/>
            </w:pPr>
            <w:r>
              <w:rPr>
                <w:rFonts w:ascii="宋体" w:hAnsi="宋体" w:eastAsia="宋体"/>
                <w:sz w:val="16"/>
              </w:rPr>
              <w:t>69.96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F2E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DC42D">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A792">
            <w:pPr>
              <w:jc w:val="center"/>
            </w:pPr>
            <w:r>
              <w:rPr>
                <w:rFonts w:ascii="宋体" w:hAnsi="宋体" w:eastAsia="宋体"/>
                <w:sz w:val="16"/>
              </w:rPr>
              <w:t>9.98分</w:t>
            </w:r>
          </w:p>
        </w:tc>
      </w:tr>
      <w:tr w14:paraId="5D68B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445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F92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6A2DD">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B89F3">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476B4">
            <w:pPr>
              <w:jc w:val="center"/>
            </w:pPr>
            <w:r>
              <w:rPr>
                <w:rFonts w:ascii="宋体" w:hAnsi="宋体" w:eastAsia="宋体"/>
                <w:sz w:val="16"/>
              </w:rPr>
              <w:t>69.96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EBA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7AF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9F823">
            <w:pPr>
              <w:jc w:val="center"/>
            </w:pPr>
            <w:r>
              <w:rPr>
                <w:rFonts w:ascii="宋体" w:hAnsi="宋体" w:eastAsia="宋体"/>
                <w:sz w:val="16"/>
              </w:rPr>
              <w:t>—</w:t>
            </w:r>
          </w:p>
        </w:tc>
      </w:tr>
      <w:tr w14:paraId="5A8201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897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50A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B3F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049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EAB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ADC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D09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2445">
            <w:pPr>
              <w:jc w:val="center"/>
            </w:pPr>
            <w:r>
              <w:rPr>
                <w:rFonts w:ascii="宋体" w:hAnsi="宋体" w:eastAsia="宋体"/>
                <w:sz w:val="16"/>
              </w:rPr>
              <w:t>—</w:t>
            </w:r>
          </w:p>
        </w:tc>
      </w:tr>
      <w:tr w14:paraId="3063E0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474E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04A5F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3FBAAF">
            <w:pPr>
              <w:jc w:val="center"/>
            </w:pPr>
            <w:r>
              <w:rPr>
                <w:rFonts w:ascii="宋体" w:hAnsi="宋体" w:eastAsia="宋体"/>
                <w:sz w:val="16"/>
              </w:rPr>
              <w:t>实际完成情况</w:t>
            </w:r>
          </w:p>
        </w:tc>
      </w:tr>
      <w:tr w14:paraId="22AB6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252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987F29">
            <w:pPr>
              <w:jc w:val="both"/>
            </w:pPr>
            <w:r>
              <w:rPr>
                <w:rFonts w:ascii="宋体" w:hAnsi="宋体" w:eastAsia="宋体"/>
                <w:sz w:val="16"/>
              </w:rPr>
              <w:t>该项目总投资70万元，为本级财力资金，主要用于保障社保经办大厅1个，预计使用44.7万元，社保大厅业务经办28名工作人员，1辆新能源车正常运转预计使用5.3万元，委托业务费预计20万元，项目的实施确保社保大厅环境良好且运转正常，提高公共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3F645C">
            <w:pPr>
              <w:jc w:val="both"/>
            </w:pPr>
            <w:r>
              <w:rPr>
                <w:rFonts w:ascii="宋体" w:hAnsi="宋体" w:eastAsia="宋体"/>
                <w:sz w:val="16"/>
              </w:rPr>
              <w:t>该项目保障1辆新能源汽车的正常运转，社保信息系统数据库正常运行，各项基础设施良性运转，确保大厅工作人员能更好</w:t>
            </w:r>
            <w:r>
              <w:rPr>
                <w:rFonts w:hint="eastAsia" w:ascii="宋体" w:hAnsi="宋体"/>
                <w:sz w:val="16"/>
                <w:lang w:eastAsia="zh-CN"/>
              </w:rPr>
              <w:t>地</w:t>
            </w:r>
            <w:r>
              <w:rPr>
                <w:rFonts w:ascii="宋体" w:hAnsi="宋体" w:eastAsia="宋体"/>
                <w:sz w:val="16"/>
              </w:rPr>
              <w:t>服务群众，提高公共服务水平。让来办事群众感受到温暖和贴心，使他们满意而归。</w:t>
            </w:r>
          </w:p>
        </w:tc>
      </w:tr>
      <w:tr w14:paraId="2C21CC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CAC6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97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E4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05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E20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9B5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E7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E9F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3A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73A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26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CF1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4DEE7">
            <w:pPr>
              <w:jc w:val="center"/>
            </w:pPr>
            <w:r>
              <w:rPr>
                <w:rFonts w:ascii="宋体" w:hAnsi="宋体" w:eastAsia="宋体"/>
                <w:sz w:val="16"/>
              </w:rPr>
              <w:t>偏差原因分析及改进措施</w:t>
            </w:r>
          </w:p>
        </w:tc>
      </w:tr>
      <w:tr w14:paraId="1B4128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98F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6237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D43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177D">
            <w:pPr>
              <w:jc w:val="center"/>
            </w:pPr>
            <w:r>
              <w:rPr>
                <w:rFonts w:ascii="宋体" w:hAnsi="宋体" w:eastAsia="宋体"/>
                <w:sz w:val="16"/>
              </w:rPr>
              <w:t>保障服务大厅数量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4C2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C60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752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C4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76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1D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538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63C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338B8">
            <w:pPr>
              <w:jc w:val="center"/>
            </w:pPr>
          </w:p>
        </w:tc>
      </w:tr>
      <w:tr w14:paraId="75E14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7EE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5D4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BD1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D8B9A">
            <w:pPr>
              <w:jc w:val="center"/>
            </w:pPr>
            <w:r>
              <w:rPr>
                <w:rFonts w:ascii="宋体" w:hAnsi="宋体" w:eastAsia="宋体"/>
                <w:sz w:val="16"/>
              </w:rPr>
              <w:t>公务保障用车数量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C5D2C">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B37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CAEB">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556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41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64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F8E7">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EA2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22B8F">
            <w:pPr>
              <w:jc w:val="center"/>
            </w:pPr>
          </w:p>
        </w:tc>
      </w:tr>
      <w:tr w14:paraId="2F44BF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B53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99C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2DC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F103">
            <w:pPr>
              <w:jc w:val="center"/>
            </w:pPr>
            <w:r>
              <w:rPr>
                <w:rFonts w:ascii="宋体" w:hAnsi="宋体" w:eastAsia="宋体"/>
                <w:sz w:val="16"/>
              </w:rPr>
              <w:t>数据库网络维护机房数量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4AB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3C6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5E3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88F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DD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90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52D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6436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D3137">
            <w:pPr>
              <w:jc w:val="center"/>
            </w:pPr>
          </w:p>
        </w:tc>
      </w:tr>
      <w:tr w14:paraId="3E9FE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B96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0E0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A70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DEFB">
            <w:pPr>
              <w:jc w:val="center"/>
            </w:pPr>
            <w:r>
              <w:rPr>
                <w:rFonts w:ascii="宋体" w:hAnsi="宋体" w:eastAsia="宋体"/>
                <w:sz w:val="16"/>
              </w:rPr>
              <w:t>保障大厅办公人员数量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EA397">
            <w:pPr>
              <w:jc w:val="center"/>
            </w:pPr>
            <w:r>
              <w:rPr>
                <w:rFonts w:ascii="宋体" w:hAnsi="宋体" w:eastAsia="宋体"/>
                <w:sz w:val="16"/>
              </w:rPr>
              <w:t>&gt;=28名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90A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7835">
            <w:pPr>
              <w:jc w:val="center"/>
            </w:pPr>
            <w:r>
              <w:rPr>
                <w:rFonts w:ascii="宋体" w:hAnsi="宋体" w:eastAsia="宋体"/>
                <w:sz w:val="16"/>
              </w:rPr>
              <w:t>28名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F91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EE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90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0220">
            <w:pPr>
              <w:jc w:val="center"/>
            </w:pPr>
            <w:r>
              <w:rPr>
                <w:rFonts w:ascii="宋体" w:hAnsi="宋体" w:eastAsia="宋体"/>
                <w:sz w:val="16"/>
              </w:rPr>
              <w:t>=28名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FCB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81C6B">
            <w:pPr>
              <w:jc w:val="center"/>
            </w:pPr>
          </w:p>
        </w:tc>
      </w:tr>
      <w:tr w14:paraId="7942A0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74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7E4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EA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C98B">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46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2F5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DB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D3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F9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CA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E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92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402A1">
            <w:pPr>
              <w:jc w:val="center"/>
            </w:pPr>
          </w:p>
        </w:tc>
      </w:tr>
      <w:tr w14:paraId="0EB0E0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D5F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118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81B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6BE2">
            <w:pPr>
              <w:jc w:val="center"/>
            </w:pPr>
            <w:r>
              <w:rPr>
                <w:rFonts w:ascii="宋体" w:hAnsi="宋体" w:eastAsia="宋体"/>
                <w:sz w:val="16"/>
              </w:rPr>
              <w:t>公用经费支付及时性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8C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F6D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A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6C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8D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3B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B9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47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79601">
            <w:pPr>
              <w:jc w:val="center"/>
            </w:pPr>
          </w:p>
        </w:tc>
      </w:tr>
      <w:tr w14:paraId="3D0C5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15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C3C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79D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D27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1C87">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C5AC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E5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C1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98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DF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DF00">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C63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C75C7">
            <w:pPr>
              <w:jc w:val="center"/>
            </w:pPr>
          </w:p>
        </w:tc>
      </w:tr>
      <w:tr w14:paraId="43024F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00E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EFD5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C8B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39E5">
            <w:pPr>
              <w:jc w:val="center"/>
            </w:pPr>
            <w:r>
              <w:rPr>
                <w:rFonts w:ascii="宋体" w:hAnsi="宋体" w:eastAsia="宋体"/>
                <w:sz w:val="16"/>
              </w:rPr>
              <w:t>车辆租赁费成本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924F">
            <w:pPr>
              <w:jc w:val="center"/>
            </w:pPr>
            <w:r>
              <w:rPr>
                <w:rFonts w:ascii="宋体" w:hAnsi="宋体" w:eastAsia="宋体"/>
                <w:sz w:val="16"/>
              </w:rPr>
              <w:t>&lt;=5.3万元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4D8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85EF7">
            <w:pPr>
              <w:jc w:val="center"/>
            </w:pPr>
            <w:r>
              <w:rPr>
                <w:rFonts w:ascii="宋体" w:hAnsi="宋体" w:eastAsia="宋体"/>
                <w:sz w:val="16"/>
              </w:rPr>
              <w: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43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877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B8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BAA0">
            <w:pPr>
              <w:jc w:val="center"/>
            </w:pPr>
            <w:r>
              <w:rPr>
                <w:rFonts w:ascii="宋体" w:hAnsi="宋体" w:eastAsia="宋体"/>
                <w:sz w:val="16"/>
              </w:rPr>
              <w:t>=4.7万元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3617">
            <w:pPr>
              <w:jc w:val="center"/>
            </w:pPr>
            <w:r>
              <w:rPr>
                <w:rFonts w:ascii="宋体" w:hAnsi="宋体" w:eastAsia="宋体"/>
                <w:sz w:val="16"/>
              </w:rPr>
              <w:t>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A6138">
            <w:pPr>
              <w:jc w:val="center"/>
            </w:pPr>
            <w:r>
              <w:rPr>
                <w:rFonts w:ascii="宋体" w:hAnsi="宋体" w:eastAsia="宋体"/>
                <w:sz w:val="16"/>
              </w:rPr>
              <w:t>原因：年初预算根据往年签合同金额做预算，实际签合同时金额4.7万元，故产生偏差。改进措施：做好提前对接，使预算更精准，</w:t>
            </w:r>
          </w:p>
        </w:tc>
      </w:tr>
      <w:tr w14:paraId="68385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98B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CA1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102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C69B">
            <w:pPr>
              <w:jc w:val="center"/>
            </w:pPr>
            <w:r>
              <w:rPr>
                <w:rFonts w:ascii="宋体" w:hAnsi="宋体" w:eastAsia="宋体"/>
                <w:sz w:val="16"/>
              </w:rPr>
              <w:t>委托业务费支出成本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D095">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737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020CF">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78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6F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2B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8F43">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DCC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39610">
            <w:pPr>
              <w:jc w:val="center"/>
            </w:pPr>
          </w:p>
        </w:tc>
      </w:tr>
      <w:tr w14:paraId="6A41C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F22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9E5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4B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D23E">
            <w:pPr>
              <w:jc w:val="center"/>
            </w:pPr>
            <w:r>
              <w:rPr>
                <w:rFonts w:ascii="宋体" w:hAnsi="宋体" w:eastAsia="宋体"/>
                <w:sz w:val="16"/>
              </w:rPr>
              <w:t>大厅运行维护成本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55CB">
            <w:pPr>
              <w:jc w:val="center"/>
            </w:pPr>
            <w:r>
              <w:rPr>
                <w:rFonts w:ascii="宋体" w:hAnsi="宋体" w:eastAsia="宋体"/>
                <w:sz w:val="16"/>
              </w:rPr>
              <w:t>&lt;=59.7万元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1B9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D364">
            <w:pPr>
              <w:jc w:val="center"/>
            </w:pPr>
            <w:r>
              <w:rPr>
                <w:rFonts w:ascii="宋体" w:hAnsi="宋体" w:eastAsia="宋体"/>
                <w:sz w:val="16"/>
              </w:rPr>
              <w:t>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4E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EF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02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7DEC">
            <w:pPr>
              <w:jc w:val="center"/>
            </w:pPr>
            <w:r>
              <w:rPr>
                <w:rFonts w:ascii="宋体" w:hAnsi="宋体" w:eastAsia="宋体"/>
                <w:sz w:val="16"/>
              </w:rPr>
              <w:t>=60.26万元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40EE">
            <w:pPr>
              <w:jc w:val="center"/>
            </w:pPr>
            <w:r>
              <w:rPr>
                <w:rFonts w:ascii="宋体" w:hAnsi="宋体" w:eastAsia="宋体"/>
                <w:sz w:val="16"/>
              </w:rPr>
              <w:t>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B62F6">
            <w:pPr>
              <w:jc w:val="center"/>
            </w:pPr>
          </w:p>
        </w:tc>
      </w:tr>
      <w:tr w14:paraId="18E77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16C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30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74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F8F5">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FFE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1C6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3B3F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1A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C4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CC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9B4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27C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0AF15">
            <w:pPr>
              <w:jc w:val="center"/>
            </w:pPr>
          </w:p>
        </w:tc>
      </w:tr>
      <w:tr w14:paraId="6B958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45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5A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B9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9965">
            <w:pPr>
              <w:jc w:val="center"/>
            </w:pPr>
            <w:r>
              <w:rPr>
                <w:rFonts w:ascii="宋体" w:hAnsi="宋体" w:eastAsia="宋体"/>
                <w:sz w:val="16"/>
              </w:rPr>
              <w:t>办事群众满意度（%）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208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CC8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B4A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31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7A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F46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786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E4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1003F">
            <w:pPr>
              <w:jc w:val="center"/>
            </w:pPr>
          </w:p>
        </w:tc>
      </w:tr>
      <w:tr w14:paraId="7CFA922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BE45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CC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BD02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1F0DF">
            <w:pPr>
              <w:jc w:val="center"/>
            </w:pPr>
            <w:r>
              <w:rPr>
                <w:rFonts w:ascii="宋体" w:hAnsi="宋体" w:eastAsia="宋体"/>
                <w:sz w:val="16"/>
              </w:rPr>
              <w:t>97.94分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ECFEAA"/>
        </w:tc>
      </w:tr>
    </w:tbl>
    <w:p w14:paraId="359AEB13">
      <w:r>
        <w:br w:type="page"/>
      </w:r>
    </w:p>
    <w:p w14:paraId="23D78F7D">
      <w:pPr>
        <w:spacing w:line="640" w:lineRule="exact"/>
        <w:ind w:firstLine="640"/>
        <w:jc w:val="both"/>
        <w:outlineLvl w:val="2"/>
      </w:pPr>
      <w:r>
        <w:rPr>
          <w:rFonts w:ascii="黑体" w:hAnsi="黑体" w:eastAsia="黑体"/>
          <w:sz w:val="32"/>
        </w:rPr>
        <w:t>十二、其他需说明的事项</w:t>
      </w:r>
    </w:p>
    <w:p w14:paraId="20FF15BF">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项目1个，全年预算数12万元，全年执行数12万元。</w:t>
      </w:r>
      <w:bookmarkStart w:id="0" w:name="_GoBack"/>
      <w:bookmarkEnd w:id="0"/>
    </w:p>
    <w:p w14:paraId="3E10B1C8">
      <w:r>
        <w:br w:type="page"/>
      </w:r>
    </w:p>
    <w:p w14:paraId="6D39DB6C">
      <w:pPr>
        <w:spacing w:line="240" w:lineRule="auto"/>
        <w:jc w:val="center"/>
        <w:outlineLvl w:val="1"/>
      </w:pPr>
      <w:r>
        <w:rPr>
          <w:rFonts w:ascii="黑体" w:hAnsi="黑体" w:eastAsia="黑体"/>
          <w:sz w:val="32"/>
        </w:rPr>
        <w:t>第三部分 专业名词解释</w:t>
      </w:r>
    </w:p>
    <w:p w14:paraId="21D7E71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0A1531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253089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24BF6F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627CBE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39A035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E6EDBD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527430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7AFFB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F1B0D4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73FC5E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9459B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15D83F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647CD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EB8BB6">
      <w:r>
        <w:br w:type="page"/>
      </w:r>
    </w:p>
    <w:p w14:paraId="7085B279">
      <w:pPr>
        <w:spacing w:line="240" w:lineRule="auto"/>
        <w:jc w:val="center"/>
        <w:outlineLvl w:val="1"/>
      </w:pPr>
      <w:r>
        <w:rPr>
          <w:rFonts w:ascii="黑体" w:hAnsi="黑体" w:eastAsia="黑体"/>
          <w:sz w:val="32"/>
        </w:rPr>
        <w:t>第四部分 部门决算报表（见附表）</w:t>
      </w:r>
    </w:p>
    <w:p w14:paraId="3FC0E3EC">
      <w:pPr>
        <w:spacing w:line="240" w:lineRule="auto"/>
        <w:ind w:firstLine="640"/>
        <w:jc w:val="both"/>
      </w:pPr>
      <w:r>
        <w:rPr>
          <w:rFonts w:ascii="仿宋_GB2312" w:hAnsi="仿宋_GB2312" w:eastAsia="仿宋_GB2312"/>
          <w:b w:val="0"/>
          <w:sz w:val="32"/>
        </w:rPr>
        <w:t>一、《收入支出决算总表》</w:t>
      </w:r>
    </w:p>
    <w:p w14:paraId="2646599E">
      <w:pPr>
        <w:spacing w:line="240" w:lineRule="auto"/>
        <w:ind w:firstLine="640"/>
        <w:jc w:val="both"/>
      </w:pPr>
      <w:r>
        <w:rPr>
          <w:rFonts w:ascii="仿宋_GB2312" w:hAnsi="仿宋_GB2312" w:eastAsia="仿宋_GB2312"/>
          <w:b w:val="0"/>
          <w:sz w:val="32"/>
        </w:rPr>
        <w:t>二、《收入决算表》</w:t>
      </w:r>
    </w:p>
    <w:p w14:paraId="0AD5A8E0">
      <w:pPr>
        <w:spacing w:line="240" w:lineRule="auto"/>
        <w:ind w:firstLine="640"/>
        <w:jc w:val="both"/>
      </w:pPr>
      <w:r>
        <w:rPr>
          <w:rFonts w:ascii="仿宋_GB2312" w:hAnsi="仿宋_GB2312" w:eastAsia="仿宋_GB2312"/>
          <w:b w:val="0"/>
          <w:sz w:val="32"/>
        </w:rPr>
        <w:t>三、《支出决算表》</w:t>
      </w:r>
    </w:p>
    <w:p w14:paraId="7CB6B5D2">
      <w:pPr>
        <w:spacing w:line="240" w:lineRule="auto"/>
        <w:ind w:firstLine="640"/>
        <w:jc w:val="both"/>
      </w:pPr>
      <w:r>
        <w:rPr>
          <w:rFonts w:ascii="仿宋_GB2312" w:hAnsi="仿宋_GB2312" w:eastAsia="仿宋_GB2312"/>
          <w:b w:val="0"/>
          <w:sz w:val="32"/>
        </w:rPr>
        <w:t>四、《财政拨款收入支出决算总表》</w:t>
      </w:r>
    </w:p>
    <w:p w14:paraId="59223A2B">
      <w:pPr>
        <w:spacing w:line="240" w:lineRule="auto"/>
        <w:ind w:firstLine="640"/>
        <w:jc w:val="both"/>
      </w:pPr>
      <w:r>
        <w:rPr>
          <w:rFonts w:ascii="仿宋_GB2312" w:hAnsi="仿宋_GB2312" w:eastAsia="仿宋_GB2312"/>
          <w:b w:val="0"/>
          <w:sz w:val="32"/>
        </w:rPr>
        <w:t>五、《一般公共预算财政拨款支出决算表》</w:t>
      </w:r>
    </w:p>
    <w:p w14:paraId="45EA694F">
      <w:pPr>
        <w:spacing w:line="240" w:lineRule="auto"/>
        <w:ind w:firstLine="640"/>
        <w:jc w:val="both"/>
      </w:pPr>
      <w:r>
        <w:rPr>
          <w:rFonts w:ascii="仿宋_GB2312" w:hAnsi="仿宋_GB2312" w:eastAsia="仿宋_GB2312"/>
          <w:b w:val="0"/>
          <w:sz w:val="32"/>
        </w:rPr>
        <w:t>六、《一般公共预算财政拨款基本支出决算表》</w:t>
      </w:r>
    </w:p>
    <w:p w14:paraId="0870E770">
      <w:pPr>
        <w:spacing w:line="240" w:lineRule="auto"/>
        <w:ind w:firstLine="640"/>
        <w:jc w:val="both"/>
      </w:pPr>
      <w:r>
        <w:rPr>
          <w:rFonts w:ascii="仿宋_GB2312" w:hAnsi="仿宋_GB2312" w:eastAsia="仿宋_GB2312"/>
          <w:b w:val="0"/>
          <w:sz w:val="32"/>
        </w:rPr>
        <w:t>七、《政府性基金预算财政拨款收入支出决算表》</w:t>
      </w:r>
    </w:p>
    <w:p w14:paraId="31DA093E">
      <w:pPr>
        <w:spacing w:line="240" w:lineRule="auto"/>
        <w:ind w:firstLine="640"/>
        <w:jc w:val="both"/>
      </w:pPr>
      <w:r>
        <w:rPr>
          <w:rFonts w:ascii="仿宋_GB2312" w:hAnsi="仿宋_GB2312" w:eastAsia="仿宋_GB2312"/>
          <w:b w:val="0"/>
          <w:sz w:val="32"/>
        </w:rPr>
        <w:t>八、《国有资本经营预算财政拨款收入支出决算表》</w:t>
      </w:r>
    </w:p>
    <w:p w14:paraId="20ACBC4C">
      <w:pPr>
        <w:spacing w:line="240" w:lineRule="auto"/>
        <w:ind w:firstLine="640"/>
        <w:jc w:val="both"/>
      </w:pPr>
      <w:r>
        <w:rPr>
          <w:rFonts w:ascii="仿宋_GB2312" w:hAnsi="仿宋_GB2312" w:eastAsia="仿宋_GB2312"/>
          <w:b w:val="0"/>
          <w:sz w:val="32"/>
        </w:rPr>
        <w:t>九、《财政拨款“三公”经费支出决算表》</w:t>
      </w:r>
    </w:p>
    <w:p w14:paraId="70BD9C20">
      <w:pPr>
        <w:spacing w:line="240" w:lineRule="auto"/>
        <w:ind w:firstLine="640"/>
        <w:jc w:val="both"/>
      </w:pPr>
    </w:p>
    <w:p w14:paraId="41CF78A3">
      <w:pPr>
        <w:spacing w:line="240" w:lineRule="auto"/>
        <w:ind w:firstLine="640"/>
        <w:jc w:val="both"/>
      </w:pPr>
    </w:p>
    <w:p w14:paraId="306E851B">
      <w:pPr>
        <w:spacing w:line="240" w:lineRule="auto"/>
        <w:ind w:firstLine="640"/>
        <w:jc w:val="both"/>
      </w:pPr>
    </w:p>
    <w:p w14:paraId="3E7E94E2">
      <w:pPr>
        <w:spacing w:line="240" w:lineRule="auto"/>
        <w:ind w:firstLine="640"/>
        <w:jc w:val="both"/>
      </w:pPr>
    </w:p>
    <w:p w14:paraId="1845440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E2BADE-96DA-489D-A151-85E0DD98C1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12E3A0D-545D-42F9-9395-C86FCDAC5AC0}"/>
  </w:font>
  <w:font w:name="方正小标宋_GBK">
    <w:panose1 w:val="02000000000000000000"/>
    <w:charset w:val="86"/>
    <w:family w:val="script"/>
    <w:pitch w:val="default"/>
    <w:sig w:usb0="A00002BF" w:usb1="38CF7CFA" w:usb2="00082016" w:usb3="00000000" w:csb0="00040001" w:csb1="00000000"/>
    <w:embedRegular r:id="rId3" w:fontKey="{75714D55-9CEC-4F2B-9719-526513DE6D7A}"/>
  </w:font>
  <w:font w:name="楷体_GB2312">
    <w:altName w:val="楷体"/>
    <w:panose1 w:val="02010609030101010101"/>
    <w:charset w:val="86"/>
    <w:family w:val="auto"/>
    <w:pitch w:val="default"/>
    <w:sig w:usb0="00000000" w:usb1="00000000" w:usb2="00000000" w:usb3="00000000" w:csb0="00040000" w:csb1="00000000"/>
    <w:embedRegular r:id="rId4" w:fontKey="{F5DE431C-3513-40A6-9640-E48CC280DEA1}"/>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E127E3"/>
    <w:rsid w:val="6B68175F"/>
    <w:rsid w:val="6B8B5C99"/>
    <w:rsid w:val="6CA7198F"/>
    <w:rsid w:val="6D8919A8"/>
    <w:rsid w:val="6E0F7A08"/>
    <w:rsid w:val="6E801ABC"/>
    <w:rsid w:val="71473612"/>
    <w:rsid w:val="71832548"/>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6655</Words>
  <Characters>7626</Characters>
  <Lines>0</Lines>
  <Paragraphs>0</Paragraphs>
  <TotalTime>6</TotalTime>
  <ScaleCrop>false</ScaleCrop>
  <LinksUpToDate>false</LinksUpToDate>
  <CharactersWithSpaces>7634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2025-09-29T03:12:48Z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