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新疆维吾尔自治区喀什地区社会福利院2024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F2E3E62">
      <w:r>
        <w:br w:type="page"/>
      </w:r>
    </w:p>
    <w:p w14:paraId="2609DC85">
      <w:pPr>
        <w:spacing w:line="640" w:lineRule="exact"/>
        <w:jc w:val="center"/>
        <w:outlineLvl w:val="1"/>
      </w:pPr>
      <w:r>
        <w:rPr>
          <w:rFonts w:ascii="黑体" w:hAnsi="黑体" w:eastAsia="黑体"/>
          <w:sz w:val="32"/>
        </w:rPr>
        <w:t>第一部分 部门概况</w:t>
      </w:r>
    </w:p>
    <w:p w14:paraId="5D802B77">
      <w:pPr>
        <w:spacing w:line="640" w:lineRule="exact"/>
        <w:ind w:firstLine="640"/>
        <w:jc w:val="both"/>
        <w:outlineLvl w:val="2"/>
      </w:pPr>
      <w:r>
        <w:rPr>
          <w:rFonts w:ascii="黑体" w:hAnsi="黑体" w:eastAsia="黑体"/>
          <w:sz w:val="32"/>
        </w:rPr>
        <w:t>一、主要职能</w:t>
      </w:r>
    </w:p>
    <w:p w14:paraId="5EDF6487">
      <w:pPr>
        <w:spacing w:line="580" w:lineRule="exact"/>
        <w:ind w:firstLine="640"/>
        <w:jc w:val="both"/>
      </w:pPr>
      <w:r>
        <w:rPr>
          <w:rFonts w:ascii="仿宋_GB2312" w:hAnsi="仿宋_GB2312" w:eastAsia="仿宋_GB2312"/>
          <w:sz w:val="32"/>
        </w:rPr>
        <w:t>提供收养服务，弘扬救助精神。“三无”老人收养、残疾人收养、家庭无力照管的儿童老人收养，收养对象康复治疗。</w:t>
      </w:r>
    </w:p>
    <w:p w14:paraId="374920C7">
      <w:pPr>
        <w:spacing w:line="640" w:lineRule="exact"/>
        <w:ind w:firstLine="640"/>
        <w:jc w:val="both"/>
        <w:outlineLvl w:val="2"/>
      </w:pPr>
      <w:r>
        <w:rPr>
          <w:rFonts w:ascii="黑体" w:hAnsi="黑体" w:eastAsia="黑体"/>
          <w:sz w:val="32"/>
        </w:rPr>
        <w:t>二、机构设置及人员情况</w:t>
      </w:r>
    </w:p>
    <w:p w14:paraId="081F3D32">
      <w:pPr>
        <w:spacing w:line="580" w:lineRule="exact"/>
        <w:ind w:firstLine="640"/>
        <w:jc w:val="both"/>
      </w:pPr>
      <w:r>
        <w:rPr>
          <w:rFonts w:ascii="仿宋_GB2312" w:hAnsi="仿宋_GB2312" w:eastAsia="仿宋_GB2312"/>
          <w:sz w:val="32"/>
        </w:rPr>
        <w:t>新疆维吾尔自治区喀什地区社会福利院2024年度，实有人数56人，其中：在职人员27人，减少1人；离休人员0人，增加0人；退休人员29人,增加2人。</w:t>
      </w:r>
    </w:p>
    <w:p w14:paraId="3B88B7C1">
      <w:pPr>
        <w:spacing w:line="580" w:lineRule="exact"/>
        <w:ind w:firstLine="640"/>
        <w:jc w:val="both"/>
      </w:pPr>
      <w:r>
        <w:rPr>
          <w:rFonts w:ascii="仿宋_GB2312" w:hAnsi="仿宋_GB2312" w:eastAsia="仿宋_GB2312"/>
          <w:sz w:val="32"/>
        </w:rPr>
        <w:t>新疆维吾尔自治区喀什地区社会福利院无下属预算单位，下设4个科室，分别是：办公室、综合科、康养办、护理组。</w:t>
      </w:r>
    </w:p>
    <w:p w14:paraId="7BE2D720">
      <w:r>
        <w:br w:type="page"/>
      </w:r>
    </w:p>
    <w:p w14:paraId="658EA75C">
      <w:pPr>
        <w:spacing w:line="240" w:lineRule="auto"/>
        <w:jc w:val="center"/>
        <w:outlineLvl w:val="1"/>
      </w:pPr>
      <w:r>
        <w:rPr>
          <w:rFonts w:ascii="黑体" w:hAnsi="黑体" w:eastAsia="黑体"/>
          <w:sz w:val="32"/>
        </w:rPr>
        <w:t>第二部分 部门决算情况说明</w:t>
      </w:r>
    </w:p>
    <w:p w14:paraId="2809499F">
      <w:pPr>
        <w:spacing w:line="640" w:lineRule="exact"/>
        <w:ind w:firstLine="640"/>
        <w:jc w:val="both"/>
        <w:outlineLvl w:val="2"/>
      </w:pPr>
      <w:r>
        <w:rPr>
          <w:rFonts w:ascii="黑体" w:hAnsi="黑体" w:eastAsia="黑体"/>
          <w:sz w:val="32"/>
        </w:rPr>
        <w:t>一、收入支出决算总体情况说明</w:t>
      </w:r>
    </w:p>
    <w:p w14:paraId="30465187">
      <w:pPr>
        <w:spacing w:line="580" w:lineRule="exact"/>
        <w:ind w:firstLine="640"/>
        <w:jc w:val="both"/>
      </w:pPr>
      <w:r>
        <w:rPr>
          <w:rFonts w:ascii="仿宋_GB2312" w:hAnsi="仿宋_GB2312" w:eastAsia="仿宋_GB2312"/>
          <w:b/>
          <w:sz w:val="32"/>
        </w:rPr>
        <w:t>2024年度收入总计589.94万元，</w:t>
      </w:r>
      <w:r>
        <w:rPr>
          <w:rFonts w:ascii="仿宋_GB2312" w:hAnsi="仿宋_GB2312" w:eastAsia="仿宋_GB2312"/>
          <w:b w:val="0"/>
          <w:sz w:val="32"/>
        </w:rPr>
        <w:t>其中：本年收入合计574.94万元，使用非财政拨款结余（含专用结余）0.00万元，年初结转和结余15.00万元。</w:t>
      </w:r>
    </w:p>
    <w:p w14:paraId="40D3639E">
      <w:pPr>
        <w:spacing w:line="580" w:lineRule="exact"/>
        <w:ind w:firstLine="640"/>
        <w:jc w:val="both"/>
      </w:pPr>
      <w:r>
        <w:rPr>
          <w:rFonts w:ascii="仿宋_GB2312" w:hAnsi="仿宋_GB2312" w:eastAsia="仿宋_GB2312"/>
          <w:b/>
          <w:sz w:val="32"/>
        </w:rPr>
        <w:t>2024年度支出总计589.94万元，</w:t>
      </w:r>
      <w:r>
        <w:rPr>
          <w:rFonts w:ascii="仿宋_GB2312" w:hAnsi="仿宋_GB2312" w:eastAsia="仿宋_GB2312"/>
          <w:b w:val="0"/>
          <w:sz w:val="32"/>
        </w:rPr>
        <w:t>其中：本年支出合计574.94万元，结余分配0.00万元，年末结转和结余15.00万元。</w:t>
      </w:r>
    </w:p>
    <w:p w14:paraId="1A391C3E">
      <w:pPr>
        <w:spacing w:line="580" w:lineRule="exact"/>
        <w:ind w:firstLine="640"/>
        <w:jc w:val="both"/>
      </w:pPr>
      <w:r>
        <w:rPr>
          <w:rFonts w:ascii="仿宋_GB2312" w:hAnsi="仿宋_GB2312" w:eastAsia="仿宋_GB2312"/>
          <w:b w:val="0"/>
          <w:sz w:val="32"/>
        </w:rPr>
        <w:t>收入支出总体与上年相比，增加14.44万元，增长2.51%，主要原因是：本年退休</w:t>
      </w:r>
      <w:r>
        <w:rPr>
          <w:rFonts w:hint="eastAsia" w:ascii="仿宋_GB2312" w:hAnsi="仿宋_GB2312" w:eastAsia="仿宋_GB2312"/>
          <w:b w:val="0"/>
          <w:sz w:val="32"/>
          <w:lang w:val="en-US" w:eastAsia="zh-CN"/>
        </w:rPr>
        <w:t>人员增加</w:t>
      </w:r>
      <w:r>
        <w:rPr>
          <w:rFonts w:ascii="仿宋_GB2312" w:hAnsi="仿宋_GB2312" w:eastAsia="仿宋_GB2312"/>
          <w:b w:val="0"/>
          <w:sz w:val="32"/>
        </w:rPr>
        <w:t>，增加做实职业年金部分。</w:t>
      </w:r>
    </w:p>
    <w:p w14:paraId="69F7A4AE">
      <w:pPr>
        <w:spacing w:line="640" w:lineRule="exact"/>
        <w:ind w:firstLine="640"/>
        <w:jc w:val="both"/>
        <w:outlineLvl w:val="2"/>
      </w:pPr>
      <w:r>
        <w:rPr>
          <w:rFonts w:ascii="黑体" w:hAnsi="黑体" w:eastAsia="黑体"/>
          <w:sz w:val="32"/>
        </w:rPr>
        <w:t>二、收入决算情况说明</w:t>
      </w:r>
    </w:p>
    <w:p w14:paraId="1F59EB88">
      <w:pPr>
        <w:spacing w:line="580" w:lineRule="exact"/>
        <w:ind w:firstLine="640"/>
        <w:jc w:val="both"/>
      </w:pPr>
      <w:r>
        <w:rPr>
          <w:rFonts w:ascii="仿宋_GB2312" w:hAnsi="仿宋_GB2312" w:eastAsia="仿宋_GB2312"/>
          <w:b/>
          <w:sz w:val="32"/>
        </w:rPr>
        <w:t>本年收入574.94万元，</w:t>
      </w:r>
      <w:r>
        <w:rPr>
          <w:rFonts w:ascii="仿宋_GB2312" w:hAnsi="仿宋_GB2312" w:eastAsia="仿宋_GB2312"/>
          <w:b w:val="0"/>
          <w:sz w:val="32"/>
        </w:rPr>
        <w:t>其中：财政拨款收入574.94万元，占100.00%；上级补助收入0.00万元，占0.00%；事业收入0.00万元，占0.00%；经营收入0.00万元，占0.00%；附属单位上缴收入0.00万元，占0.00%；其他收入0.00万元，占0.00%。</w:t>
      </w:r>
    </w:p>
    <w:p w14:paraId="07B8D02E">
      <w:pPr>
        <w:spacing w:line="640" w:lineRule="exact"/>
        <w:ind w:firstLine="640"/>
        <w:jc w:val="both"/>
        <w:outlineLvl w:val="2"/>
      </w:pPr>
      <w:r>
        <w:rPr>
          <w:rFonts w:ascii="黑体" w:hAnsi="黑体" w:eastAsia="黑体"/>
          <w:sz w:val="32"/>
        </w:rPr>
        <w:t>三、支出决算情况说明</w:t>
      </w:r>
    </w:p>
    <w:p w14:paraId="29480304">
      <w:pPr>
        <w:spacing w:line="580" w:lineRule="exact"/>
        <w:ind w:firstLine="640"/>
        <w:jc w:val="both"/>
      </w:pPr>
      <w:r>
        <w:rPr>
          <w:rFonts w:ascii="仿宋_GB2312" w:hAnsi="仿宋_GB2312" w:eastAsia="仿宋_GB2312"/>
          <w:b/>
          <w:sz w:val="32"/>
        </w:rPr>
        <w:t>本年支出574.94万元，</w:t>
      </w:r>
      <w:r>
        <w:rPr>
          <w:rFonts w:ascii="仿宋_GB2312" w:hAnsi="仿宋_GB2312" w:eastAsia="仿宋_GB2312"/>
          <w:b w:val="0"/>
          <w:sz w:val="32"/>
        </w:rPr>
        <w:t>其中：基本支出570.04万元，占99.15%；项目支出4.90万元，占0.85%；上缴上级支出0.00万元，占0.00%；经营支出0.00万元，占0.00%；对附属单位补助支出0.00万元，占0.00%。</w:t>
      </w:r>
    </w:p>
    <w:p w14:paraId="092B2F43">
      <w:pPr>
        <w:spacing w:line="640" w:lineRule="exact"/>
        <w:ind w:firstLine="640"/>
        <w:jc w:val="both"/>
        <w:outlineLvl w:val="2"/>
      </w:pPr>
      <w:r>
        <w:rPr>
          <w:rFonts w:ascii="黑体" w:hAnsi="黑体" w:eastAsia="黑体"/>
          <w:sz w:val="32"/>
        </w:rPr>
        <w:t>四、财政拨款收入支出决算总体情况说明</w:t>
      </w:r>
    </w:p>
    <w:p w14:paraId="01F7607F">
      <w:pPr>
        <w:spacing w:line="580" w:lineRule="exact"/>
        <w:ind w:firstLine="640"/>
        <w:jc w:val="both"/>
      </w:pPr>
      <w:r>
        <w:rPr>
          <w:rFonts w:ascii="仿宋_GB2312" w:hAnsi="仿宋_GB2312" w:eastAsia="仿宋_GB2312"/>
          <w:b/>
          <w:sz w:val="32"/>
        </w:rPr>
        <w:t>2024年度财政拨款收入总计574.94万元，</w:t>
      </w:r>
      <w:r>
        <w:rPr>
          <w:rFonts w:ascii="仿宋_GB2312" w:hAnsi="仿宋_GB2312" w:eastAsia="仿宋_GB2312"/>
          <w:b w:val="0"/>
          <w:sz w:val="32"/>
        </w:rPr>
        <w:t>其中：年初财政拨款结转和结余0.00万元，本年财政拨款收入574.94万元。</w:t>
      </w:r>
      <w:r>
        <w:rPr>
          <w:rFonts w:ascii="仿宋_GB2312" w:hAnsi="仿宋_GB2312" w:eastAsia="仿宋_GB2312"/>
          <w:b/>
          <w:sz w:val="32"/>
        </w:rPr>
        <w:t>财政拨款支出总计574.94万元，</w:t>
      </w:r>
      <w:r>
        <w:rPr>
          <w:rFonts w:ascii="仿宋_GB2312" w:hAnsi="仿宋_GB2312" w:eastAsia="仿宋_GB2312"/>
          <w:b w:val="0"/>
          <w:sz w:val="32"/>
        </w:rPr>
        <w:t>其中：年末财政拨款结转和结余0.00万元，本年财政拨款支出574.94万元。</w:t>
      </w:r>
    </w:p>
    <w:p w14:paraId="0874B6F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增加17.71万元，增长3.18%，主要原因是：本年退休</w:t>
      </w:r>
      <w:r>
        <w:rPr>
          <w:rFonts w:hint="eastAsia" w:ascii="仿宋_GB2312" w:hAnsi="仿宋_GB2312" w:eastAsia="仿宋_GB2312"/>
          <w:b w:val="0"/>
          <w:sz w:val="32"/>
          <w:lang w:val="en-US" w:eastAsia="zh-CN"/>
        </w:rPr>
        <w:t>人员增加</w:t>
      </w:r>
      <w:r>
        <w:rPr>
          <w:rFonts w:ascii="仿宋_GB2312" w:hAnsi="仿宋_GB2312" w:eastAsia="仿宋_GB2312"/>
          <w:b w:val="0"/>
          <w:sz w:val="32"/>
        </w:rPr>
        <w:t>，增加做实职业年金部分。</w:t>
      </w:r>
      <w:r>
        <w:rPr>
          <w:rFonts w:ascii="仿宋_GB2312" w:hAnsi="仿宋_GB2312" w:eastAsia="仿宋_GB2312"/>
          <w:b/>
          <w:sz w:val="32"/>
        </w:rPr>
        <w:t>与年初预算相比，</w:t>
      </w:r>
      <w:r>
        <w:rPr>
          <w:rFonts w:ascii="仿宋_GB2312" w:hAnsi="仿宋_GB2312" w:eastAsia="仿宋_GB2312"/>
          <w:b w:val="0"/>
          <w:sz w:val="32"/>
        </w:rPr>
        <w:t>年初预算数549.03万元，决算数574.94万元，预决算差异率4.72%，主要原因是：本年</w:t>
      </w:r>
      <w:r>
        <w:rPr>
          <w:rFonts w:hint="eastAsia" w:ascii="仿宋_GB2312" w:hAnsi="仿宋_GB2312" w:eastAsia="仿宋_GB2312"/>
          <w:b w:val="0"/>
          <w:sz w:val="32"/>
          <w:lang w:val="en-US" w:eastAsia="zh-CN"/>
        </w:rPr>
        <w:t>新增退休人员，年中追加</w:t>
      </w:r>
      <w:r>
        <w:rPr>
          <w:rFonts w:ascii="仿宋_GB2312" w:hAnsi="仿宋_GB2312" w:eastAsia="仿宋_GB2312"/>
          <w:b w:val="0"/>
          <w:sz w:val="32"/>
        </w:rPr>
        <w:t>职业年金部分，</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253F34A">
      <w:pPr>
        <w:spacing w:line="640" w:lineRule="exact"/>
        <w:ind w:firstLine="640"/>
        <w:jc w:val="both"/>
        <w:outlineLvl w:val="2"/>
      </w:pPr>
      <w:r>
        <w:rPr>
          <w:rFonts w:ascii="黑体" w:hAnsi="黑体" w:eastAsia="黑体"/>
          <w:sz w:val="32"/>
        </w:rPr>
        <w:t>五、一般公共预算财政拨款支出决算情况说明</w:t>
      </w:r>
    </w:p>
    <w:p w14:paraId="40DC2633">
      <w:pPr>
        <w:spacing w:line="640" w:lineRule="exact"/>
        <w:ind w:firstLine="640"/>
        <w:jc w:val="both"/>
        <w:outlineLvl w:val="3"/>
      </w:pPr>
      <w:r>
        <w:rPr>
          <w:rFonts w:ascii="楷体_GB2312" w:hAnsi="楷体_GB2312" w:eastAsia="楷体_GB2312"/>
          <w:b/>
          <w:sz w:val="32"/>
        </w:rPr>
        <w:t>（一）一般公共预算财政拨款支出决算总体情况</w:t>
      </w:r>
    </w:p>
    <w:p w14:paraId="4E1155D4">
      <w:pPr>
        <w:spacing w:line="580" w:lineRule="exact"/>
        <w:ind w:firstLine="640"/>
        <w:jc w:val="both"/>
      </w:pPr>
      <w:r>
        <w:rPr>
          <w:rFonts w:ascii="仿宋_GB2312" w:hAnsi="仿宋_GB2312" w:eastAsia="仿宋_GB2312"/>
          <w:b/>
          <w:sz w:val="32"/>
        </w:rPr>
        <w:t>2024年度一般公共预算财政拨款支出574.94万元，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增加17.71万元，增长3.18%，主要原因是：本年退休</w:t>
      </w:r>
      <w:r>
        <w:rPr>
          <w:rFonts w:hint="eastAsia" w:ascii="仿宋_GB2312" w:hAnsi="仿宋_GB2312" w:eastAsia="仿宋_GB2312"/>
          <w:b w:val="0"/>
          <w:sz w:val="32"/>
          <w:lang w:val="en-US" w:eastAsia="zh-CN"/>
        </w:rPr>
        <w:t>人员增加</w:t>
      </w:r>
      <w:r>
        <w:rPr>
          <w:rFonts w:ascii="仿宋_GB2312" w:hAnsi="仿宋_GB2312" w:eastAsia="仿宋_GB2312"/>
          <w:b w:val="0"/>
          <w:sz w:val="32"/>
        </w:rPr>
        <w:t>，增加做实职业年金部分。</w:t>
      </w:r>
      <w:r>
        <w:rPr>
          <w:rFonts w:ascii="仿宋_GB2312" w:hAnsi="仿宋_GB2312" w:eastAsia="仿宋_GB2312"/>
          <w:b/>
          <w:sz w:val="32"/>
        </w:rPr>
        <w:t>与年初预算相比,</w:t>
      </w:r>
      <w:r>
        <w:rPr>
          <w:rFonts w:ascii="仿宋_GB2312" w:hAnsi="仿宋_GB2312" w:eastAsia="仿宋_GB2312"/>
          <w:b w:val="0"/>
          <w:sz w:val="32"/>
        </w:rPr>
        <w:t>年初预算数549.03万元，决算数574.94万元，预决算差异率4.72%，主要原因是：本年</w:t>
      </w:r>
      <w:r>
        <w:rPr>
          <w:rFonts w:hint="eastAsia" w:ascii="仿宋_GB2312" w:hAnsi="仿宋_GB2312" w:eastAsia="仿宋_GB2312"/>
          <w:b w:val="0"/>
          <w:sz w:val="32"/>
          <w:lang w:val="en-US" w:eastAsia="zh-CN"/>
        </w:rPr>
        <w:t>新增退休人员，年中追加</w:t>
      </w:r>
      <w:r>
        <w:rPr>
          <w:rFonts w:ascii="仿宋_GB2312" w:hAnsi="仿宋_GB2312" w:eastAsia="仿宋_GB2312"/>
          <w:b w:val="0"/>
          <w:sz w:val="32"/>
        </w:rPr>
        <w:t>职业年金部分，</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3DD3227B">
      <w:pPr>
        <w:spacing w:line="640" w:lineRule="exact"/>
        <w:ind w:firstLine="640"/>
        <w:jc w:val="both"/>
        <w:outlineLvl w:val="3"/>
      </w:pPr>
      <w:r>
        <w:rPr>
          <w:rFonts w:ascii="楷体_GB2312" w:hAnsi="楷体_GB2312" w:eastAsia="楷体_GB2312"/>
          <w:b/>
          <w:sz w:val="32"/>
        </w:rPr>
        <w:t>（二）一般公共预算财政拨款支出决算结构情况</w:t>
      </w:r>
    </w:p>
    <w:p w14:paraId="0320A1DA">
      <w:pPr>
        <w:spacing w:line="580" w:lineRule="exact"/>
        <w:ind w:firstLine="640"/>
        <w:jc w:val="both"/>
      </w:pPr>
      <w:r>
        <w:rPr>
          <w:rFonts w:ascii="仿宋_GB2312" w:hAnsi="仿宋_GB2312" w:eastAsia="仿宋_GB2312"/>
          <w:b w:val="0"/>
          <w:sz w:val="32"/>
        </w:rPr>
        <w:t>1.一般公共服务支出(类)2.20万元,占0.38%。</w:t>
      </w:r>
    </w:p>
    <w:p w14:paraId="3A0E8A40">
      <w:pPr>
        <w:spacing w:line="580" w:lineRule="exact"/>
        <w:ind w:firstLine="640"/>
        <w:jc w:val="both"/>
      </w:pPr>
      <w:r>
        <w:rPr>
          <w:rFonts w:ascii="仿宋_GB2312" w:hAnsi="仿宋_GB2312" w:eastAsia="仿宋_GB2312"/>
          <w:b w:val="0"/>
          <w:sz w:val="32"/>
        </w:rPr>
        <w:t>2.社会保障和就业支出(类)515.86万元,占89.72%。</w:t>
      </w:r>
    </w:p>
    <w:p w14:paraId="0E057AA6">
      <w:pPr>
        <w:spacing w:line="580" w:lineRule="exact"/>
        <w:ind w:firstLine="640"/>
        <w:jc w:val="both"/>
      </w:pPr>
      <w:r>
        <w:rPr>
          <w:rFonts w:ascii="仿宋_GB2312" w:hAnsi="仿宋_GB2312" w:eastAsia="仿宋_GB2312"/>
          <w:b w:val="0"/>
          <w:sz w:val="32"/>
        </w:rPr>
        <w:t>3.卫生健康支出(类)18.70万元,占3.25%。</w:t>
      </w:r>
    </w:p>
    <w:p w14:paraId="58A3FC63">
      <w:pPr>
        <w:spacing w:line="580" w:lineRule="exact"/>
        <w:ind w:firstLine="640"/>
        <w:jc w:val="both"/>
      </w:pPr>
      <w:r>
        <w:rPr>
          <w:rFonts w:ascii="仿宋_GB2312" w:hAnsi="仿宋_GB2312" w:eastAsia="仿宋_GB2312"/>
          <w:b w:val="0"/>
          <w:sz w:val="32"/>
        </w:rPr>
        <w:t>4.住房保障支出(类)38.19万元,占6.64%。</w:t>
      </w:r>
    </w:p>
    <w:p w14:paraId="2345D4CF">
      <w:pPr>
        <w:spacing w:line="640" w:lineRule="exact"/>
        <w:ind w:firstLine="640"/>
        <w:jc w:val="both"/>
        <w:outlineLvl w:val="3"/>
      </w:pPr>
      <w:r>
        <w:rPr>
          <w:rFonts w:ascii="楷体_GB2312" w:hAnsi="楷体_GB2312" w:eastAsia="楷体_GB2312"/>
          <w:b/>
          <w:sz w:val="32"/>
        </w:rPr>
        <w:t>（三）一般公共预算财政拨款支出决算具体情况</w:t>
      </w:r>
    </w:p>
    <w:p w14:paraId="5A08CD3F">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1.一般公共服务支出(类)统战事务(款)宗教事务(项):支出决算数为2.20万元，比上年决算增加1.71万元，增长348.98%,主要原因是：本年工作人员专项补助调标，导致经费较上年增加。</w:t>
      </w:r>
    </w:p>
    <w:p w14:paraId="07FC32D4">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2.社会保障和就业支出(类)行政事业单位养老支出(款)事业单位离退休(项):支出决算数为35.19万元，比上年决算增加10.01万元，增长39.75%,主要原因是：本年新增退休人员，导致退休费较上年增加。</w:t>
      </w:r>
    </w:p>
    <w:p w14:paraId="741C8A74">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3.社会保障和就业支出(类)行政事业单位养老支出(款)机关事业单位基本养老保险缴费支出(项):支出决算数为44.00万元，比上年决算增加1.97万元，增长4.69%,主要原因是：本年在职人员工资基数调增，养老缴费基数上涨，相应支出增加。</w:t>
      </w:r>
    </w:p>
    <w:p w14:paraId="47AE6F7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34.43万元，比上年决算增加27.97万元，增长432.97%,主要原因是：本年新增退休人员，导致职业年金缴费支出较上年增加。</w:t>
      </w:r>
    </w:p>
    <w:p w14:paraId="2FBA78C1">
      <w:pPr>
        <w:spacing w:line="580" w:lineRule="exact"/>
        <w:ind w:firstLine="640"/>
        <w:jc w:val="both"/>
      </w:pPr>
      <w:r>
        <w:rPr>
          <w:rFonts w:ascii="仿宋_GB2312" w:hAnsi="仿宋_GB2312" w:eastAsia="仿宋_GB2312"/>
          <w:b w:val="0"/>
          <w:sz w:val="32"/>
        </w:rPr>
        <w:t>5.社会保障和就业支出(类)社会福利(款)老年福利(项):支出决算数为402.23万元，比上年决算减少22.36万元，下降5.27%,主要原因是：本年在职人员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，工资</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津贴补贴</w:t>
      </w:r>
      <w:r>
        <w:rPr>
          <w:rFonts w:ascii="仿宋_GB2312" w:hAnsi="仿宋_GB2312" w:eastAsia="仿宋_GB2312"/>
          <w:b w:val="0"/>
          <w:sz w:val="32"/>
        </w:rPr>
        <w:t>等相关人员经费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50CFD64C">
      <w:pPr>
        <w:spacing w:line="580" w:lineRule="exact"/>
        <w:ind w:firstLine="640"/>
        <w:jc w:val="both"/>
      </w:pPr>
      <w:r>
        <w:rPr>
          <w:rFonts w:ascii="仿宋_GB2312" w:hAnsi="仿宋_GB2312" w:eastAsia="仿宋_GB2312"/>
          <w:b w:val="0"/>
          <w:sz w:val="32"/>
        </w:rPr>
        <w:t>6.社会保障和就业支出(类)特困人员救助供养(款)城市特困人员救助供养支出(项):支出决算数为0.00万元，比上年决算减少5.27万元，下降100.00%,主要原因是：本年城市特困人员救助供养资金减少，导致经费较上年减少。</w:t>
      </w:r>
    </w:p>
    <w:p w14:paraId="0F3DFD39">
      <w:pPr>
        <w:spacing w:line="580" w:lineRule="exact"/>
        <w:ind w:firstLine="640"/>
        <w:jc w:val="both"/>
      </w:pPr>
      <w:r>
        <w:rPr>
          <w:rFonts w:ascii="仿宋_GB2312" w:hAnsi="仿宋_GB2312" w:eastAsia="仿宋_GB2312"/>
          <w:b w:val="0"/>
          <w:sz w:val="32"/>
        </w:rPr>
        <w:t>7.卫生健康支出(类)行政事业单位医疗(款)事业单位医疗(项):支出决算数为18.70万元，比上年决算增加0.67万元，增长3.72%,主要原因是：</w:t>
      </w:r>
      <w:r>
        <w:rPr>
          <w:rFonts w:hint="eastAsia" w:ascii="仿宋_GB2312" w:hAnsi="仿宋_GB2312" w:eastAsia="仿宋_GB2312"/>
          <w:b w:val="0"/>
          <w:sz w:val="32"/>
        </w:rPr>
        <w:t>本年在职人员工资基数调增，医疗缴费基数上涨，相应支出增加</w:t>
      </w:r>
      <w:r>
        <w:rPr>
          <w:rFonts w:ascii="仿宋_GB2312" w:hAnsi="仿宋_GB2312" w:eastAsia="仿宋_GB2312"/>
          <w:b w:val="0"/>
          <w:sz w:val="32"/>
        </w:rPr>
        <w:t>。</w:t>
      </w:r>
    </w:p>
    <w:p w14:paraId="2F9B61C4">
      <w:pPr>
        <w:spacing w:line="580" w:lineRule="exact"/>
        <w:ind w:firstLine="640"/>
        <w:jc w:val="both"/>
      </w:pPr>
      <w:r>
        <w:rPr>
          <w:rFonts w:ascii="仿宋_GB2312" w:hAnsi="仿宋_GB2312" w:eastAsia="仿宋_GB2312"/>
          <w:b w:val="0"/>
          <w:sz w:val="32"/>
        </w:rPr>
        <w:t>8.住房保障支出(类)住房改革支出(款)住房公积金(项):支出决算数为38.19万元，比上年决算增加3.01万元，增长8.56%,主要原因是：</w:t>
      </w:r>
      <w:r>
        <w:rPr>
          <w:rFonts w:hint="eastAsia" w:ascii="仿宋_GB2312" w:hAnsi="仿宋_GB2312" w:eastAsia="仿宋_GB2312"/>
          <w:b w:val="0"/>
          <w:sz w:val="32"/>
        </w:rPr>
        <w:t>本年在职人员工资基数调增，公积金缴费基数上涨，相应支出增加</w:t>
      </w:r>
      <w:r>
        <w:rPr>
          <w:rFonts w:ascii="仿宋_GB2312" w:hAnsi="仿宋_GB2312" w:eastAsia="仿宋_GB2312"/>
          <w:b w:val="0"/>
          <w:sz w:val="32"/>
        </w:rPr>
        <w:t>。</w:t>
      </w:r>
    </w:p>
    <w:p w14:paraId="550F3304">
      <w:pPr>
        <w:spacing w:line="640" w:lineRule="exact"/>
        <w:ind w:firstLine="640"/>
        <w:jc w:val="both"/>
        <w:outlineLvl w:val="2"/>
      </w:pPr>
      <w:r>
        <w:rPr>
          <w:rFonts w:ascii="黑体" w:hAnsi="黑体" w:eastAsia="黑体"/>
          <w:sz w:val="32"/>
        </w:rPr>
        <w:t>六、一般公共预算财政拨款基本支出决算情况说明</w:t>
      </w:r>
    </w:p>
    <w:p w14:paraId="36504A22">
      <w:pPr>
        <w:spacing w:line="580" w:lineRule="exact"/>
        <w:ind w:firstLine="640"/>
        <w:jc w:val="both"/>
      </w:pPr>
      <w:r>
        <w:rPr>
          <w:rFonts w:ascii="仿宋_GB2312" w:hAnsi="仿宋_GB2312" w:eastAsia="仿宋_GB2312"/>
          <w:b w:val="0"/>
          <w:sz w:val="32"/>
        </w:rPr>
        <w:t>2024年度一般公共预算财政拨款基本支出570.04万元，其中：</w:t>
      </w:r>
      <w:r>
        <w:rPr>
          <w:rFonts w:ascii="仿宋_GB2312" w:hAnsi="仿宋_GB2312" w:eastAsia="仿宋_GB2312"/>
          <w:b/>
          <w:sz w:val="32"/>
        </w:rPr>
        <w:t>人员经费538.82万元，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包括：基本工资、津贴补贴、奖金、绩效工资、机关事业单位基本养老保险缴费、职业年金缴费、职工基本医疗保险缴费、其他社会保障缴费、住房公积金、其他工资福利支出、退休费、生活补助、奖励金。</w:t>
      </w:r>
    </w:p>
    <w:p w14:paraId="4303E524">
      <w:pPr>
        <w:spacing w:line="580" w:lineRule="exact"/>
        <w:ind w:firstLine="640"/>
        <w:jc w:val="both"/>
      </w:pPr>
      <w:r>
        <w:rPr>
          <w:rFonts w:ascii="仿宋_GB2312" w:hAnsi="仿宋_GB2312" w:eastAsia="仿宋_GB2312"/>
          <w:b/>
          <w:sz w:val="32"/>
        </w:rPr>
        <w:t>公用经费31.23万元，</w:t>
      </w:r>
      <w:r>
        <w:rPr>
          <w:rFonts w:ascii="仿宋_GB2312" w:hAnsi="仿宋_GB2312" w:eastAsia="仿宋_GB2312"/>
          <w:b w:val="0"/>
          <w:sz w:val="32"/>
        </w:rPr>
        <w:t>包括：办公费、印刷费、手续费、水费、电费、邮电费、取暖费、差旅费、维修（护）费、专用材料费、工会经费、公务用车运行维护费、其他商品和服务支出。</w:t>
      </w:r>
    </w:p>
    <w:p w14:paraId="5D8EB68B">
      <w:pPr>
        <w:spacing w:line="640" w:lineRule="exact"/>
        <w:ind w:firstLine="640"/>
        <w:jc w:val="both"/>
        <w:outlineLvl w:val="2"/>
      </w:pPr>
      <w:r>
        <w:rPr>
          <w:rFonts w:ascii="黑体" w:hAnsi="黑体" w:eastAsia="黑体"/>
          <w:sz w:val="32"/>
        </w:rPr>
        <w:t>七、政府性基金预算财政拨款收入支出决算情况说明</w:t>
      </w:r>
    </w:p>
    <w:p w14:paraId="7689A47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9B81706">
      <w:pPr>
        <w:spacing w:line="640" w:lineRule="exact"/>
        <w:ind w:firstLine="640"/>
        <w:jc w:val="both"/>
        <w:outlineLvl w:val="2"/>
      </w:pPr>
      <w:r>
        <w:rPr>
          <w:rFonts w:ascii="黑体" w:hAnsi="黑体" w:eastAsia="黑体"/>
          <w:sz w:val="32"/>
        </w:rPr>
        <w:t>八、国有资本经营预算财政拨款收入支出决算情况说明</w:t>
      </w:r>
    </w:p>
    <w:p w14:paraId="52DBCA3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9B2F464">
      <w:pPr>
        <w:spacing w:line="640" w:lineRule="exact"/>
        <w:ind w:firstLine="640"/>
        <w:jc w:val="both"/>
        <w:outlineLvl w:val="2"/>
      </w:pPr>
      <w:r>
        <w:rPr>
          <w:rFonts w:ascii="黑体" w:hAnsi="黑体" w:eastAsia="黑体"/>
          <w:sz w:val="32"/>
        </w:rPr>
        <w:t>九、财政拨款“三公”经费支出决算情况说明</w:t>
      </w:r>
    </w:p>
    <w:p w14:paraId="53A09A6C">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比上年增加0.00万元，增长0.00%，主要原因是：本部</w:t>
      </w:r>
      <w:r>
        <w:rPr>
          <w:rFonts w:ascii="仿宋_GB2312" w:hAnsi="仿宋_GB2312" w:eastAsia="仿宋_GB2312"/>
          <w:b w:val="0"/>
          <w:bCs w:val="0"/>
          <w:sz w:val="32"/>
        </w:rPr>
        <w:t>门财政拨款“三公”经费较上年无变化。其中：因公出国（境）费支出0.00万元，占0.00%，比上年增加0.00万元，增长0.00%，主要</w:t>
      </w:r>
      <w:r>
        <w:rPr>
          <w:rFonts w:ascii="仿宋_GB2312" w:hAnsi="仿宋_GB2312" w:eastAsia="仿宋_GB2312"/>
          <w:b w:val="0"/>
          <w:sz w:val="32"/>
        </w:rPr>
        <w:t>原因是：2023年与2024年均未安排因公出国（境）费支出。公务用车购置及运行维护费支出1.30万元，占100.00%，比上年增加0.00万元，增长0.00%，主要原因是：本部门公务用车购置及运行维护费较上年无变化。公务接待费支出0.00万元，占0.00%，比上年增加0.00万元，增长0.00%，主要原因是：2023年与2024年均未安排公务接待费支出。</w:t>
      </w:r>
    </w:p>
    <w:p w14:paraId="76EC1E9B">
      <w:pPr>
        <w:spacing w:line="580" w:lineRule="exact"/>
        <w:ind w:firstLine="640"/>
        <w:jc w:val="both"/>
      </w:pPr>
      <w:r>
        <w:rPr>
          <w:rFonts w:ascii="仿宋_GB2312" w:hAnsi="仿宋_GB2312" w:eastAsia="仿宋_GB2312"/>
          <w:b/>
          <w:sz w:val="32"/>
        </w:rPr>
        <w:t>具体情况如下：</w:t>
      </w:r>
    </w:p>
    <w:p w14:paraId="40BF8A9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6F50474">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燃油费、保险费、维修费。公务用车购置数0辆，公务用车保有量1辆。国有资产占用情况中固定资产车辆1辆，与公务用车保有量差异原因是：本部门固定资产车辆与公务用车保有量一致无差异。</w:t>
      </w:r>
    </w:p>
    <w:p w14:paraId="30EFD34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8923C1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48F73229">
      <w:pPr>
        <w:spacing w:line="640" w:lineRule="exact"/>
        <w:ind w:firstLine="640"/>
        <w:jc w:val="both"/>
        <w:outlineLvl w:val="2"/>
      </w:pPr>
      <w:r>
        <w:rPr>
          <w:rFonts w:ascii="黑体" w:hAnsi="黑体" w:eastAsia="黑体"/>
          <w:sz w:val="32"/>
        </w:rPr>
        <w:t>十、其他重要事项的情况说明</w:t>
      </w:r>
    </w:p>
    <w:p w14:paraId="77C0A167">
      <w:pPr>
        <w:spacing w:line="640" w:lineRule="exact"/>
        <w:ind w:firstLine="640"/>
        <w:jc w:val="both"/>
        <w:outlineLvl w:val="3"/>
      </w:pPr>
      <w:r>
        <w:rPr>
          <w:rFonts w:ascii="楷体_GB2312" w:hAnsi="楷体_GB2312" w:eastAsia="楷体_GB2312"/>
          <w:b/>
          <w:sz w:val="32"/>
        </w:rPr>
        <w:t>（一）机关运行经费及公用经费支出情况</w:t>
      </w:r>
    </w:p>
    <w:p w14:paraId="36E1562E">
      <w:pPr>
        <w:spacing w:line="580" w:lineRule="exact"/>
        <w:ind w:firstLine="640"/>
        <w:jc w:val="both"/>
      </w:pPr>
      <w:r>
        <w:rPr>
          <w:rFonts w:ascii="仿宋_GB2312" w:hAnsi="仿宋_GB2312" w:eastAsia="仿宋_GB2312"/>
          <w:b w:val="0"/>
          <w:sz w:val="32"/>
        </w:rPr>
        <w:t>2024年度新疆维吾尔自治区喀什地区社会福利院（事业单位）公用经费支出31.23万元，比上年减少0.44万元，下降1.39%，主要原因是：本年</w:t>
      </w:r>
      <w:r>
        <w:rPr>
          <w:rFonts w:hint="eastAsia" w:ascii="仿宋_GB2312" w:hAnsi="仿宋_GB2312" w:eastAsia="仿宋_GB2312"/>
          <w:b w:val="0"/>
          <w:sz w:val="32"/>
          <w:lang w:val="en-US" w:eastAsia="zh-CN"/>
        </w:rPr>
        <w:t>厉行节约，办公费减少</w:t>
      </w:r>
      <w:r>
        <w:rPr>
          <w:rFonts w:ascii="仿宋_GB2312" w:hAnsi="仿宋_GB2312" w:eastAsia="仿宋_GB2312"/>
          <w:b w:val="0"/>
          <w:sz w:val="32"/>
        </w:rPr>
        <w:t>，导致公用经费减少。</w:t>
      </w:r>
    </w:p>
    <w:p w14:paraId="2638C226">
      <w:pPr>
        <w:spacing w:line="640" w:lineRule="exact"/>
        <w:ind w:firstLine="640"/>
        <w:jc w:val="both"/>
        <w:outlineLvl w:val="3"/>
      </w:pPr>
      <w:r>
        <w:rPr>
          <w:rFonts w:ascii="楷体_GB2312" w:hAnsi="楷体_GB2312" w:eastAsia="楷体_GB2312"/>
          <w:b/>
          <w:sz w:val="32"/>
        </w:rPr>
        <w:t>（二）政府采购情况</w:t>
      </w:r>
    </w:p>
    <w:p w14:paraId="4DC99956">
      <w:pPr>
        <w:spacing w:line="580" w:lineRule="exact"/>
        <w:ind w:firstLine="640"/>
        <w:jc w:val="both"/>
      </w:pPr>
      <w:r>
        <w:rPr>
          <w:rFonts w:ascii="仿宋_GB2312" w:hAnsi="仿宋_GB2312" w:eastAsia="仿宋_GB2312"/>
          <w:b w:val="0"/>
          <w:sz w:val="32"/>
        </w:rPr>
        <w:t>2024年度政府采购支出总额6.01万元，其中：政府采购货物支出5.61万元、政府采购工程支出0.00万元、政府采购服务支出0.40万元。</w:t>
      </w:r>
    </w:p>
    <w:p w14:paraId="7ACC01ED">
      <w:pPr>
        <w:spacing w:line="580" w:lineRule="exact"/>
        <w:ind w:firstLine="640"/>
        <w:jc w:val="both"/>
      </w:pPr>
      <w:r>
        <w:rPr>
          <w:rFonts w:ascii="仿宋_GB2312" w:hAnsi="仿宋_GB2312" w:eastAsia="仿宋_GB2312"/>
          <w:b w:val="0"/>
          <w:sz w:val="32"/>
        </w:rPr>
        <w:t>授予中小企业合同金额6.01万元，占政府采购支出总额的100.00%，其中：授予小微企业合同金额5.14万元，占政府采购支出总额的85.52%。</w:t>
      </w:r>
    </w:p>
    <w:p w14:paraId="7E4577E0">
      <w:pPr>
        <w:spacing w:line="640" w:lineRule="exact"/>
        <w:ind w:firstLine="640"/>
        <w:jc w:val="both"/>
        <w:outlineLvl w:val="3"/>
      </w:pPr>
      <w:r>
        <w:rPr>
          <w:rFonts w:ascii="楷体_GB2312" w:hAnsi="楷体_GB2312" w:eastAsia="楷体_GB2312"/>
          <w:b/>
          <w:sz w:val="32"/>
        </w:rPr>
        <w:t>（三）国有资产占用情况说明</w:t>
      </w:r>
    </w:p>
    <w:p w14:paraId="39DA7BBE">
      <w:pPr>
        <w:spacing w:line="580" w:lineRule="exact"/>
        <w:ind w:firstLine="640"/>
        <w:jc w:val="both"/>
      </w:pPr>
      <w:r>
        <w:rPr>
          <w:rFonts w:ascii="仿宋_GB2312" w:hAnsi="仿宋_GB2312" w:eastAsia="仿宋_GB2312"/>
          <w:b w:val="0"/>
          <w:sz w:val="32"/>
        </w:rPr>
        <w:t>截至2024年12月31日，房屋2,035.12平方米，价值184.30万元。车辆1辆，价值10.64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3803D96">
      <w:pPr>
        <w:spacing w:line="640" w:lineRule="exact"/>
        <w:ind w:firstLine="640"/>
        <w:jc w:val="both"/>
        <w:outlineLvl w:val="2"/>
      </w:pPr>
      <w:r>
        <w:rPr>
          <w:rFonts w:ascii="黑体" w:hAnsi="黑体" w:eastAsia="黑体"/>
          <w:sz w:val="32"/>
        </w:rPr>
        <w:t>十一、预算绩效的情况说明</w:t>
      </w:r>
    </w:p>
    <w:p w14:paraId="35F2C25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574.94万元，实际执行总额574.94万元；预算绩效评价项目1个，全年预算数4.90万元，全年执行数4.90万元。预算绩效管理取得的成效：一是管理制度更加健全。坚持制度先行，建立健全绩效管理各环节的制度办法和工作规范。二是指标标准更加完善。高质量设置本部门项目定性、定量指标。三是促进资金使用更加规范，对日常工作加强监督，专款专用，严格执行相关管理办法，资金支付严格审批，确保了项目资金使用规范有效。发现的问题及原因：一是对各项指标和指标值要进一步优化、完善，主要在细化、量化上改进；二是切实提高财政自评工作，加强绩效目标管理，在客观性和公正性上说服力不强；三是绩效业务水平局限性，加强绩效业务人员的培训工作；四是现场评价的工作量少，后续效益评价具体措施和方法较少。下一步改进措施：一是更加细化实施方案，严格执行资金管理办法和财政资金管理制度，严格按照项目实施方案稳步推进工作。二是项目评价资料进一步完善。项目启动时同步做好档案的归纳与整理，及时整理、收集、汇总，健全档案资料。三是加强绩效业务人员的培训工作。四是提高现场评价的工作量，加强后续效益评价。具体附部门整体支出绩效自评表，项目支出绩效自评表和部门评价报告。</w:t>
      </w:r>
    </w:p>
    <w:p w14:paraId="1F4912D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975B3C8">
        <w:tblPrEx>
          <w:tblCellMar>
            <w:top w:w="0" w:type="dxa"/>
            <w:left w:w="108" w:type="dxa"/>
            <w:bottom w:w="0" w:type="dxa"/>
            <w:right w:w="108" w:type="dxa"/>
          </w:tblCellMar>
        </w:tblPrEx>
        <w:tc>
          <w:tcPr>
            <w:tcW w:w="8847" w:type="dxa"/>
            <w:gridSpan w:val="9"/>
            <w:vAlign w:val="center"/>
          </w:tcPr>
          <w:p w14:paraId="6D7A2688">
            <w:pPr>
              <w:jc w:val="center"/>
            </w:pPr>
            <w:r>
              <w:rPr>
                <w:rFonts w:ascii="宋体" w:hAnsi="宋体" w:eastAsia="宋体"/>
                <w:sz w:val="24"/>
              </w:rPr>
              <w:t>部门整体支出绩效自评表</w:t>
            </w:r>
          </w:p>
        </w:tc>
      </w:tr>
      <w:tr w14:paraId="4D439F02">
        <w:tblPrEx>
          <w:tblCellMar>
            <w:top w:w="0" w:type="dxa"/>
            <w:left w:w="108" w:type="dxa"/>
            <w:bottom w:w="0" w:type="dxa"/>
            <w:right w:w="108" w:type="dxa"/>
          </w:tblCellMar>
        </w:tblPrEx>
        <w:tc>
          <w:tcPr>
            <w:tcW w:w="8847" w:type="dxa"/>
            <w:gridSpan w:val="9"/>
            <w:vAlign w:val="center"/>
          </w:tcPr>
          <w:p w14:paraId="7EFFA40A">
            <w:pPr>
              <w:jc w:val="center"/>
            </w:pPr>
            <w:r>
              <w:rPr>
                <w:rFonts w:ascii="宋体" w:hAnsi="宋体" w:eastAsia="宋体"/>
                <w:sz w:val="24"/>
              </w:rPr>
              <w:t>（2024年度）</w:t>
            </w:r>
          </w:p>
        </w:tc>
      </w:tr>
      <w:tr w14:paraId="12B0F9D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DC093">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C83DFE">
            <w:pPr>
              <w:jc w:val="center"/>
            </w:pPr>
            <w:r>
              <w:rPr>
                <w:rFonts w:ascii="宋体" w:hAnsi="宋体" w:eastAsia="宋体"/>
                <w:sz w:val="16"/>
              </w:rPr>
              <w:t>新疆维吾尔自治区喀什地区社会福利院</w:t>
            </w:r>
          </w:p>
        </w:tc>
      </w:tr>
      <w:tr w14:paraId="715F61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AD31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594C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D25F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EEEDC">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4F4D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5624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E700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1840C">
            <w:pPr>
              <w:jc w:val="center"/>
            </w:pPr>
            <w:r>
              <w:rPr>
                <w:rFonts w:ascii="宋体" w:hAnsi="宋体" w:eastAsia="宋体"/>
                <w:sz w:val="16"/>
              </w:rPr>
              <w:t>得分</w:t>
            </w:r>
          </w:p>
        </w:tc>
      </w:tr>
      <w:tr w14:paraId="7526C2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3AA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97CE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3F8FA">
            <w:pPr>
              <w:jc w:val="center"/>
            </w:pPr>
            <w:r>
              <w:rPr>
                <w:rFonts w:ascii="宋体" w:hAnsi="宋体" w:eastAsia="宋体"/>
                <w:sz w:val="16"/>
              </w:rPr>
              <w:t>549.03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3A3D0">
            <w:pPr>
              <w:jc w:val="center"/>
            </w:pPr>
            <w:r>
              <w:rPr>
                <w:rFonts w:ascii="宋体" w:hAnsi="宋体" w:eastAsia="宋体"/>
                <w:sz w:val="16"/>
              </w:rPr>
              <w:t>574.94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FC917">
            <w:pPr>
              <w:jc w:val="center"/>
            </w:pPr>
            <w:r>
              <w:rPr>
                <w:rFonts w:ascii="宋体" w:hAnsi="宋体" w:eastAsia="宋体"/>
                <w:sz w:val="16"/>
              </w:rPr>
              <w:t>574.94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B1A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FBAE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4F445">
            <w:pPr>
              <w:jc w:val="center"/>
            </w:pPr>
            <w:r>
              <w:rPr>
                <w:rFonts w:ascii="宋体" w:hAnsi="宋体" w:eastAsia="宋体"/>
                <w:sz w:val="16"/>
              </w:rPr>
              <w:t>10</w:t>
            </w:r>
          </w:p>
        </w:tc>
      </w:tr>
      <w:tr w14:paraId="40B3C1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10C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EADA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3341B">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601E7">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0821D">
            <w:pPr>
              <w:jc w:val="center"/>
            </w:pPr>
            <w:r>
              <w:rPr>
                <w:rFonts w:ascii="宋体" w:hAnsi="宋体" w:eastAsia="宋体"/>
                <w:sz w:val="16"/>
              </w:rPr>
              <w:t>2.20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357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A4F2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53FEA">
            <w:pPr>
              <w:jc w:val="center"/>
            </w:pPr>
            <w:r>
              <w:rPr>
                <w:rFonts w:ascii="宋体" w:hAnsi="宋体" w:eastAsia="宋体"/>
                <w:sz w:val="16"/>
              </w:rPr>
              <w:t>—</w:t>
            </w:r>
          </w:p>
        </w:tc>
      </w:tr>
      <w:tr w14:paraId="2D3914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42C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4FCE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FEB0E">
            <w:pPr>
              <w:jc w:val="center"/>
            </w:pPr>
            <w:r>
              <w:rPr>
                <w:rFonts w:ascii="宋体" w:hAnsi="宋体" w:eastAsia="宋体"/>
                <w:sz w:val="16"/>
              </w:rPr>
              <w:t>546.83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160F6">
            <w:pPr>
              <w:jc w:val="center"/>
            </w:pPr>
            <w:r>
              <w:rPr>
                <w:rFonts w:ascii="宋体" w:hAnsi="宋体" w:eastAsia="宋体"/>
                <w:sz w:val="16"/>
              </w:rPr>
              <w:t>572.74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CE9C8">
            <w:pPr>
              <w:jc w:val="center"/>
            </w:pPr>
            <w:r>
              <w:rPr>
                <w:rFonts w:ascii="宋体" w:hAnsi="宋体" w:eastAsia="宋体"/>
                <w:sz w:val="16"/>
              </w:rPr>
              <w:t>572.74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D4D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D713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3E910">
            <w:pPr>
              <w:jc w:val="center"/>
            </w:pPr>
            <w:r>
              <w:rPr>
                <w:rFonts w:ascii="宋体" w:hAnsi="宋体" w:eastAsia="宋体"/>
                <w:sz w:val="16"/>
              </w:rPr>
              <w:t>—</w:t>
            </w:r>
          </w:p>
        </w:tc>
      </w:tr>
      <w:tr w14:paraId="727283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8924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3A66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1C6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A4B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EF0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E7C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7E10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A0DD3">
            <w:pPr>
              <w:jc w:val="center"/>
            </w:pPr>
            <w:r>
              <w:rPr>
                <w:rFonts w:ascii="宋体" w:hAnsi="宋体" w:eastAsia="宋体"/>
                <w:sz w:val="16"/>
              </w:rPr>
              <w:t>—</w:t>
            </w:r>
          </w:p>
        </w:tc>
      </w:tr>
      <w:tr w14:paraId="3FEF1C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A1D7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B5BC9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2E9B28">
            <w:pPr>
              <w:jc w:val="center"/>
            </w:pPr>
            <w:r>
              <w:rPr>
                <w:rFonts w:ascii="宋体" w:hAnsi="宋体" w:eastAsia="宋体"/>
                <w:sz w:val="16"/>
              </w:rPr>
              <w:t>实际完成情况</w:t>
            </w:r>
          </w:p>
        </w:tc>
      </w:tr>
      <w:tr w14:paraId="6E7AEA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AA7D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CB2EC9">
            <w:pPr>
              <w:jc w:val="both"/>
            </w:pPr>
            <w:r>
              <w:rPr>
                <w:rFonts w:ascii="宋体" w:hAnsi="宋体" w:eastAsia="宋体"/>
                <w:sz w:val="16"/>
              </w:rPr>
              <w:t>我单位属于全额拨款事业单位，收养喀什地区无依无靠、无家可归、无生活来源等“三无”老人、孤寡残疾人、家庭无力照管的老人，主要为我院入住老人提供相应的护理服务、饮食、康复保健、文化娱乐等服务。进一步提升养老服务机构安全运行保障条件，加快推进社区社会工作服务为各族群众提供专业化服务。夯实基层基础、完善制度机制、规范机构运行，用心用力做好困难群众的保障工作，为实现社会</w:t>
            </w:r>
            <w:r>
              <w:rPr>
                <w:rFonts w:hint="eastAsia" w:ascii="宋体" w:hAnsi="宋体"/>
                <w:sz w:val="16"/>
                <w:lang w:val="en-US" w:eastAsia="zh-CN"/>
              </w:rPr>
              <w:t>安定</w:t>
            </w:r>
            <w:r>
              <w:rPr>
                <w:rFonts w:ascii="宋体" w:hAnsi="宋体" w:eastAsia="宋体"/>
                <w:sz w:val="16"/>
              </w:rPr>
              <w:t>和长治久安总目标提供保障。充分履行单位职能，有效提升养老服务水平，保障困难群众基本生活支出，通过本项目的实施，有效提升45名困难群众救助养老服务水平，使困难群众基本生活得到提升和保障，不断增强困难群众满意度、安全感、幸福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238C2D">
            <w:pPr>
              <w:jc w:val="both"/>
            </w:pPr>
            <w:r>
              <w:rPr>
                <w:rFonts w:ascii="宋体" w:hAnsi="宋体" w:eastAsia="宋体"/>
                <w:sz w:val="16"/>
              </w:rPr>
              <w:t>我单位2024年全年切实保障我院46名困难群众全年基本生活支出，设置120张</w:t>
            </w:r>
            <w:r>
              <w:rPr>
                <w:rFonts w:hint="eastAsia" w:ascii="宋体" w:hAnsi="宋体"/>
                <w:sz w:val="16"/>
                <w:lang w:eastAsia="zh-CN"/>
              </w:rPr>
              <w:t>床位</w:t>
            </w:r>
            <w:r>
              <w:rPr>
                <w:rFonts w:ascii="宋体" w:hAnsi="宋体" w:eastAsia="宋体"/>
                <w:sz w:val="16"/>
              </w:rPr>
              <w:t>，困难群众救助保障率达到100%，服务对象服务质量得到提升和保障，不断增强了困难群众的满意感、安全感、幸福感。同时，不断创新工作思路，提升养老服务水平，落实好关心关爱措施，齐心协力做好养老服务工作。</w:t>
            </w:r>
          </w:p>
        </w:tc>
      </w:tr>
      <w:tr w14:paraId="0DDD8E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94B2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AACB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931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E600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B99B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189D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5DE1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6B1B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04DAE">
            <w:pPr>
              <w:jc w:val="center"/>
            </w:pPr>
            <w:r>
              <w:rPr>
                <w:rFonts w:ascii="宋体" w:hAnsi="宋体" w:eastAsia="宋体"/>
                <w:sz w:val="16"/>
              </w:rPr>
              <w:t>得分</w:t>
            </w:r>
          </w:p>
        </w:tc>
      </w:tr>
      <w:tr w14:paraId="01386B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B2D0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847E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C7AC1">
            <w:pPr>
              <w:jc w:val="center"/>
            </w:pPr>
            <w:r>
              <w:rPr>
                <w:rFonts w:ascii="宋体" w:hAnsi="宋体" w:eastAsia="宋体"/>
                <w:sz w:val="16"/>
              </w:rPr>
              <w:t>困难群众救助覆盖人数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8E3C1">
            <w:pPr>
              <w:jc w:val="center"/>
            </w:pPr>
            <w:r>
              <w:rPr>
                <w:rFonts w:ascii="宋体" w:hAnsi="宋体" w:eastAsia="宋体"/>
                <w:sz w:val="16"/>
              </w:rPr>
              <w:t>&gt;=45人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8B6D0">
            <w:pPr>
              <w:jc w:val="center"/>
            </w:pPr>
            <w:r>
              <w:rPr>
                <w:rFonts w:ascii="宋体" w:hAnsi="宋体" w:eastAsia="宋体"/>
                <w:sz w:val="16"/>
              </w:rPr>
              <w:t>关于印发《喀什地区民政局所属事业单位分类改革方案》的通知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FECF">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FFCD5">
            <w:pPr>
              <w:jc w:val="center"/>
            </w:pPr>
            <w:r>
              <w:rPr>
                <w:rFonts w:ascii="宋体" w:hAnsi="宋体" w:eastAsia="宋体"/>
                <w:sz w:val="16"/>
              </w:rPr>
              <w:t>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E542A">
            <w:pPr>
              <w:jc w:val="center"/>
            </w:pPr>
            <w:r>
              <w:rPr>
                <w:rFonts w:ascii="宋体" w:hAnsi="宋体" w:eastAsia="宋体"/>
                <w:sz w:val="16"/>
              </w:rPr>
              <w:t>102.22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C7C72">
            <w:pPr>
              <w:jc w:val="center"/>
            </w:pPr>
            <w:r>
              <w:rPr>
                <w:rFonts w:ascii="宋体" w:hAnsi="宋体" w:eastAsia="宋体"/>
                <w:sz w:val="16"/>
              </w:rPr>
              <w:t>23</w:t>
            </w:r>
          </w:p>
        </w:tc>
      </w:tr>
      <w:tr w14:paraId="1BDCB7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3E2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F02C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149B6">
            <w:pPr>
              <w:jc w:val="center"/>
            </w:pPr>
            <w:r>
              <w:rPr>
                <w:rFonts w:ascii="宋体" w:hAnsi="宋体" w:eastAsia="宋体"/>
                <w:sz w:val="16"/>
              </w:rPr>
              <w:t>困难群众床位适配数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423AF">
            <w:pPr>
              <w:jc w:val="center"/>
            </w:pPr>
            <w:r>
              <w:rPr>
                <w:rFonts w:ascii="宋体" w:hAnsi="宋体" w:eastAsia="宋体"/>
                <w:sz w:val="16"/>
              </w:rPr>
              <w:t>&gt;=120张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EDDBB">
            <w:pPr>
              <w:jc w:val="center"/>
            </w:pPr>
            <w:r>
              <w:rPr>
                <w:rFonts w:ascii="宋体" w:hAnsi="宋体" w:eastAsia="宋体"/>
                <w:sz w:val="16"/>
              </w:rPr>
              <w:t>《关于喀什地区养老院项目可行研究报告（代项目建议书）的批复》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2815F">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C44E2">
            <w:pPr>
              <w:jc w:val="center"/>
            </w:pPr>
            <w:r>
              <w:rPr>
                <w:rFonts w:ascii="宋体" w:hAnsi="宋体" w:eastAsia="宋体"/>
                <w:sz w:val="16"/>
              </w:rPr>
              <w:t>120张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02E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676F8">
            <w:pPr>
              <w:jc w:val="center"/>
            </w:pPr>
            <w:r>
              <w:rPr>
                <w:rFonts w:ascii="宋体" w:hAnsi="宋体" w:eastAsia="宋体"/>
                <w:sz w:val="16"/>
              </w:rPr>
              <w:t>22</w:t>
            </w:r>
          </w:p>
        </w:tc>
      </w:tr>
      <w:tr w14:paraId="30CB5E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459A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FBD3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4D3CA">
            <w:pPr>
              <w:jc w:val="center"/>
            </w:pPr>
            <w:r>
              <w:rPr>
                <w:rFonts w:ascii="宋体" w:hAnsi="宋体" w:eastAsia="宋体"/>
                <w:sz w:val="16"/>
              </w:rPr>
              <w:t>困难群众救助保障率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FB85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27292">
            <w:pPr>
              <w:jc w:val="center"/>
            </w:pPr>
            <w:r>
              <w:rPr>
                <w:rFonts w:ascii="宋体" w:hAnsi="宋体" w:eastAsia="宋体"/>
                <w:sz w:val="16"/>
              </w:rPr>
              <w:t>《关于印发基本公共服务领域自治区以下共同财政事权和支出责任划分改革方案的通知》新政办发</w:t>
            </w:r>
            <w:r>
              <w:rPr>
                <w:rFonts w:hint="eastAsia" w:ascii="宋体" w:hAnsi="宋体"/>
                <w:sz w:val="16"/>
                <w:lang w:eastAsia="zh-CN"/>
              </w:rPr>
              <w:t>〔2019〕99号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9B2AC">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5BA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E9CCC">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54B38">
            <w:pPr>
              <w:jc w:val="center"/>
            </w:pPr>
            <w:r>
              <w:rPr>
                <w:rFonts w:ascii="宋体" w:hAnsi="宋体" w:eastAsia="宋体"/>
                <w:sz w:val="16"/>
              </w:rPr>
              <w:t>22</w:t>
            </w:r>
          </w:p>
        </w:tc>
      </w:tr>
      <w:tr w14:paraId="064968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DCF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729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1E837">
            <w:pPr>
              <w:jc w:val="center"/>
            </w:pPr>
            <w:r>
              <w:rPr>
                <w:rFonts w:ascii="宋体" w:hAnsi="宋体" w:eastAsia="宋体"/>
                <w:sz w:val="16"/>
              </w:rPr>
              <w:t>困难群众免疫规划疫苗接种率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0029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703B0">
            <w:pPr>
              <w:jc w:val="center"/>
            </w:pPr>
            <w:r>
              <w:rPr>
                <w:rFonts w:ascii="宋体" w:hAnsi="宋体" w:eastAsia="宋体"/>
                <w:sz w:val="16"/>
              </w:rPr>
              <w:t>关于转发新疆维吾尔自治区民政厅《关于进一步做好全区民政服务机构</w:t>
            </w:r>
            <w:r>
              <w:rPr>
                <w:rFonts w:hint="eastAsia" w:ascii="宋体" w:hAnsi="宋体"/>
                <w:sz w:val="16"/>
                <w:lang w:val="en-US" w:eastAsia="zh-CN"/>
              </w:rPr>
              <w:t>疫情</w:t>
            </w:r>
            <w:r>
              <w:rPr>
                <w:rFonts w:ascii="宋体" w:hAnsi="宋体" w:eastAsia="宋体"/>
                <w:sz w:val="16"/>
              </w:rPr>
              <w:t>防控工作的通知》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A0A5B">
            <w:pPr>
              <w:jc w:val="center"/>
            </w:pPr>
            <w:r>
              <w:rPr>
                <w:rFonts w:ascii="宋体" w:hAnsi="宋体" w:eastAsia="宋体"/>
                <w:sz w:val="16"/>
              </w:rPr>
              <w:t>23</w:t>
            </w:r>
            <w:bookmarkStart w:id="0" w:name="_GoBack"/>
            <w:bookmarkEnd w:id="0"/>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FE9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C1ED8">
            <w:pPr>
              <w:jc w:val="center"/>
            </w:pPr>
            <w:r>
              <w:rPr>
                <w:rFonts w:ascii="宋体" w:hAnsi="宋体" w:eastAsia="宋体"/>
                <w:sz w:val="16"/>
              </w:rPr>
              <w:t>105.26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83B21">
            <w:pPr>
              <w:jc w:val="center"/>
            </w:pPr>
            <w:r>
              <w:rPr>
                <w:rFonts w:ascii="宋体" w:hAnsi="宋体" w:eastAsia="宋体"/>
                <w:sz w:val="16"/>
              </w:rPr>
              <w:t>23</w:t>
            </w:r>
          </w:p>
        </w:tc>
      </w:tr>
    </w:tbl>
    <w:p w14:paraId="0D3ACB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3BE9EB8">
        <w:tblPrEx>
          <w:tblCellMar>
            <w:top w:w="0" w:type="dxa"/>
            <w:left w:w="108" w:type="dxa"/>
            <w:bottom w:w="0" w:type="dxa"/>
            <w:right w:w="108" w:type="dxa"/>
          </w:tblCellMar>
        </w:tblPrEx>
        <w:tc>
          <w:tcPr>
            <w:tcW w:w="8848" w:type="dxa"/>
            <w:gridSpan w:val="14"/>
            <w:vAlign w:val="center"/>
          </w:tcPr>
          <w:p w14:paraId="6F9AEA82">
            <w:pPr>
              <w:jc w:val="center"/>
            </w:pPr>
            <w:r>
              <w:rPr>
                <w:rFonts w:ascii="宋体" w:hAnsi="宋体" w:eastAsia="宋体"/>
                <w:sz w:val="24"/>
              </w:rPr>
              <w:t>项目支出绩效自评表</w:t>
            </w:r>
          </w:p>
        </w:tc>
      </w:tr>
      <w:tr w14:paraId="1B61AC6D">
        <w:tblPrEx>
          <w:tblCellMar>
            <w:top w:w="0" w:type="dxa"/>
            <w:left w:w="108" w:type="dxa"/>
            <w:bottom w:w="0" w:type="dxa"/>
            <w:right w:w="108" w:type="dxa"/>
          </w:tblCellMar>
        </w:tblPrEx>
        <w:tc>
          <w:tcPr>
            <w:tcW w:w="8848" w:type="dxa"/>
            <w:gridSpan w:val="14"/>
            <w:vAlign w:val="center"/>
          </w:tcPr>
          <w:p w14:paraId="35EA512B">
            <w:pPr>
              <w:jc w:val="center"/>
            </w:pPr>
            <w:r>
              <w:rPr>
                <w:rFonts w:ascii="宋体" w:hAnsi="宋体" w:eastAsia="宋体"/>
                <w:sz w:val="24"/>
              </w:rPr>
              <w:t>(2024年度)</w:t>
            </w:r>
          </w:p>
        </w:tc>
      </w:tr>
      <w:tr w14:paraId="362A94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FF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590924">
            <w:pPr>
              <w:jc w:val="center"/>
            </w:pPr>
            <w:r>
              <w:rPr>
                <w:rFonts w:ascii="宋体" w:hAnsi="宋体" w:eastAsia="宋体"/>
                <w:sz w:val="16"/>
              </w:rPr>
              <w:t>困难救助地方配套项目</w:t>
            </w:r>
          </w:p>
        </w:tc>
      </w:tr>
      <w:tr w14:paraId="66C1FD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4C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A1D315">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C7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148098">
            <w:pPr>
              <w:jc w:val="center"/>
            </w:pPr>
            <w:r>
              <w:rPr>
                <w:rFonts w:ascii="宋体" w:hAnsi="宋体" w:eastAsia="宋体"/>
                <w:sz w:val="16"/>
              </w:rPr>
              <w:t>新疆维吾尔自治区喀什地区社会福利院</w:t>
            </w:r>
          </w:p>
        </w:tc>
      </w:tr>
      <w:tr w14:paraId="459AF9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9F9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4F0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68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F8C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F32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69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B1D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0A76">
            <w:pPr>
              <w:jc w:val="center"/>
            </w:pPr>
            <w:r>
              <w:rPr>
                <w:rFonts w:ascii="宋体" w:hAnsi="宋体" w:eastAsia="宋体"/>
                <w:sz w:val="16"/>
              </w:rPr>
              <w:t>得分</w:t>
            </w:r>
          </w:p>
        </w:tc>
      </w:tr>
      <w:tr w14:paraId="2A3E56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BF3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85E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84BF6">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943E1">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5CC4D">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C0D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94A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CA72">
            <w:pPr>
              <w:jc w:val="center"/>
            </w:pPr>
            <w:r>
              <w:rPr>
                <w:rFonts w:ascii="宋体" w:hAnsi="宋体" w:eastAsia="宋体"/>
                <w:sz w:val="16"/>
              </w:rPr>
              <w:t>10.00分</w:t>
            </w:r>
          </w:p>
        </w:tc>
      </w:tr>
      <w:tr w14:paraId="76CAE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B03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2DD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799B4">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B6608">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E5D2B">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59E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B8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8B1D">
            <w:pPr>
              <w:jc w:val="center"/>
            </w:pPr>
            <w:r>
              <w:rPr>
                <w:rFonts w:ascii="宋体" w:hAnsi="宋体" w:eastAsia="宋体"/>
                <w:sz w:val="16"/>
              </w:rPr>
              <w:t>—</w:t>
            </w:r>
          </w:p>
        </w:tc>
      </w:tr>
      <w:tr w14:paraId="16AB0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C85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37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089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6F1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B9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CCF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813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0E6E">
            <w:pPr>
              <w:jc w:val="center"/>
            </w:pPr>
            <w:r>
              <w:rPr>
                <w:rFonts w:ascii="宋体" w:hAnsi="宋体" w:eastAsia="宋体"/>
                <w:sz w:val="16"/>
              </w:rPr>
              <w:t>—</w:t>
            </w:r>
          </w:p>
        </w:tc>
      </w:tr>
      <w:tr w14:paraId="637A14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A05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C61D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D4E496">
            <w:pPr>
              <w:jc w:val="center"/>
            </w:pPr>
            <w:r>
              <w:rPr>
                <w:rFonts w:ascii="宋体" w:hAnsi="宋体" w:eastAsia="宋体"/>
                <w:sz w:val="16"/>
              </w:rPr>
              <w:t>实际完成情况</w:t>
            </w:r>
          </w:p>
        </w:tc>
      </w:tr>
      <w:tr w14:paraId="20A32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4419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F9BD9">
            <w:pPr>
              <w:jc w:val="both"/>
            </w:pPr>
            <w:r>
              <w:rPr>
                <w:rFonts w:ascii="宋体" w:hAnsi="宋体" w:eastAsia="宋体"/>
                <w:sz w:val="16"/>
              </w:rPr>
              <w:t>本项目总投资4.9万元，主要是用于救助覆盖人数45人，每人每月平均使用90.75元，本项目的实施，有效提升45名困难群众救助养老服务水平，使困难群众基本生活得到提升和保障，不断增强困难群众的满意度、安全感、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39788">
            <w:pPr>
              <w:jc w:val="both"/>
            </w:pPr>
            <w:r>
              <w:rPr>
                <w:rFonts w:ascii="宋体" w:hAnsi="宋体" w:eastAsia="宋体"/>
                <w:sz w:val="16"/>
              </w:rPr>
              <w:t>本项目是用于我院46名困难群众基本生活保障支出，共支出4.9万元，通过本项目的实施，使困难群众基本生活得到保障，有效提升了养老服务水平，困难群众的幸福感、满意感明显增强。</w:t>
            </w:r>
          </w:p>
        </w:tc>
      </w:tr>
      <w:tr w14:paraId="322756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8A2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26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20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A3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67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A6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16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2E1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3B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0B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4B6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39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E364D">
            <w:pPr>
              <w:jc w:val="center"/>
            </w:pPr>
            <w:r>
              <w:rPr>
                <w:rFonts w:ascii="宋体" w:hAnsi="宋体" w:eastAsia="宋体"/>
                <w:sz w:val="16"/>
              </w:rPr>
              <w:t>偏差原因分析及改进措施</w:t>
            </w:r>
          </w:p>
        </w:tc>
      </w:tr>
      <w:tr w14:paraId="6E2FFD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FAF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6EE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EE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25C5">
            <w:pPr>
              <w:jc w:val="center"/>
            </w:pPr>
            <w:r>
              <w:rPr>
                <w:rFonts w:ascii="宋体" w:hAnsi="宋体" w:eastAsia="宋体"/>
                <w:sz w:val="16"/>
              </w:rPr>
              <w:t>救助覆盖人数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0639">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0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4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74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1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52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66E2">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1F31">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F8474">
            <w:pPr>
              <w:jc w:val="center"/>
            </w:pPr>
            <w:r>
              <w:rPr>
                <w:rFonts w:ascii="宋体" w:hAnsi="宋体" w:eastAsia="宋体"/>
                <w:sz w:val="16"/>
              </w:rPr>
              <w:t>偏差原因：年中增加1名供养人员，未及时调整绩效目标。改进措施：合理设施项目指标，及时调整绩效目标。</w:t>
            </w:r>
          </w:p>
        </w:tc>
      </w:tr>
      <w:tr w14:paraId="4871A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BF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B86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256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A688">
            <w:pPr>
              <w:jc w:val="center"/>
            </w:pPr>
            <w:r>
              <w:rPr>
                <w:rFonts w:ascii="宋体" w:hAnsi="宋体" w:eastAsia="宋体"/>
                <w:sz w:val="16"/>
              </w:rPr>
              <w:t>困难群众救助补助覆盖率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F2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69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9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4B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1C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57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72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55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28FEB">
            <w:pPr>
              <w:jc w:val="center"/>
            </w:pPr>
          </w:p>
        </w:tc>
      </w:tr>
      <w:tr w14:paraId="4885D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8A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0C0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E71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82BD">
            <w:pPr>
              <w:jc w:val="center"/>
            </w:pPr>
            <w:r>
              <w:rPr>
                <w:rFonts w:ascii="宋体" w:hAnsi="宋体" w:eastAsia="宋体"/>
                <w:sz w:val="16"/>
              </w:rPr>
              <w:t>困难群众救助资金发放及时率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D6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B3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7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A4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8B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0F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19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B0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8783">
            <w:pPr>
              <w:jc w:val="center"/>
            </w:pPr>
          </w:p>
        </w:tc>
      </w:tr>
      <w:tr w14:paraId="137CF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7E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EA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F9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FD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EE3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A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35D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F3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04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55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E646">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9F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32522">
            <w:pPr>
              <w:jc w:val="center"/>
            </w:pPr>
          </w:p>
        </w:tc>
      </w:tr>
      <w:tr w14:paraId="283BC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C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9E1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4F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42C7">
            <w:pPr>
              <w:jc w:val="center"/>
            </w:pPr>
            <w:r>
              <w:rPr>
                <w:rFonts w:ascii="宋体" w:hAnsi="宋体" w:eastAsia="宋体"/>
                <w:sz w:val="16"/>
              </w:rPr>
              <w:t>困难群众救助保障标准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FDA1">
            <w:pPr>
              <w:jc w:val="center"/>
            </w:pPr>
            <w:r>
              <w:rPr>
                <w:rFonts w:ascii="宋体" w:hAnsi="宋体" w:eastAsia="宋体"/>
                <w:sz w:val="16"/>
              </w:rPr>
              <w:t>&lt;=90.75元/人/月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51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86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98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C0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94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FC41">
            <w:pPr>
              <w:jc w:val="center"/>
            </w:pPr>
            <w:r>
              <w:rPr>
                <w:rFonts w:ascii="宋体" w:hAnsi="宋体" w:eastAsia="宋体"/>
                <w:sz w:val="16"/>
              </w:rPr>
              <w:t>=88.77元/人/月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9910">
            <w:pPr>
              <w:jc w:val="center"/>
            </w:pPr>
            <w:r>
              <w:rPr>
                <w:rFonts w:ascii="宋体" w:hAnsi="宋体" w:eastAsia="宋体"/>
                <w:sz w:val="16"/>
              </w:rPr>
              <w:t>18.91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3AC44">
            <w:pPr>
              <w:jc w:val="center"/>
            </w:pPr>
            <w:r>
              <w:rPr>
                <w:rFonts w:ascii="宋体" w:hAnsi="宋体" w:eastAsia="宋体"/>
                <w:sz w:val="16"/>
              </w:rPr>
              <w:t>偏差原因：年中供养人员增加1名，未追加资金，导致保障标准降低。改进措施：在日后及时追加资金。</w:t>
            </w:r>
          </w:p>
        </w:tc>
      </w:tr>
      <w:tr w14:paraId="75DD8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899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14CB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E9F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0316">
            <w:pPr>
              <w:jc w:val="center"/>
            </w:pPr>
            <w:r>
              <w:rPr>
                <w:rFonts w:ascii="宋体" w:hAnsi="宋体" w:eastAsia="宋体"/>
                <w:sz w:val="16"/>
              </w:rPr>
              <w:t>提高困难群众生活水平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819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7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D86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D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FD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35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74A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D0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EF7B2">
            <w:pPr>
              <w:jc w:val="center"/>
            </w:pPr>
          </w:p>
        </w:tc>
      </w:tr>
      <w:tr w14:paraId="6B188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33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63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83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21D1">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F4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3B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FD1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28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D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0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21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74114">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15C7C">
            <w:pPr>
              <w:jc w:val="center"/>
            </w:pPr>
            <w:r>
              <w:rPr>
                <w:rFonts w:ascii="宋体" w:hAnsi="宋体" w:eastAsia="宋体"/>
                <w:sz w:val="16"/>
              </w:rPr>
              <w:t>偏差原因：年初指标完成率设置不精准，改进措施：在日后项目指标设置时充分考虑实际情况。</w:t>
            </w:r>
          </w:p>
        </w:tc>
      </w:tr>
      <w:tr w14:paraId="74338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59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BF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EB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C4C2">
            <w:pPr>
              <w:jc w:val="center"/>
            </w:pPr>
            <w:r>
              <w:rPr>
                <w:rFonts w:ascii="宋体" w:hAnsi="宋体" w:eastAsia="宋体"/>
                <w:sz w:val="16"/>
              </w:rPr>
              <w:t>困难群众救助对象满意度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A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2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6B6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0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4B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19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2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DE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98002">
            <w:pPr>
              <w:jc w:val="center"/>
            </w:pPr>
          </w:p>
        </w:tc>
      </w:tr>
      <w:tr w14:paraId="6DEB5E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27C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EA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BC9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583D">
            <w:pPr>
              <w:jc w:val="center"/>
            </w:pPr>
            <w:r>
              <w:rPr>
                <w:rFonts w:ascii="宋体" w:hAnsi="宋体" w:eastAsia="宋体"/>
                <w:sz w:val="16"/>
              </w:rPr>
              <w:t>98.16分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565DAA"/>
        </w:tc>
      </w:tr>
    </w:tbl>
    <w:p w14:paraId="132FB082">
      <w:r>
        <w:br w:type="page"/>
      </w:r>
    </w:p>
    <w:p w14:paraId="3B48D645">
      <w:pPr>
        <w:spacing w:line="640" w:lineRule="exact"/>
        <w:ind w:firstLine="640"/>
        <w:jc w:val="both"/>
        <w:outlineLvl w:val="2"/>
      </w:pPr>
      <w:r>
        <w:rPr>
          <w:rFonts w:ascii="黑体" w:hAnsi="黑体" w:eastAsia="黑体"/>
          <w:sz w:val="32"/>
        </w:rPr>
        <w:t>十二、其他需说明的事项</w:t>
      </w:r>
    </w:p>
    <w:p w14:paraId="6C53A217">
      <w:pPr>
        <w:spacing w:line="580" w:lineRule="exact"/>
        <w:ind w:firstLine="640"/>
        <w:jc w:val="both"/>
      </w:pPr>
      <w:r>
        <w:rPr>
          <w:rFonts w:ascii="仿宋_GB2312" w:hAnsi="仿宋_GB2312" w:eastAsia="仿宋_GB2312"/>
          <w:b w:val="0"/>
          <w:sz w:val="32"/>
        </w:rPr>
        <w:t>本部门无其他需说明的事项。</w:t>
      </w:r>
    </w:p>
    <w:p w14:paraId="426D0AB1">
      <w:r>
        <w:br w:type="page"/>
      </w:r>
    </w:p>
    <w:p w14:paraId="413CF436">
      <w:pPr>
        <w:spacing w:line="240" w:lineRule="auto"/>
        <w:jc w:val="center"/>
        <w:outlineLvl w:val="1"/>
      </w:pPr>
      <w:r>
        <w:rPr>
          <w:rFonts w:ascii="黑体" w:hAnsi="黑体" w:eastAsia="黑体"/>
          <w:sz w:val="32"/>
        </w:rPr>
        <w:t>第三部分 专业名词解释</w:t>
      </w:r>
    </w:p>
    <w:p w14:paraId="0677AD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368681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7C313B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0BAA3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0685D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5307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1BC57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01510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AB734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E35E86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3E45B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12F57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83DDD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0B9E5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E481C4">
      <w:r>
        <w:br w:type="page"/>
      </w:r>
    </w:p>
    <w:p w14:paraId="3E1289E0">
      <w:pPr>
        <w:spacing w:line="240" w:lineRule="auto"/>
        <w:jc w:val="center"/>
        <w:outlineLvl w:val="1"/>
      </w:pPr>
      <w:r>
        <w:rPr>
          <w:rFonts w:ascii="黑体" w:hAnsi="黑体" w:eastAsia="黑体"/>
          <w:sz w:val="32"/>
        </w:rPr>
        <w:t>第四部分 部门决算报表（见附表）</w:t>
      </w:r>
    </w:p>
    <w:p w14:paraId="27193E49">
      <w:pPr>
        <w:spacing w:line="240" w:lineRule="auto"/>
        <w:ind w:firstLine="640"/>
        <w:jc w:val="both"/>
      </w:pPr>
      <w:r>
        <w:rPr>
          <w:rFonts w:ascii="仿宋_GB2312" w:hAnsi="仿宋_GB2312" w:eastAsia="仿宋_GB2312"/>
          <w:b w:val="0"/>
          <w:sz w:val="32"/>
        </w:rPr>
        <w:t>一、《收入支出决算总表》</w:t>
      </w:r>
    </w:p>
    <w:p w14:paraId="4381EA4F">
      <w:pPr>
        <w:spacing w:line="240" w:lineRule="auto"/>
        <w:ind w:firstLine="640"/>
        <w:jc w:val="both"/>
      </w:pPr>
      <w:r>
        <w:rPr>
          <w:rFonts w:ascii="仿宋_GB2312" w:hAnsi="仿宋_GB2312" w:eastAsia="仿宋_GB2312"/>
          <w:b w:val="0"/>
          <w:sz w:val="32"/>
        </w:rPr>
        <w:t>二、《收入决算表》</w:t>
      </w:r>
    </w:p>
    <w:p w14:paraId="09688096">
      <w:pPr>
        <w:spacing w:line="240" w:lineRule="auto"/>
        <w:ind w:firstLine="640"/>
        <w:jc w:val="both"/>
      </w:pPr>
      <w:r>
        <w:rPr>
          <w:rFonts w:ascii="仿宋_GB2312" w:hAnsi="仿宋_GB2312" w:eastAsia="仿宋_GB2312"/>
          <w:b w:val="0"/>
          <w:sz w:val="32"/>
        </w:rPr>
        <w:t>三、《支出决算表》</w:t>
      </w:r>
    </w:p>
    <w:p w14:paraId="3D55B717">
      <w:pPr>
        <w:spacing w:line="240" w:lineRule="auto"/>
        <w:ind w:firstLine="640"/>
        <w:jc w:val="both"/>
      </w:pPr>
      <w:r>
        <w:rPr>
          <w:rFonts w:ascii="仿宋_GB2312" w:hAnsi="仿宋_GB2312" w:eastAsia="仿宋_GB2312"/>
          <w:b w:val="0"/>
          <w:sz w:val="32"/>
        </w:rPr>
        <w:t>四、《财政拨款收入支出决算总表》</w:t>
      </w:r>
    </w:p>
    <w:p w14:paraId="43A15BA1">
      <w:pPr>
        <w:spacing w:line="240" w:lineRule="auto"/>
        <w:ind w:firstLine="640"/>
        <w:jc w:val="both"/>
      </w:pPr>
      <w:r>
        <w:rPr>
          <w:rFonts w:ascii="仿宋_GB2312" w:hAnsi="仿宋_GB2312" w:eastAsia="仿宋_GB2312"/>
          <w:b w:val="0"/>
          <w:sz w:val="32"/>
        </w:rPr>
        <w:t>五、《一般公共预算财政拨款支出决算表》</w:t>
      </w:r>
    </w:p>
    <w:p w14:paraId="4B03FD61">
      <w:pPr>
        <w:spacing w:line="240" w:lineRule="auto"/>
        <w:ind w:firstLine="640"/>
        <w:jc w:val="both"/>
      </w:pPr>
      <w:r>
        <w:rPr>
          <w:rFonts w:ascii="仿宋_GB2312" w:hAnsi="仿宋_GB2312" w:eastAsia="仿宋_GB2312"/>
          <w:b w:val="0"/>
          <w:sz w:val="32"/>
        </w:rPr>
        <w:t>六、《一般公共预算财政拨款基本支出决算表》</w:t>
      </w:r>
    </w:p>
    <w:p w14:paraId="49A6205C">
      <w:pPr>
        <w:spacing w:line="240" w:lineRule="auto"/>
        <w:ind w:firstLine="640"/>
        <w:jc w:val="both"/>
      </w:pPr>
      <w:r>
        <w:rPr>
          <w:rFonts w:ascii="仿宋_GB2312" w:hAnsi="仿宋_GB2312" w:eastAsia="仿宋_GB2312"/>
          <w:b w:val="0"/>
          <w:sz w:val="32"/>
        </w:rPr>
        <w:t>七、《政府性基金预算财政拨款收入支出决算表》</w:t>
      </w:r>
    </w:p>
    <w:p w14:paraId="6B74575A">
      <w:pPr>
        <w:spacing w:line="240" w:lineRule="auto"/>
        <w:ind w:firstLine="640"/>
        <w:jc w:val="both"/>
      </w:pPr>
      <w:r>
        <w:rPr>
          <w:rFonts w:ascii="仿宋_GB2312" w:hAnsi="仿宋_GB2312" w:eastAsia="仿宋_GB2312"/>
          <w:b w:val="0"/>
          <w:sz w:val="32"/>
        </w:rPr>
        <w:t>八、《国有资本经营预算财政拨款收入支出决算表》</w:t>
      </w:r>
    </w:p>
    <w:p w14:paraId="68B74A52">
      <w:pPr>
        <w:spacing w:line="240" w:lineRule="auto"/>
        <w:ind w:firstLine="640"/>
        <w:jc w:val="both"/>
      </w:pPr>
      <w:r>
        <w:rPr>
          <w:rFonts w:ascii="仿宋_GB2312" w:hAnsi="仿宋_GB2312" w:eastAsia="仿宋_GB2312"/>
          <w:b w:val="0"/>
          <w:sz w:val="32"/>
        </w:rPr>
        <w:t>九、《财政拨款“三公”经费支出决算表》</w:t>
      </w:r>
    </w:p>
    <w:p w14:paraId="48CC4519">
      <w:pPr>
        <w:spacing w:line="240" w:lineRule="auto"/>
        <w:ind w:firstLine="640"/>
        <w:jc w:val="both"/>
      </w:pPr>
    </w:p>
    <w:p w14:paraId="3A168401">
      <w:pPr>
        <w:spacing w:line="240" w:lineRule="auto"/>
        <w:ind w:firstLine="640"/>
        <w:jc w:val="both"/>
      </w:pPr>
    </w:p>
    <w:p w14:paraId="5F71F83E">
      <w:pPr>
        <w:spacing w:line="240" w:lineRule="auto"/>
        <w:ind w:firstLine="640"/>
        <w:jc w:val="both"/>
      </w:pPr>
    </w:p>
    <w:p w14:paraId="3B40AA37">
      <w:pPr>
        <w:spacing w:line="240" w:lineRule="auto"/>
        <w:ind w:firstLine="640"/>
        <w:jc w:val="both"/>
      </w:pPr>
    </w:p>
    <w:p w14:paraId="650095F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06FEFF-F463-4210-8BFB-23AE83DD4E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18140D8-16E3-48E6-8AB6-70BB40C965B8}"/>
  </w:font>
  <w:font w:name="方正小标宋_GBK">
    <w:panose1 w:val="02000000000000000000"/>
    <w:charset w:val="86"/>
    <w:family w:val="script"/>
    <w:pitch w:val="default"/>
    <w:sig w:usb0="A00002BF" w:usb1="38CF7CFA" w:usb2="00082016" w:usb3="00000000" w:csb0="00040001" w:csb1="00000000"/>
    <w:embedRegular r:id="rId3" w:fontKey="{0427D141-A476-41BB-9CD8-047A0240904C}"/>
  </w:font>
  <w:font w:name="楷体_GB2312">
    <w:altName w:val="楷体"/>
    <w:panose1 w:val="02010609030101010101"/>
    <w:charset w:val="86"/>
    <w:family w:val="auto"/>
    <w:pitch w:val="default"/>
    <w:sig w:usb0="00000000" w:usb1="00000000" w:usb2="00000000" w:usb3="00000000" w:csb0="00040000" w:csb1="00000000"/>
    <w:embedRegular r:id="rId4" w:fontKey="{876C111A-8E01-4E92-9080-3D10DC174DC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FB547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BB4862"/>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963253"/>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C97EB9"/>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5264</Words>
  <Characters>6030</Characters>
  <Lines>0</Lines>
  <Paragraphs>0</Paragraphs>
  <TotalTime>6</TotalTime>
  <ScaleCrop>false</ScaleCrop>
  <LinksUpToDate>false</LinksUpToDate>
  <CharactersWithSpaces>6038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