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CE754"/>
    <w:p w14:paraId="48F10D05">
      <w:pPr>
        <w:spacing w:line="570" w:lineRule="exact"/>
        <w:jc w:val="center"/>
        <w:rPr>
          <w:rFonts w:ascii="华文中宋" w:hAnsi="华文中宋" w:eastAsia="华文中宋" w:cs="宋体"/>
          <w:b/>
          <w:kern w:val="0"/>
          <w:sz w:val="52"/>
          <w:szCs w:val="52"/>
        </w:rPr>
      </w:pPr>
    </w:p>
    <w:p w14:paraId="48C4D3EC">
      <w:pPr>
        <w:spacing w:line="570" w:lineRule="exact"/>
        <w:jc w:val="center"/>
        <w:rPr>
          <w:rFonts w:ascii="华文中宋" w:hAnsi="华文中宋" w:eastAsia="华文中宋" w:cs="宋体"/>
          <w:b/>
          <w:kern w:val="0"/>
          <w:sz w:val="52"/>
          <w:szCs w:val="52"/>
        </w:rPr>
      </w:pPr>
    </w:p>
    <w:p w14:paraId="2D627E49">
      <w:pPr>
        <w:spacing w:line="570" w:lineRule="exact"/>
        <w:jc w:val="center"/>
        <w:rPr>
          <w:rFonts w:ascii="华文中宋" w:hAnsi="华文中宋" w:eastAsia="华文中宋" w:cs="宋体"/>
          <w:b/>
          <w:kern w:val="0"/>
          <w:sz w:val="52"/>
          <w:szCs w:val="52"/>
        </w:rPr>
      </w:pPr>
    </w:p>
    <w:p w14:paraId="2179A907">
      <w:pPr>
        <w:spacing w:line="570" w:lineRule="exact"/>
        <w:jc w:val="center"/>
        <w:rPr>
          <w:rFonts w:ascii="华文中宋" w:hAnsi="华文中宋" w:eastAsia="华文中宋" w:cs="宋体"/>
          <w:b/>
          <w:kern w:val="0"/>
          <w:sz w:val="52"/>
          <w:szCs w:val="52"/>
        </w:rPr>
      </w:pPr>
    </w:p>
    <w:p w14:paraId="130601DE">
      <w:pPr>
        <w:spacing w:line="570" w:lineRule="exact"/>
        <w:jc w:val="both"/>
        <w:rPr>
          <w:rFonts w:ascii="华文中宋" w:hAnsi="华文中宋" w:eastAsia="华文中宋" w:cs="宋体"/>
          <w:b/>
          <w:kern w:val="0"/>
          <w:sz w:val="52"/>
          <w:szCs w:val="52"/>
        </w:rPr>
      </w:pPr>
    </w:p>
    <w:p w14:paraId="2276C588">
      <w:pPr>
        <w:spacing w:line="570" w:lineRule="exact"/>
        <w:jc w:val="center"/>
        <w:rPr>
          <w:rFonts w:ascii="华文中宋" w:hAnsi="华文中宋" w:eastAsia="华文中宋" w:cs="宋体"/>
          <w:b/>
          <w:kern w:val="0"/>
          <w:sz w:val="52"/>
          <w:szCs w:val="52"/>
        </w:rPr>
      </w:pPr>
    </w:p>
    <w:p w14:paraId="715AD306">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76B3C133">
      <w:pPr>
        <w:spacing w:line="570" w:lineRule="exact"/>
        <w:jc w:val="center"/>
        <w:rPr>
          <w:rFonts w:ascii="华文中宋" w:hAnsi="华文中宋" w:eastAsia="华文中宋" w:cs="宋体"/>
          <w:b/>
          <w:kern w:val="0"/>
          <w:sz w:val="52"/>
          <w:szCs w:val="52"/>
        </w:rPr>
      </w:pPr>
    </w:p>
    <w:p w14:paraId="6F0E53B3">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07DB013C">
      <w:pPr>
        <w:spacing w:line="570" w:lineRule="exact"/>
        <w:jc w:val="center"/>
        <w:rPr>
          <w:rFonts w:hAnsi="宋体" w:eastAsia="仿宋_GB2312" w:cs="宋体"/>
          <w:kern w:val="0"/>
          <w:sz w:val="30"/>
          <w:szCs w:val="30"/>
        </w:rPr>
      </w:pPr>
    </w:p>
    <w:p w14:paraId="0FB91DA1">
      <w:pPr>
        <w:spacing w:line="570" w:lineRule="exact"/>
        <w:jc w:val="center"/>
        <w:rPr>
          <w:rFonts w:hAnsi="宋体" w:eastAsia="仿宋_GB2312" w:cs="宋体"/>
          <w:kern w:val="0"/>
          <w:sz w:val="30"/>
          <w:szCs w:val="30"/>
        </w:rPr>
      </w:pPr>
    </w:p>
    <w:p w14:paraId="4D35FECD">
      <w:pPr>
        <w:spacing w:line="570" w:lineRule="exact"/>
        <w:jc w:val="center"/>
        <w:rPr>
          <w:rFonts w:hAnsi="宋体" w:eastAsia="仿宋_GB2312" w:cs="宋体"/>
          <w:kern w:val="0"/>
          <w:sz w:val="30"/>
          <w:szCs w:val="30"/>
        </w:rPr>
      </w:pPr>
    </w:p>
    <w:p w14:paraId="75061667">
      <w:pPr>
        <w:spacing w:line="570" w:lineRule="exact"/>
        <w:jc w:val="both"/>
        <w:rPr>
          <w:rFonts w:hAnsi="宋体" w:eastAsia="仿宋_GB2312" w:cs="宋体"/>
          <w:kern w:val="0"/>
          <w:sz w:val="30"/>
          <w:szCs w:val="30"/>
        </w:rPr>
      </w:pPr>
    </w:p>
    <w:p w14:paraId="4EFF0391">
      <w:pPr>
        <w:spacing w:line="570" w:lineRule="exact"/>
        <w:jc w:val="center"/>
        <w:rPr>
          <w:rFonts w:hAnsi="宋体" w:eastAsia="仿宋_GB2312" w:cs="宋体"/>
          <w:kern w:val="0"/>
          <w:sz w:val="30"/>
          <w:szCs w:val="30"/>
        </w:rPr>
      </w:pPr>
    </w:p>
    <w:p w14:paraId="620435CA">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2024年自治区福利彩票市场调控资金预算项目</w:t>
      </w:r>
    </w:p>
    <w:p w14:paraId="37A613B1">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新疆维吾尔自治区喀什地区福利彩票发行中心</w:t>
      </w:r>
    </w:p>
    <w:p w14:paraId="16486DF2">
      <w:pPr>
        <w:spacing w:line="570" w:lineRule="exact"/>
        <w:ind w:firstLine="360" w:firstLineChars="100"/>
        <w:jc w:val="left"/>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新疆维吾尔自治区喀什地区福利彩票发行中心</w:t>
      </w:r>
      <w:bookmarkStart w:id="0" w:name="_GoBack"/>
      <w:bookmarkEnd w:id="0"/>
    </w:p>
    <w:p w14:paraId="444DA3C0">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王然学</w:t>
      </w:r>
    </w:p>
    <w:p w14:paraId="06BD856F">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2025年03月09日</w:t>
      </w:r>
    </w:p>
    <w:p w14:paraId="7CEDBDD7">
      <w:pPr>
        <w:rPr>
          <w:rStyle w:val="19"/>
          <w:rFonts w:hint="eastAsia" w:ascii="仿宋" w:hAnsi="仿宋" w:eastAsia="仿宋" w:cs="仿宋"/>
          <w:b w:val="0"/>
          <w:bCs w:val="0"/>
          <w:spacing w:val="-4"/>
          <w:sz w:val="32"/>
          <w:szCs w:val="32"/>
        </w:rPr>
      </w:pPr>
      <w:r>
        <w:br w:type="page"/>
      </w:r>
    </w:p>
    <w:p w14:paraId="6859D849">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5A295D98">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36A1A56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及《新疆维吾尔自治区彩票市场调控资金管理办法》等相关政策文件与规定，福利彩票发行中心的宗旨是“扶老、助残、救孤、济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该项目用于促进喀什地区福利彩票销售网点能力提升，改善彩票业务设施、彩票公益形象宣传等。通过销售福利彩票为国家福利事业筹集福利彩票公益金，为社会上需要帮助的困难群体提供支持与关怀。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位于喀什市文化路47号，本着“扶老、助残、救孤、济困、赈灾”的福利彩票发行宗旨，为保障福利彩票发行机构基本运转，进行福利彩票市场调控资金项目，主要内容包括支持喀什地区12县市彩票投注站点的网络通讯费及福利彩票市场运维服务费用。通过本项目的实施能够促进福利彩票事业持续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喀什地区福利彩票发行中心为自收自支事业单位，纳入2024年部门决算编制范围的有8个科室为办公室、财务部、市场部、培训部、维护部、宣传部、网点即开部、督察部。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编制人数5人，其中：行政人员编制0人、工勤0人、参公0人、事业编制5人。实有在职人数2人，其中：行政在职0人、工勤0人、参公0人、事业在职2人。离退休人员2人，其中：行政退休人员0人、事业退休2人。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喀地财综〔2023〕22号《关于提前下达2024年自治区福利彩票市场调控资金预算的通知》文件安排下达资金567万元，为自治区专项资金，最终确定项目资金总数为567万元。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截至2024年12月31日，实际支出481.31万元，预算执行率84.9%。</w:t>
      </w:r>
    </w:p>
    <w:p w14:paraId="5849B577">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47F7389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通过本项目的实施能够增加彩票销售网点终端的数量 ，提高彩票销售网点运维服务覆盖率。能有效提高彩票销量，提高筹集福利彩票公益金增长率。能够促进彩票销售渠道建设发展，提高彩民对销售网点满意度也有助于提升福利彩票公益形象。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前期根据项目资金文件批复，结合我单位的实际业务情况，通过政府采购手续，选择采购劳务派遣服务，签订相关协议，在后期项目实施过程中，严格按照协议要求执行。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实施过程中，严格按照财政相关规定，成立项目工作小组，负责推进本项目具体实施工作，主要包含项目目标填报，绩效监控，绩效评价，资料收集等相关工作。验收阶段的具体工作，采购手续完毕之后，送货时对商品进行验收。</w:t>
      </w:r>
    </w:p>
    <w:p w14:paraId="537AD474">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332B700C">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14:paraId="621CB9B4">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新财综〔2024〕2号《新疆维吾尔自治区彩票市场调控资金管理办法》等相关政策文件与规定，旨在评价财政项目2024年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2024年自治区福利彩票市场调控资金预算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14:paraId="395299D6">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3012424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2024年自治区福利彩票市场调控资金预算项目综合评分表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1.87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9.9</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9.34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8.58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90.69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31DEA2EE">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40074FF3">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多力坤·依布拉音木任评价组组长，绩效评价工作职责为负责全盘工作。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王然学任评价组副组长，绩效评价工作职责为为对项目实施情况进行实地调查。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金鑫任评价组成员，绩效评价工作职责为负责资料审核等工作。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17448488">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3B006B2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2024年福利彩票市场调控资金项目产生较好的社会效益和经济效益，筹集的福利彩票公益金较上年增长15.04%，有力推动了喀什地区福利事业发展。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项目决策：该项目主要通过《关于提前下达2024年自治区福利彩票市场调控资金预算的通知》（喀地财综〔2023〕22号）文件立项，项目实施符合预算要求，项目立项依据充分，立项程序规范。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项目过程：2024年福利彩票市场调控资金项目预算安排 567万元，实际支出481.31万元，预算执行率84.9%。项目资金使用合规，项目财务管理制度健全，财务监控到位，所有资金支付均按照国库集中支付制度严格执行，现有项目管理制度执行情况良好。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通过本项目的实施，完成2024年彩票销售网点终端的数量498个，网点通讯费缴纳1次，彩票销售网点网络通信覆盖率100%，完成喀什地区12县市运维服务，运维服务覆盖率100%,有效推动了彩票销售市场正常运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项目效益：通过实施此项目，彩票销量135458.31万元较2023年增长10.67%。筹集福利彩票公益金9,075.29万元较上年增长15.04%，推动喀什地区福利事业发展，产生较好经济效益。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福利彩票市场调控资金预算项目进行客观评价，最终评分结果：评价总分90.69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2024年自治区福利彩票市场调控资金预算项目绩效评价评分汇总表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14.00 93.33%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18.17 94.35%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39.24 87.2%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效益及满意度指标           20.00 18.58 92.90%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90.69 90.60%</w:t>
      </w:r>
    </w:p>
    <w:p w14:paraId="6DF8393B">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79EDA462">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A6D8ED7">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本项目立项符合喀地财综〔2023〕22号《关于提前下达2024年自治区福利彩票市场调控资金预算的通知》文件要求；本项目立项符合新财财综〔2024〕2号《新疆维吾尔自治区彩票市场调控资金管理办法》第一章第二条“专项于统筹我区彩票市场调控方面的区域之间、机构之间、品种之间协调发展，维护彩票销售安全、市场秩序，宣传彩票公益属性和社会责任等方面的补助资金”，符合行业发展规划和政策要求；根据《财政资金直接支付申请书》，本项目资金性质为“政府性基金预算”，功能分类为“反映彩票市场调控资金安排的支出”经济分类为“商品和服务支出”属于公共财政支持范围，符合中央、地方事权支出责任划分原则；经检查我单位财政管理一体化信息系统，本项目不存在重复。结合喀什地区福利彩票发行中心职责，围绕2024年度工作重点和工作计划制定经费预算，按照新疆福彩中心部署推进销售网点规范化建设、深化渠道建设，精心规划福利彩票市场并组织实施。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我单位根据决策依据编制2024年福利彩票市场调控资金预算项目工作计划和经费预算，经过与上级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①该项目已设置年度绩效目标，具体内容为“通过本项目的实施能够增加彩票销售网点终端的数量 ，提高彩票销售网点运维服务覆盖率。能有效提高彩票销量，促进提高 筹集福利彩票公益金增长率。 能够 促进彩票销售渠道建设发展，提高彩民对销售网点满意度 也有助于提升福利彩票公益形象”。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通过本项目的实施,彩票销售网点终端2024年底数量为498个，提高彩票销售网点运维服务覆盖率。实现彩票销量135458.31万元，较2023年增长9.36%，筹集福利彩票公益金9075.29万元较上年增长1.49%，有效保障了喀什地区福利事业发展，较好地促进了彩票销售渠道建设发展，也提高了彩民对销售网点满意度 有助于提升福利彩票公益形象。绩效目标与实际工作内容一致，两者具有相关性。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彩票销量135458.31万元，较2023年增长9.36%，筹集福利彩票公益金9075.29万元较上年增长1.49%的年度目标任务。同时福利彩票销售额及募集的福票彩票公益金均超出于预期指标值，为喀什地区福利事业发展奠定了经济基础，达到了预期的经济效益和社会效益，预期产出效益和效果是否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④该项目批复的预算金额为567万元，《项目支出绩效目标表》中预算金额为567万元，预算确定的项目资金与预算确定的项目投资额相匹配。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7个，三级指标10个，定量指标9个，定性指标1个，指标量化率为100%，量化率达100%，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支持彩票销售网点数量、网点通讯费缴纳次数，三级指标的年度指标值与年度绩效目标中任务数基本一致，已设置时效指标“项目完成时间”。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（5）预算编制科学性：2024年自治区福利彩票市场调控资金预算项目，即预算编制较科学且经过论证；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2024年自治区福利彩票市场调控资金预算项目，项目实际内容为2024年自治区福利彩票市场调控资金预算项目，预算申请与《2024年自治区福利彩票市场调控资金预算项目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567万元，我单位在预算申请中严格按照项目实施内容及测算标准进行核算，其中：彩票市场调控资金运维费用421.32万元、支付网络通讯费费用59.99万元。本项目未执行完毕主要原因是项目未执行完毕主要原因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该项资金依据《自治区福利彩票发行中心片区市场运维服务指导意见》结合我区县市福利彩票销售的实际情况，当月按彩票销售额进行考核后次月发放执行，2024年12月的运维服务费需要全年销量截止计数后于2025年发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二、“福彩公益驿站”活动，由于活动实施方案不够完善及资金支付方式不符合喀什地区财政管理规定，财政部门未批准执行。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改进措施：一是严格遵守《自治区福利彩票发行中心片区市场运维服务指导意见》重新制定运维费发放计划。二是以2025年单位重点工作为核心，重新制定项目执行计划。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根据评分标准，该指标扣1分，得2分。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（6）资金分配合理性：本项目实际分配资金依据《新疆维吾尔自治区彩票市场调控资金管理办法 》及《喀什地区福利彩票发行中心市场调控资金项目实施方案 》为依据进行资金分配，预算资金分配依据充分。根据《关于提前下达2024年自治区福利彩票市场调控资金预算的通知》（喀地财综〔2023〕22号）文件，本项目实际到位资金567万元，资金分配额度合理，与我单位实际需求相适应。资金分配与实际相适应，根据评分标准，该指标不扣分，得2分。</w:t>
      </w:r>
    </w:p>
    <w:p w14:paraId="4F062C2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3D5164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5个三级指标构成，权重分为20分，实际得分18.87分，得分率为94.35%。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567万元，其中：财政安排资金567万元，其他资金0万元，实际到位资金567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481.31万元，预算执行率=84.9%；得分=（实际完成率-60%）/（1-60%）×3分=（84.9%-60%）/（1-60%）×3分=1.87分，通过分析可知，该项目预算编制较为详细，项目资金支出总体能够按照预算执行，根据评分标准，该指标扣1.13分，得1.87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关于提前下达2024年自治区福利彩票市场调控资金预算的通知》、《喀什地区福利彩票发行财务管理制度》及《喀什地区福利彩票发行项目资金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制定了《喀什地区福利彩票发行中心财务管理制度》、《喀什地区福利彩票发行中心项目资金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喀什地区福利彩票发行中心项目管理办法》《喀什地区福利彩票发行中心财务管理制度》《喀什地区福利彩票发行中心采购业务管理制度》《喀什地区福利彩票发行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所需要的项目人员和场地设备均已落实到位，具体涉及内容包括：项目资金支出严格按照自治区、地区以及本单位资金管理办法执行，项目启动实施后，为了加快本项目的实施，成立了2024年自治区福利彩票市场调控资金预算项目工作领导小组，由多力坤·依布拉音木任组长，负责项目的组织工作；王然学任副组长，负责项目的实施工作；组员包括：金鑫和唐新宇，主要负责项目监督管理、验收以及资金核拨等工作。根据评分标准，该指标不扣分，得5分。</w:t>
      </w:r>
    </w:p>
    <w:p w14:paraId="3BA4F82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E733931">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项目产出类指标包括产出数量、产出质量、产出时效、产出成本四方面的内容，由4个三级指标构成，权重分为45分，实际得分39.29分，得分率为87.31%。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支持彩票销售网点数量指标，预期指标值为500个，实际完成值为498，指标完成率为99.6%，偏差原因：2024年底自治区中心福彩中心调整市场，部分投注设备未及时布机，造成彩票销售网点数量未达到预期指标。改进措施：加强队伍内部管理，强化各部门协作。根据评分标准，该指标得4.95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网点通讯费缴纳次数指标，预期指标值为1次，实际完成值为1次，指标完成率为100%，与预期目标一致，根据评分标准，该指标不扣分，得5分。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合计得分9.95。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彩票销售网点运维服务覆盖率指标，预期指标值为100%，实际完成值为100%，指标完成率为100%，与预期目标一致，根据评分标准，该指标不扣分，得5分。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销售网点通讯网络覆盖率指标，预期指标值为100%，实际完成值为100%，指标完成率为100%，与预期目标一致，根据评分标准，该指标不扣分，得5分。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彩票市场调控资金使用完成时间指标，预期指标值为2024年12月31日，实际完成值为2024年12月18日，指标完成率为100%，与预期目标一致，根据评分标准，该指标不扣分，得10分。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彩票市场调控资金指标，预期指标值为567万元，实际完成值为481.31万元，指标完成率为84.9%，项目经费都能控制绩效目标范围内，根据评分标准，该指标得9.34分。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合计得9.34分。</w:t>
      </w:r>
    </w:p>
    <w:p w14:paraId="33D2392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72AFACF1">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项目效益类指标包括项目效益1个方面的内容，由1个三级指标构成，权重分为10分，实际得分8.58分，得分率为85.8%。</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年募集福利彩票公益金，该指标预期指标值为大于等于7710.09万元，实际完成值为9075.29万元，指标完成率为117.71%，与预期指标一致，原因是2024年福利彩票福利销售额又创新高，造成彩票销售额超出指标。改进措施：加强对彩票销售市场调研，精准分析市场销售数据。根据评分标准，该指标扣0.89分，得4.11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该指标得4.11分。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年福利彩票销售额，该指标预期指标值为大于等于122384.63万元万元，实际完成值为135458.31万元，指标完成率为110.68%，与预期指标一致，原因是指标设立不够精准，网络通讯费超出预期指标值。改进措施：加强队伍内部管理，强化各部门协作。根据评分标准，该指标扣0.53分，得4.47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该指标得4.47分。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合计得8.58分。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14:paraId="4CA0FB0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3823D4E8">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项目效益类指标包括项目满意度1个方面的内容，由1个三级指标构成，权重分为10分，实际得分10分，得分率为100%。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对于“满意度指标：彩票销售员满意度指标，该指标预期指标值为97%，实际完成值为97.1%，指标完成率为100.1%，与预期目标不一致，根据评分标准，该指标10分。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14:paraId="2B15586E">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7AD20520">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福利彩票市场调控资金项目资金预算567万元，到位567万元，实际支出481.31万元，预算执行率为84.9%，项目绩效指标总体完成率为101%，偏差率为1%,偏差原因：2024年喀什地区福利彩票发行中心进一步巩固了彩票市场优势地位，购彩群体数量显著提升，福利彩票销售额远超年初预期指标，同时也带动福利彩票销售收入及彩票公益金有较大的增长，均超出预期指标。采取的措施加强市场调研，以便科学精准设立项目绩效目标值。</w:t>
      </w:r>
    </w:p>
    <w:p w14:paraId="433D5231">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14:paraId="0C6B9E2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彩票市场调控资金管理办法》及《2024年市场调控资金项目实施计划》执行，项目执行情况较好。二是加强组织领导，本项目绩效评价工作，有主要领导亲自挂帅，分管领导具体负责，通过彩票派奖活动的宣传工作及各种形式的入站营销工作等方式深化渠道建设，精心规划福利彩票市场，从项目到资金，均能够很好的执行。三是加强沟通协调，我单位及时向领导汇报项目执行进度，确保项目资金按期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主要表现为对福利彩票销售设备市场需求考察不到位，造成项目指标实际完成值与值预期值有偏差。二是自评价工作还存在自我审定的局限性，会影响评价质量，容易造成问题的疏漏，在客观性和公正性上说服力不强，三是缺少带着问题去评价的意识，四是现场评价的工作量少，后续效益评价具体措施和方法较少。五是市场调研不充分造成部分指标预期值较低，造成绩效评价指标完成度偏离，今后需要加强市场调研工作。</w:t>
      </w:r>
    </w:p>
    <w:p w14:paraId="3D1D4C73">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14:paraId="117CF76A">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1.加强对福利彩票市场的深入调研，根据市场变化科学制定各项指标预期值。充分利用大数据分析测算福利彩票销售数据，为项目决策提供依据。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14:paraId="2F335246">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14:paraId="0F691AB0">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88A3980">
        <w:pPr>
          <w:pStyle w:val="12"/>
          <w:jc w:val="center"/>
        </w:pPr>
        <w:r>
          <w:fldChar w:fldCharType="begin"/>
        </w:r>
        <w:r>
          <w:instrText xml:space="preserve">PAGE   \* MERGEFORMAT</w:instrText>
        </w:r>
        <w:r>
          <w:fldChar w:fldCharType="separate"/>
        </w:r>
        <w:r>
          <w:rPr>
            <w:lang w:val="zh-CN"/>
          </w:rPr>
          <w:t>1</w:t>
        </w:r>
        <w:r>
          <w:fldChar w:fldCharType="end"/>
        </w:r>
      </w:p>
    </w:sdtContent>
  </w:sdt>
  <w:p w14:paraId="4D2F12D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29FA0B8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2eb8837-1287-4e24-80b6-fd0f89cf35a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9631</Words>
  <Characters>10361</Characters>
  <Lines>5</Lines>
  <Paragraphs>1</Paragraphs>
  <TotalTime>0</TotalTime>
  <ScaleCrop>false</ScaleCrop>
  <LinksUpToDate>false</LinksUpToDate>
  <CharactersWithSpaces>10640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GaYi.</cp:lastModifiedBy>
  <cp:lastPrinted>2018-12-31T10:56:00Z</cp:lastPrinted>
  <dcterms:modified xsi:type="dcterms:W3CDTF">2025-09-03T04:53:22Z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eyJoZGlkIjoiNTliMzZiYjRlN2VlNDIwNWJkNWMyNGYxMWEyN2ViYWUiLCJ1c2VySWQiOiI0NDQ5NDYzNjEifQ==</vt:lpwstr>
  </property>
</Properties>
</file>