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新疆维吾尔自治区喀什地区福利彩票发行中心2024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B09086A">
      <w:r>
        <w:br w:type="page"/>
      </w:r>
    </w:p>
    <w:p w14:paraId="1EF22BF4">
      <w:pPr>
        <w:spacing w:line="640" w:lineRule="exact"/>
        <w:jc w:val="center"/>
        <w:outlineLvl w:val="1"/>
      </w:pPr>
      <w:r>
        <w:rPr>
          <w:rFonts w:ascii="黑体" w:hAnsi="黑体" w:eastAsia="黑体"/>
          <w:sz w:val="32"/>
        </w:rPr>
        <w:t>第一部分 部门概况</w:t>
      </w:r>
    </w:p>
    <w:p w14:paraId="655511C6">
      <w:pPr>
        <w:spacing w:line="640" w:lineRule="exact"/>
        <w:ind w:firstLine="640"/>
        <w:jc w:val="both"/>
        <w:outlineLvl w:val="2"/>
      </w:pPr>
      <w:r>
        <w:rPr>
          <w:rFonts w:ascii="黑体" w:hAnsi="黑体" w:eastAsia="黑体"/>
          <w:sz w:val="32"/>
        </w:rPr>
        <w:t>一、主要职能</w:t>
      </w:r>
    </w:p>
    <w:p w14:paraId="5723EAE5">
      <w:pPr>
        <w:spacing w:line="580" w:lineRule="exact"/>
        <w:ind w:firstLine="640"/>
        <w:jc w:val="both"/>
      </w:pPr>
      <w:r>
        <w:rPr>
          <w:rFonts w:ascii="仿宋_GB2312" w:hAnsi="仿宋_GB2312" w:eastAsia="仿宋_GB2312"/>
          <w:sz w:val="32"/>
        </w:rPr>
        <w:t>喀什地区福利彩票发行中心隶属喀什地区民政局，自收自支事业单位，坚持“扶老、助残、救孤、济困、赈灾”的发行宗旨，在喀什地区范围内发行福利彩票，为国家筹集公益金。负责组织管理福利彩票的形象建设、彩票代销、营销宣传、业务培训、人才队伍建设等工作。</w:t>
      </w:r>
    </w:p>
    <w:p w14:paraId="75239903">
      <w:pPr>
        <w:spacing w:line="640" w:lineRule="exact"/>
        <w:ind w:firstLine="640"/>
        <w:jc w:val="both"/>
        <w:outlineLvl w:val="2"/>
      </w:pPr>
      <w:r>
        <w:rPr>
          <w:rFonts w:ascii="黑体" w:hAnsi="黑体" w:eastAsia="黑体"/>
          <w:sz w:val="32"/>
        </w:rPr>
        <w:t>二、机构设置及人员情况</w:t>
      </w:r>
    </w:p>
    <w:p w14:paraId="0FCC5A9E">
      <w:pPr>
        <w:spacing w:line="580" w:lineRule="exact"/>
        <w:ind w:firstLine="640"/>
        <w:jc w:val="both"/>
      </w:pPr>
      <w:r>
        <w:rPr>
          <w:rFonts w:ascii="仿宋_GB2312" w:hAnsi="仿宋_GB2312" w:eastAsia="仿宋_GB2312"/>
          <w:sz w:val="32"/>
        </w:rPr>
        <w:t>新疆维吾尔自治区喀什地区福利彩票发行中心2024年度，实有人数4人，其中：在职人员2人，减少2人；离休人员0人，增加0人；退休人员2人,减少1人。</w:t>
      </w:r>
    </w:p>
    <w:p w14:paraId="6E12ADC9">
      <w:pPr>
        <w:spacing w:line="580" w:lineRule="exact"/>
        <w:ind w:firstLine="640"/>
        <w:jc w:val="both"/>
      </w:pPr>
      <w:r>
        <w:rPr>
          <w:rFonts w:ascii="仿宋_GB2312" w:hAnsi="仿宋_GB2312" w:eastAsia="仿宋_GB2312"/>
          <w:sz w:val="32"/>
        </w:rPr>
        <w:t>新疆维吾尔自治区喀什地区福利彩票发行中心无下属预算单位，下设8个科室，分别是：办公室、财务室、市场部、技术维护部、宣传部、培训部、督查部、网点即开部。</w:t>
      </w:r>
    </w:p>
    <w:p w14:paraId="61231A43">
      <w:r>
        <w:br w:type="page"/>
      </w:r>
    </w:p>
    <w:p w14:paraId="527E94F1">
      <w:pPr>
        <w:spacing w:line="240" w:lineRule="auto"/>
        <w:jc w:val="center"/>
        <w:outlineLvl w:val="1"/>
      </w:pPr>
      <w:r>
        <w:rPr>
          <w:rFonts w:ascii="黑体" w:hAnsi="黑体" w:eastAsia="黑体"/>
          <w:sz w:val="32"/>
        </w:rPr>
        <w:t>第二部分 部门决算情况说明</w:t>
      </w:r>
    </w:p>
    <w:p w14:paraId="17B2E604">
      <w:pPr>
        <w:spacing w:line="640" w:lineRule="exact"/>
        <w:ind w:firstLine="640"/>
        <w:jc w:val="both"/>
        <w:outlineLvl w:val="2"/>
      </w:pPr>
      <w:r>
        <w:rPr>
          <w:rFonts w:ascii="黑体" w:hAnsi="黑体" w:eastAsia="黑体"/>
          <w:sz w:val="32"/>
        </w:rPr>
        <w:t>一、收入支出决算总体情况说明</w:t>
      </w:r>
    </w:p>
    <w:p w14:paraId="5D16743A">
      <w:pPr>
        <w:spacing w:line="580" w:lineRule="exact"/>
        <w:ind w:firstLine="640"/>
        <w:jc w:val="both"/>
      </w:pPr>
      <w:r>
        <w:rPr>
          <w:rFonts w:ascii="仿宋_GB2312" w:hAnsi="仿宋_GB2312" w:eastAsia="仿宋_GB2312"/>
          <w:b/>
          <w:sz w:val="32"/>
        </w:rPr>
        <w:t>2024年度收入总计740.78万元，</w:t>
      </w:r>
      <w:r>
        <w:rPr>
          <w:rFonts w:ascii="仿宋_GB2312" w:hAnsi="仿宋_GB2312" w:eastAsia="仿宋_GB2312"/>
          <w:b w:val="0"/>
          <w:sz w:val="32"/>
        </w:rPr>
        <w:t>其中：本年收入合计740.78万元，使用非财政拨款结余（含专用结余）0.00万元，年初结转和结余0.00万元。</w:t>
      </w:r>
    </w:p>
    <w:p w14:paraId="18DF7816">
      <w:pPr>
        <w:spacing w:line="580" w:lineRule="exact"/>
        <w:ind w:firstLine="640"/>
        <w:jc w:val="both"/>
      </w:pPr>
      <w:r>
        <w:rPr>
          <w:rFonts w:ascii="仿宋_GB2312" w:hAnsi="仿宋_GB2312" w:eastAsia="仿宋_GB2312"/>
          <w:b/>
          <w:sz w:val="32"/>
        </w:rPr>
        <w:t>2024年度支出总计740.78万元，</w:t>
      </w:r>
      <w:r>
        <w:rPr>
          <w:rFonts w:ascii="仿宋_GB2312" w:hAnsi="仿宋_GB2312" w:eastAsia="仿宋_GB2312"/>
          <w:b w:val="0"/>
          <w:sz w:val="32"/>
        </w:rPr>
        <w:t>其中：本年支出合计740.78万元，结余分配0.00万元，年末结转和结余0.00万元。</w:t>
      </w:r>
    </w:p>
    <w:p w14:paraId="08E1AE03">
      <w:pPr>
        <w:spacing w:line="580" w:lineRule="exact"/>
        <w:ind w:firstLine="640"/>
        <w:jc w:val="both"/>
      </w:pPr>
      <w:r>
        <w:rPr>
          <w:rFonts w:ascii="仿宋_GB2312" w:hAnsi="仿宋_GB2312" w:eastAsia="仿宋_GB2312"/>
          <w:b w:val="0"/>
          <w:sz w:val="32"/>
        </w:rPr>
        <w:t>收入支出总体与上年相比，减少81.81万元，下降9.95%，主要原因是：本年减少福利彩票销售机构的业务费支出项目经费，导致相关经费减少。</w:t>
      </w:r>
    </w:p>
    <w:p w14:paraId="53F4409C">
      <w:pPr>
        <w:spacing w:line="640" w:lineRule="exact"/>
        <w:ind w:firstLine="640"/>
        <w:jc w:val="both"/>
        <w:outlineLvl w:val="2"/>
      </w:pPr>
      <w:r>
        <w:rPr>
          <w:rFonts w:ascii="黑体" w:hAnsi="黑体" w:eastAsia="黑体"/>
          <w:sz w:val="32"/>
        </w:rPr>
        <w:t>二、收入决算情况说明</w:t>
      </w:r>
    </w:p>
    <w:p w14:paraId="3E7E89CA">
      <w:pPr>
        <w:spacing w:line="580" w:lineRule="exact"/>
        <w:ind w:firstLine="640"/>
        <w:jc w:val="both"/>
      </w:pPr>
      <w:r>
        <w:rPr>
          <w:rFonts w:ascii="仿宋_GB2312" w:hAnsi="仿宋_GB2312" w:eastAsia="仿宋_GB2312"/>
          <w:b/>
          <w:sz w:val="32"/>
        </w:rPr>
        <w:t>本年收入740.78万元，</w:t>
      </w:r>
      <w:r>
        <w:rPr>
          <w:rFonts w:ascii="仿宋_GB2312" w:hAnsi="仿宋_GB2312" w:eastAsia="仿宋_GB2312"/>
          <w:b w:val="0"/>
          <w:sz w:val="32"/>
        </w:rPr>
        <w:t>其中：财政拨款收入740.78万元，占100.00%；上级补助收入0.00万元，占0.00%；事业收入0.00万元，占0.00%；经营收入0.00万元，占0.00%；附属单位上缴收入0.00万元，占0.00%；其他收入0.00万元，占0.00%。</w:t>
      </w:r>
    </w:p>
    <w:p w14:paraId="52F9392F">
      <w:pPr>
        <w:spacing w:line="640" w:lineRule="exact"/>
        <w:ind w:firstLine="640"/>
        <w:jc w:val="both"/>
        <w:outlineLvl w:val="2"/>
      </w:pPr>
      <w:r>
        <w:rPr>
          <w:rFonts w:ascii="黑体" w:hAnsi="黑体" w:eastAsia="黑体"/>
          <w:sz w:val="32"/>
        </w:rPr>
        <w:t>三、支出决算情况说明</w:t>
      </w:r>
    </w:p>
    <w:p w14:paraId="1E86F808">
      <w:pPr>
        <w:spacing w:line="580" w:lineRule="exact"/>
        <w:ind w:firstLine="640"/>
        <w:jc w:val="both"/>
      </w:pPr>
      <w:r>
        <w:rPr>
          <w:rFonts w:ascii="仿宋_GB2312" w:hAnsi="仿宋_GB2312" w:eastAsia="仿宋_GB2312"/>
          <w:b/>
          <w:sz w:val="32"/>
        </w:rPr>
        <w:t>本年支出740.78万元，</w:t>
      </w:r>
      <w:r>
        <w:rPr>
          <w:rFonts w:ascii="仿宋_GB2312" w:hAnsi="仿宋_GB2312" w:eastAsia="仿宋_GB2312"/>
          <w:b w:val="0"/>
          <w:sz w:val="32"/>
        </w:rPr>
        <w:t>其中：基本支出253.08万元，占34.16%；项目支出487.71万元，占65.84%；上缴上级支出0.00万元，占0.00%；经营支出0.00万元，占0.00%；对附属单位补助支出0.00万元，占0.00%。</w:t>
      </w:r>
    </w:p>
    <w:p w14:paraId="4E3036C3">
      <w:pPr>
        <w:spacing w:line="640" w:lineRule="exact"/>
        <w:ind w:firstLine="640"/>
        <w:jc w:val="both"/>
        <w:outlineLvl w:val="2"/>
      </w:pPr>
      <w:r>
        <w:rPr>
          <w:rFonts w:ascii="黑体" w:hAnsi="黑体" w:eastAsia="黑体"/>
          <w:sz w:val="32"/>
        </w:rPr>
        <w:t>四、财政拨款收入支出决算总体情况说明</w:t>
      </w:r>
    </w:p>
    <w:p w14:paraId="5137655D">
      <w:pPr>
        <w:spacing w:line="580" w:lineRule="exact"/>
        <w:ind w:firstLine="640"/>
        <w:jc w:val="both"/>
      </w:pPr>
      <w:r>
        <w:rPr>
          <w:rFonts w:ascii="仿宋_GB2312" w:hAnsi="仿宋_GB2312" w:eastAsia="仿宋_GB2312"/>
          <w:b/>
          <w:sz w:val="32"/>
        </w:rPr>
        <w:t>2024年度财政拨款收入总计740.78万元，</w:t>
      </w:r>
      <w:r>
        <w:rPr>
          <w:rFonts w:ascii="仿宋_GB2312" w:hAnsi="仿宋_GB2312" w:eastAsia="仿宋_GB2312"/>
          <w:b w:val="0"/>
          <w:sz w:val="32"/>
        </w:rPr>
        <w:t>其中：年初财政拨款结转和结余0.00万元，本年财政拨款收入740.78万元。</w:t>
      </w:r>
      <w:r>
        <w:rPr>
          <w:rFonts w:ascii="仿宋_GB2312" w:hAnsi="仿宋_GB2312" w:eastAsia="仿宋_GB2312"/>
          <w:b/>
          <w:sz w:val="32"/>
        </w:rPr>
        <w:t>财政拨款支出总计740.78万元，</w:t>
      </w:r>
      <w:r>
        <w:rPr>
          <w:rFonts w:ascii="仿宋_GB2312" w:hAnsi="仿宋_GB2312" w:eastAsia="仿宋_GB2312"/>
          <w:b w:val="0"/>
          <w:sz w:val="32"/>
        </w:rPr>
        <w:t>其中：年末财政拨款结转和结余0.00万元，本年财政拨款支出740.78万元。</w:t>
      </w:r>
    </w:p>
    <w:p w14:paraId="08B09B8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减少81.81万元，下降9.95%，主要原因是：本年减少福利彩票销售机构的业务费支出项目经费，导致相关经费减少。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年初预算数917.02万元，决算数740.78万元，预决算差异率-19.22%，主要原因是：年中调减福利彩票市场调控资金项目经费，导致预决算差异。</w:t>
      </w:r>
    </w:p>
    <w:p w14:paraId="6D635305">
      <w:pPr>
        <w:spacing w:line="640" w:lineRule="exact"/>
        <w:ind w:firstLine="640"/>
        <w:jc w:val="both"/>
        <w:outlineLvl w:val="2"/>
      </w:pPr>
      <w:r>
        <w:rPr>
          <w:rFonts w:ascii="黑体" w:hAnsi="黑体" w:eastAsia="黑体"/>
          <w:sz w:val="32"/>
        </w:rPr>
        <w:t>五、一般公共预算财政拨款支出决算情况说明</w:t>
      </w:r>
    </w:p>
    <w:p w14:paraId="133C5E3B">
      <w:pPr>
        <w:spacing w:line="640" w:lineRule="exact"/>
        <w:ind w:firstLine="640"/>
        <w:jc w:val="both"/>
        <w:outlineLvl w:val="3"/>
      </w:pPr>
      <w:r>
        <w:rPr>
          <w:rFonts w:ascii="楷体_GB2312" w:hAnsi="楷体_GB2312" w:eastAsia="楷体_GB2312"/>
          <w:b/>
          <w:sz w:val="32"/>
        </w:rPr>
        <w:t>（一）一般公共预算财政拨款支出决算总体情况</w:t>
      </w:r>
    </w:p>
    <w:p w14:paraId="380D4B46">
      <w:pPr>
        <w:spacing w:line="580" w:lineRule="exact"/>
        <w:ind w:firstLine="640"/>
        <w:jc w:val="both"/>
      </w:pPr>
      <w:r>
        <w:rPr>
          <w:rFonts w:ascii="仿宋_GB2312" w:hAnsi="仿宋_GB2312" w:eastAsia="仿宋_GB2312"/>
          <w:b/>
          <w:sz w:val="32"/>
        </w:rPr>
        <w:t>2024年度一般公共预算财政拨款支出0.00万元，</w:t>
      </w:r>
      <w:r>
        <w:rPr>
          <w:rFonts w:ascii="仿宋_GB2312" w:hAnsi="仿宋_GB2312" w:eastAsia="仿宋_GB2312"/>
          <w:b w:val="0"/>
          <w:sz w:val="32"/>
        </w:rPr>
        <w:t>占本年支出合计的0.00%。</w:t>
      </w:r>
      <w:r>
        <w:rPr>
          <w:rFonts w:ascii="仿宋_GB2312" w:hAnsi="仿宋_GB2312" w:eastAsia="仿宋_GB2312"/>
          <w:b/>
          <w:sz w:val="32"/>
        </w:rPr>
        <w:t>与上年相比，</w:t>
      </w:r>
      <w:r>
        <w:rPr>
          <w:rFonts w:ascii="仿宋_GB2312" w:hAnsi="仿宋_GB2312" w:eastAsia="仿宋_GB2312"/>
          <w:b w:val="0"/>
          <w:sz w:val="32"/>
        </w:rPr>
        <w:t>增加0.00万元，增长0.00%，主要原因是：</w:t>
      </w:r>
      <w:r>
        <w:rPr>
          <w:rFonts w:hint="eastAsia" w:ascii="仿宋_GB2312" w:hAnsi="仿宋_GB2312" w:eastAsia="仿宋_GB2312"/>
          <w:b w:val="0"/>
          <w:sz w:val="32"/>
          <w:lang w:val="en-US" w:eastAsia="zh-CN"/>
        </w:rPr>
        <w:t>2023年与2024年均未安排一般公共预算资金，经费均为政府性基金保障</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2023年与2024年均未安排一般公共预算资金，经费均为政府性基金保障</w:t>
      </w:r>
      <w:r>
        <w:rPr>
          <w:rFonts w:ascii="仿宋_GB2312" w:hAnsi="仿宋_GB2312" w:eastAsia="仿宋_GB2312"/>
          <w:b w:val="0"/>
          <w:sz w:val="32"/>
        </w:rPr>
        <w:t>。</w:t>
      </w:r>
    </w:p>
    <w:p w14:paraId="00D16223">
      <w:pPr>
        <w:spacing w:line="640" w:lineRule="exact"/>
        <w:ind w:firstLine="640"/>
        <w:jc w:val="both"/>
        <w:outlineLvl w:val="3"/>
      </w:pPr>
      <w:r>
        <w:rPr>
          <w:rFonts w:ascii="楷体_GB2312" w:hAnsi="楷体_GB2312" w:eastAsia="楷体_GB2312"/>
          <w:b/>
          <w:sz w:val="32"/>
        </w:rPr>
        <w:t>（二）一般公共预算财政拨款支出决算结构情况</w:t>
      </w:r>
    </w:p>
    <w:p w14:paraId="7B62FE7F">
      <w:pPr>
        <w:spacing w:line="640" w:lineRule="exact"/>
        <w:ind w:firstLine="640"/>
        <w:jc w:val="both"/>
        <w:outlineLvl w:val="3"/>
      </w:pPr>
      <w:r>
        <w:rPr>
          <w:rFonts w:ascii="楷体_GB2312" w:hAnsi="楷体_GB2312" w:eastAsia="楷体_GB2312"/>
          <w:b/>
          <w:sz w:val="32"/>
        </w:rPr>
        <w:t>（三）一般公共预算财政拨款支出决算具体情况</w:t>
      </w:r>
    </w:p>
    <w:p w14:paraId="74E5F8D7">
      <w:pPr>
        <w:spacing w:line="640" w:lineRule="exact"/>
        <w:ind w:firstLine="640"/>
        <w:jc w:val="both"/>
        <w:outlineLvl w:val="2"/>
      </w:pPr>
      <w:r>
        <w:rPr>
          <w:rFonts w:ascii="黑体" w:hAnsi="黑体" w:eastAsia="黑体"/>
          <w:sz w:val="32"/>
        </w:rPr>
        <w:t>六、一般公共预算财政拨款基本支出决算情况说明</w:t>
      </w:r>
    </w:p>
    <w:p w14:paraId="3869017E">
      <w:pPr>
        <w:spacing w:line="580" w:lineRule="exact"/>
        <w:ind w:firstLine="640"/>
        <w:jc w:val="both"/>
      </w:pPr>
      <w:r>
        <w:rPr>
          <w:rFonts w:ascii="仿宋_GB2312" w:hAnsi="仿宋_GB2312" w:eastAsia="仿宋_GB2312"/>
          <w:b w:val="0"/>
          <w:sz w:val="32"/>
        </w:rPr>
        <w:t>2024年度一般公共预算财政拨款基本支出0.00万元，其中：</w:t>
      </w:r>
      <w:r>
        <w:rPr>
          <w:rFonts w:ascii="仿宋_GB2312" w:hAnsi="仿宋_GB2312" w:eastAsia="仿宋_GB2312"/>
          <w:b/>
          <w:sz w:val="32"/>
        </w:rPr>
        <w:t>人员经费0.00万元，</w:t>
      </w:r>
      <w:r>
        <w:rPr>
          <w:rFonts w:ascii="仿宋_GB2312" w:hAnsi="仿宋_GB2312" w:eastAsia="仿宋_GB2312"/>
          <w:b w:val="0"/>
          <w:sz w:val="32"/>
        </w:rPr>
        <w:t>包括：无人员经费。</w:t>
      </w:r>
    </w:p>
    <w:p w14:paraId="293C2C5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895B434">
      <w:pPr>
        <w:spacing w:line="640" w:lineRule="exact"/>
        <w:ind w:firstLine="640"/>
        <w:jc w:val="both"/>
        <w:outlineLvl w:val="2"/>
      </w:pPr>
      <w:r>
        <w:rPr>
          <w:rFonts w:ascii="黑体" w:hAnsi="黑体" w:eastAsia="黑体"/>
          <w:sz w:val="32"/>
        </w:rPr>
        <w:t>七、政府性基金预算财政拨款收入支出决算情况说明</w:t>
      </w:r>
    </w:p>
    <w:p w14:paraId="514DCAE1">
      <w:pPr>
        <w:spacing w:line="580" w:lineRule="exact"/>
        <w:ind w:firstLine="640"/>
        <w:jc w:val="both"/>
      </w:pPr>
      <w:r>
        <w:rPr>
          <w:rFonts w:ascii="仿宋_GB2312" w:hAnsi="仿宋_GB2312" w:eastAsia="仿宋_GB2312"/>
          <w:b/>
          <w:sz w:val="32"/>
        </w:rPr>
        <w:t>2024年度政府性基金预算财政拨款收入总计740.78万元，</w:t>
      </w:r>
      <w:r>
        <w:rPr>
          <w:rFonts w:ascii="仿宋_GB2312" w:hAnsi="仿宋_GB2312" w:eastAsia="仿宋_GB2312"/>
          <w:b w:val="0"/>
          <w:sz w:val="32"/>
        </w:rPr>
        <w:t>其中：年初结转和结余0.00万元，本年收入740.78万元。</w:t>
      </w:r>
      <w:r>
        <w:rPr>
          <w:rFonts w:ascii="仿宋_GB2312" w:hAnsi="仿宋_GB2312" w:eastAsia="仿宋_GB2312"/>
          <w:b/>
          <w:sz w:val="32"/>
        </w:rPr>
        <w:t>政府性基金预算财政拨款支出总计740.78万元，</w:t>
      </w:r>
      <w:r>
        <w:rPr>
          <w:rFonts w:ascii="仿宋_GB2312" w:hAnsi="仿宋_GB2312" w:eastAsia="仿宋_GB2312"/>
          <w:b w:val="0"/>
          <w:sz w:val="32"/>
        </w:rPr>
        <w:t>其中：年末结转和结余0.00万元，本年支出740.78万元。</w:t>
      </w:r>
    </w:p>
    <w:p w14:paraId="7A402C6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减少81.81万元，下降9.95%，主要原因是：本年减少福利彩票销售机构的业务费支出项目经费，导致相关经费减少。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年初预算数917.02万元，决算数740.78万元，预决算差异率-19.22%，主要原因是：年初预算2024年福利彩票市场调控资金项目，年中调减此项目经费。</w:t>
      </w:r>
    </w:p>
    <w:p w14:paraId="34931671">
      <w:pPr>
        <w:spacing w:line="580" w:lineRule="exact"/>
        <w:ind w:firstLine="640"/>
        <w:jc w:val="both"/>
      </w:pPr>
      <w:r>
        <w:rPr>
          <w:rFonts w:ascii="仿宋_GB2312" w:hAnsi="仿宋_GB2312" w:eastAsia="仿宋_GB2312"/>
          <w:b w:val="0"/>
          <w:sz w:val="32"/>
        </w:rPr>
        <w:t>政府性基金预算财政拨款支出740.78万元。</w:t>
      </w:r>
    </w:p>
    <w:p w14:paraId="4D2E6559">
      <w:pPr>
        <w:spacing w:line="580" w:lineRule="exact"/>
        <w:ind w:firstLine="640"/>
        <w:jc w:val="both"/>
      </w:pPr>
      <w:r>
        <w:rPr>
          <w:rFonts w:ascii="仿宋_GB2312" w:hAnsi="仿宋_GB2312" w:eastAsia="仿宋_GB2312"/>
          <w:b w:val="0"/>
          <w:sz w:val="32"/>
        </w:rPr>
        <w:t>1.其他支出(类)彩票发行销售机构业务费安排的支出(款)福利彩票销售机构的业务费支出(项):支出决算数为259.48万元，比上年决算增加10.89万元，增长4.38%,主要原因是：本年工资调薪，工资、社保、公积金单位运转经费等相关经费增加。</w:t>
      </w:r>
    </w:p>
    <w:p w14:paraId="28B6184C">
      <w:pPr>
        <w:spacing w:line="580" w:lineRule="exact"/>
        <w:ind w:firstLine="640"/>
        <w:jc w:val="both"/>
      </w:pPr>
      <w:r>
        <w:rPr>
          <w:rFonts w:ascii="仿宋_GB2312" w:hAnsi="仿宋_GB2312" w:eastAsia="仿宋_GB2312"/>
          <w:b w:val="0"/>
          <w:sz w:val="32"/>
        </w:rPr>
        <w:t>2.其他支出(类)彩票发行销售机构业务费安排的支出(款)彩票市场调控资金支出(项):支出决算数为481.31万元，比上年决算减少92.69万元，下降16.15%,主要原因是：本年减少福利彩票销售机构的业务费支出项目经费，导致相关经费减少。</w:t>
      </w:r>
    </w:p>
    <w:p w14:paraId="25D5C735">
      <w:pPr>
        <w:spacing w:line="640" w:lineRule="exact"/>
        <w:ind w:firstLine="640"/>
        <w:jc w:val="both"/>
        <w:outlineLvl w:val="2"/>
      </w:pPr>
      <w:r>
        <w:rPr>
          <w:rFonts w:ascii="黑体" w:hAnsi="黑体" w:eastAsia="黑体"/>
          <w:sz w:val="32"/>
        </w:rPr>
        <w:t>八、国有资本经营预算财政拨款收入支出决算情况说明</w:t>
      </w:r>
    </w:p>
    <w:p w14:paraId="56497C4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5F6843F">
      <w:pPr>
        <w:spacing w:line="640" w:lineRule="exact"/>
        <w:ind w:firstLine="640"/>
        <w:jc w:val="both"/>
        <w:outlineLvl w:val="2"/>
      </w:pPr>
      <w:r>
        <w:rPr>
          <w:rFonts w:ascii="黑体" w:hAnsi="黑体" w:eastAsia="黑体"/>
          <w:sz w:val="32"/>
        </w:rPr>
        <w:t>九、财政拨款“三公”经费支出决算情况说明</w:t>
      </w:r>
    </w:p>
    <w:p w14:paraId="1F06EE0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1.26万元，下降100.00%，主要原因是：本部门公务用车报废，本年无公务用车运行维护费。其中：因公出国（境）费支出0.00万元，占0.00%，比上年增加0.00万元，增长0.00%，主要原因是：2023年与2024年均未安排因公出国（境）费支出。公务用车购置及运行维护费支出0.00万元，占0.00%，比上年减少1.26万元，下降100.00%，主要原因是：本部门无公务用车运行维护费。公务接待费支出0.00万元，占0.00%，比上年增加0.00万元，增长0.00%，主要原因是：2023年与2024年均未安排公务接待费支出。</w:t>
      </w:r>
    </w:p>
    <w:p w14:paraId="78290417">
      <w:pPr>
        <w:spacing w:line="580" w:lineRule="exact"/>
        <w:ind w:firstLine="640"/>
        <w:jc w:val="both"/>
      </w:pPr>
      <w:r>
        <w:rPr>
          <w:rFonts w:ascii="仿宋_GB2312" w:hAnsi="仿宋_GB2312" w:eastAsia="仿宋_GB2312"/>
          <w:b/>
          <w:sz w:val="32"/>
        </w:rPr>
        <w:t>具体情况如下：</w:t>
      </w:r>
    </w:p>
    <w:p w14:paraId="752737ED">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1637A8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29E1B958">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41B225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0FCC9CCE">
      <w:pPr>
        <w:spacing w:line="640" w:lineRule="exact"/>
        <w:ind w:firstLine="640"/>
        <w:jc w:val="both"/>
        <w:outlineLvl w:val="2"/>
      </w:pPr>
      <w:r>
        <w:rPr>
          <w:rFonts w:ascii="黑体" w:hAnsi="黑体" w:eastAsia="黑体"/>
          <w:sz w:val="32"/>
        </w:rPr>
        <w:t>十、其他重要事项的情况说明</w:t>
      </w:r>
    </w:p>
    <w:p w14:paraId="76B17B6E">
      <w:pPr>
        <w:spacing w:line="640" w:lineRule="exact"/>
        <w:ind w:firstLine="640"/>
        <w:jc w:val="both"/>
        <w:outlineLvl w:val="3"/>
      </w:pPr>
      <w:r>
        <w:rPr>
          <w:rFonts w:ascii="楷体_GB2312" w:hAnsi="楷体_GB2312" w:eastAsia="楷体_GB2312"/>
          <w:b/>
          <w:sz w:val="32"/>
        </w:rPr>
        <w:t>（一）机关运行经费及公用经费支出情况</w:t>
      </w:r>
    </w:p>
    <w:p w14:paraId="432A05F3">
      <w:pPr>
        <w:spacing w:line="580" w:lineRule="exact"/>
        <w:ind w:firstLine="640"/>
        <w:jc w:val="both"/>
      </w:pPr>
      <w:r>
        <w:rPr>
          <w:rFonts w:ascii="仿宋_GB2312" w:hAnsi="仿宋_GB2312" w:eastAsia="仿宋_GB2312"/>
          <w:b w:val="0"/>
          <w:sz w:val="32"/>
        </w:rPr>
        <w:t>2024年度新疆维吾尔自治区喀什地区福利彩票发行中心（事业单位）公用经费支出78.00万元，比上年增加10.44万元，增长15.45%，主要原因是：本年办公费、差旅费等经费，导致公用经费支出增加。</w:t>
      </w:r>
    </w:p>
    <w:p w14:paraId="365D233F">
      <w:pPr>
        <w:spacing w:line="640" w:lineRule="exact"/>
        <w:ind w:firstLine="640"/>
        <w:jc w:val="both"/>
        <w:outlineLvl w:val="3"/>
      </w:pPr>
      <w:r>
        <w:rPr>
          <w:rFonts w:ascii="楷体_GB2312" w:hAnsi="楷体_GB2312" w:eastAsia="楷体_GB2312"/>
          <w:b/>
          <w:sz w:val="32"/>
        </w:rPr>
        <w:t>（二）政府采购情况</w:t>
      </w:r>
    </w:p>
    <w:p w14:paraId="3760EEF6">
      <w:pPr>
        <w:spacing w:line="580" w:lineRule="exact"/>
        <w:ind w:firstLine="640"/>
        <w:jc w:val="both"/>
      </w:pPr>
      <w:r>
        <w:rPr>
          <w:rFonts w:ascii="仿宋_GB2312" w:hAnsi="仿宋_GB2312" w:eastAsia="仿宋_GB2312"/>
          <w:b w:val="0"/>
          <w:sz w:val="32"/>
        </w:rPr>
        <w:t>2024年度政府采购支出总额31.42万元，其中：政府采购货物支出7.10万元、政府采购工程支出0.00万元、政府采购服务支出24.32万元。</w:t>
      </w:r>
    </w:p>
    <w:p w14:paraId="70C064AF">
      <w:pPr>
        <w:spacing w:line="580" w:lineRule="exact"/>
        <w:ind w:firstLine="640"/>
        <w:jc w:val="both"/>
      </w:pPr>
      <w:r>
        <w:rPr>
          <w:rFonts w:ascii="仿宋_GB2312" w:hAnsi="仿宋_GB2312" w:eastAsia="仿宋_GB2312"/>
          <w:b w:val="0"/>
          <w:sz w:val="32"/>
        </w:rPr>
        <w:t>授予中小企业合同金额30.57万元，占政府采购支出总额的97.29%，其中：授予小微企业合同金额19.29万元，占政府采购支出总额的61.39%。</w:t>
      </w:r>
    </w:p>
    <w:p w14:paraId="442D60DD">
      <w:pPr>
        <w:spacing w:line="640" w:lineRule="exact"/>
        <w:ind w:firstLine="640"/>
        <w:jc w:val="both"/>
        <w:outlineLvl w:val="3"/>
      </w:pPr>
      <w:r>
        <w:rPr>
          <w:rFonts w:ascii="楷体_GB2312" w:hAnsi="楷体_GB2312" w:eastAsia="楷体_GB2312"/>
          <w:b/>
          <w:sz w:val="32"/>
        </w:rPr>
        <w:t>（三）国有资产占用情况说明</w:t>
      </w:r>
    </w:p>
    <w:p w14:paraId="67D8A83F">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7B5ADE0F">
      <w:pPr>
        <w:spacing w:line="640" w:lineRule="exact"/>
        <w:ind w:firstLine="640"/>
        <w:jc w:val="both"/>
        <w:outlineLvl w:val="2"/>
      </w:pPr>
      <w:r>
        <w:rPr>
          <w:rFonts w:ascii="黑体" w:hAnsi="黑体" w:eastAsia="黑体"/>
          <w:sz w:val="32"/>
        </w:rPr>
        <w:t>十一、预算绩效的情况说明</w:t>
      </w:r>
    </w:p>
    <w:p w14:paraId="5BACF22A">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834.32万元，实际执行总额740.78万元；预算绩效评价项目2个，全年预算数573.40万元，全年执行数487.71万元。预算绩效管理取得的成效：一是能够严格按照《项目实施方案》执行，项目执行情况较好；二是有效保障了喀什地区福利彩票市场运行，提升了福利彩票销量，显著提高福利彩票公益金募集增长率。发现的问题及原因：一是部分业务人员绩效管理意识有待增强，未能全面深入认识理解绩效管理工作的意义；二是绩效管理经验不足，预算绩效管理工作有待进一步落实。下一步改进措施：一是加大绩效工作宣传力度，强化绩效理念；二是完善绩效指标，提高整体绩效目标质量，提升预算精细化管理水平。具体附部门整体支出绩效自评表，项目支出绩效自评表和部门评价报告。</w:t>
      </w:r>
    </w:p>
    <w:p w14:paraId="3A64FC6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096"/>
        <w:gridCol w:w="983"/>
        <w:gridCol w:w="983"/>
        <w:gridCol w:w="983"/>
        <w:gridCol w:w="983"/>
        <w:gridCol w:w="983"/>
      </w:tblGrid>
      <w:tr w14:paraId="614C069F">
        <w:tc>
          <w:tcPr>
            <w:tcW w:w="8847" w:type="dxa"/>
            <w:gridSpan w:val="9"/>
            <w:vAlign w:val="center"/>
          </w:tcPr>
          <w:p w14:paraId="7D7FF728">
            <w:pPr>
              <w:jc w:val="center"/>
            </w:pPr>
            <w:r>
              <w:rPr>
                <w:rFonts w:ascii="宋体" w:hAnsi="宋体" w:eastAsia="宋体"/>
                <w:sz w:val="24"/>
              </w:rPr>
              <w:t>部门整体支出绩效自评表</w:t>
            </w:r>
          </w:p>
        </w:tc>
      </w:tr>
      <w:tr w14:paraId="1D94A8EA">
        <w:tblPrEx>
          <w:tblCellMar>
            <w:top w:w="0" w:type="dxa"/>
            <w:left w:w="108" w:type="dxa"/>
            <w:bottom w:w="0" w:type="dxa"/>
            <w:right w:w="108" w:type="dxa"/>
          </w:tblCellMar>
        </w:tblPrEx>
        <w:tc>
          <w:tcPr>
            <w:tcW w:w="8847" w:type="dxa"/>
            <w:gridSpan w:val="9"/>
            <w:vAlign w:val="center"/>
          </w:tcPr>
          <w:p w14:paraId="7092FF88">
            <w:pPr>
              <w:jc w:val="center"/>
            </w:pPr>
            <w:r>
              <w:rPr>
                <w:rFonts w:ascii="宋体" w:hAnsi="宋体" w:eastAsia="宋体"/>
                <w:sz w:val="24"/>
              </w:rPr>
              <w:t>（2024年度）</w:t>
            </w:r>
          </w:p>
        </w:tc>
      </w:tr>
      <w:tr w14:paraId="414EBD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8246E">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60F0B51">
            <w:pPr>
              <w:jc w:val="center"/>
            </w:pPr>
            <w:r>
              <w:rPr>
                <w:rFonts w:ascii="宋体" w:hAnsi="宋体" w:eastAsia="宋体"/>
                <w:sz w:val="16"/>
              </w:rPr>
              <w:t>新疆维吾尔自治区喀什地区福利彩票发行中心</w:t>
            </w:r>
          </w:p>
        </w:tc>
      </w:tr>
      <w:tr w14:paraId="7C885B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32A7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B407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ED2F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E59F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89F1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1016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597C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FE113">
            <w:pPr>
              <w:jc w:val="center"/>
            </w:pPr>
            <w:r>
              <w:rPr>
                <w:rFonts w:ascii="宋体" w:hAnsi="宋体" w:eastAsia="宋体"/>
                <w:sz w:val="16"/>
              </w:rPr>
              <w:t>得分</w:t>
            </w:r>
          </w:p>
        </w:tc>
      </w:tr>
      <w:tr w14:paraId="2502E7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6A51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18DF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80E1F">
            <w:pPr>
              <w:jc w:val="center"/>
            </w:pPr>
            <w:r>
              <w:rPr>
                <w:rFonts w:ascii="宋体" w:hAnsi="宋体" w:eastAsia="宋体"/>
                <w:sz w:val="16"/>
              </w:rPr>
              <w:t>917.02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073CC">
            <w:pPr>
              <w:jc w:val="center"/>
            </w:pPr>
            <w:r>
              <w:rPr>
                <w:rFonts w:ascii="宋体" w:hAnsi="宋体" w:eastAsia="宋体"/>
                <w:sz w:val="16"/>
              </w:rPr>
              <w:t>834.32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FA1D1">
            <w:pPr>
              <w:jc w:val="center"/>
            </w:pPr>
            <w:r>
              <w:rPr>
                <w:rFonts w:ascii="宋体" w:hAnsi="宋体" w:eastAsia="宋体"/>
                <w:sz w:val="16"/>
              </w:rPr>
              <w:t>740.78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9AA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D048E">
            <w:pPr>
              <w:jc w:val="center"/>
            </w:pPr>
            <w:r>
              <w:rPr>
                <w:rFonts w:ascii="宋体" w:hAnsi="宋体" w:eastAsia="宋体"/>
                <w:sz w:val="16"/>
              </w:rPr>
              <w:t>88.79%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099AC">
            <w:pPr>
              <w:jc w:val="center"/>
            </w:pPr>
            <w:r>
              <w:rPr>
                <w:rFonts w:ascii="宋体" w:hAnsi="宋体" w:eastAsia="宋体"/>
                <w:sz w:val="16"/>
              </w:rPr>
              <w:t>8.88</w:t>
            </w:r>
          </w:p>
        </w:tc>
      </w:tr>
      <w:tr w14:paraId="670F36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2CC0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0F4A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DE254">
            <w:pPr>
              <w:jc w:val="center"/>
            </w:pPr>
            <w:r>
              <w:rPr>
                <w:rFonts w:ascii="宋体" w:hAnsi="宋体" w:eastAsia="宋体"/>
                <w:sz w:val="16"/>
              </w:rPr>
              <w:t>567.00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1DF25">
            <w:pPr>
              <w:jc w:val="center"/>
            </w:pPr>
            <w:r>
              <w:rPr>
                <w:rFonts w:ascii="宋体" w:hAnsi="宋体" w:eastAsia="宋体"/>
                <w:sz w:val="16"/>
              </w:rPr>
              <w:t>567.00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B095E">
            <w:pPr>
              <w:jc w:val="center"/>
            </w:pPr>
            <w:r>
              <w:rPr>
                <w:rFonts w:ascii="宋体" w:hAnsi="宋体" w:eastAsia="宋体"/>
                <w:sz w:val="16"/>
              </w:rPr>
              <w:t>481.31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993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8EA5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AE105">
            <w:pPr>
              <w:jc w:val="center"/>
            </w:pPr>
            <w:r>
              <w:rPr>
                <w:rFonts w:ascii="宋体" w:hAnsi="宋体" w:eastAsia="宋体"/>
                <w:sz w:val="16"/>
              </w:rPr>
              <w:t>—</w:t>
            </w:r>
          </w:p>
        </w:tc>
      </w:tr>
      <w:tr w14:paraId="2ABE5F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9570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E6D1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6B12D">
            <w:pPr>
              <w:jc w:val="center"/>
            </w:pPr>
            <w:r>
              <w:rPr>
                <w:rFonts w:ascii="宋体" w:hAnsi="宋体" w:eastAsia="宋体"/>
                <w:sz w:val="16"/>
              </w:rPr>
              <w:t>350.02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B514E">
            <w:pPr>
              <w:jc w:val="center"/>
            </w:pPr>
            <w:r>
              <w:rPr>
                <w:rFonts w:ascii="宋体" w:hAnsi="宋体" w:eastAsia="宋体"/>
                <w:sz w:val="16"/>
              </w:rPr>
              <w:t>267.32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73065">
            <w:pPr>
              <w:jc w:val="center"/>
            </w:pPr>
            <w:r>
              <w:rPr>
                <w:rFonts w:ascii="宋体" w:hAnsi="宋体" w:eastAsia="宋体"/>
                <w:sz w:val="16"/>
              </w:rPr>
              <w:t>259.47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87D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EF40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F4862">
            <w:pPr>
              <w:jc w:val="center"/>
            </w:pPr>
            <w:r>
              <w:rPr>
                <w:rFonts w:ascii="宋体" w:hAnsi="宋体" w:eastAsia="宋体"/>
                <w:sz w:val="16"/>
              </w:rPr>
              <w:t>—</w:t>
            </w:r>
          </w:p>
        </w:tc>
      </w:tr>
      <w:tr w14:paraId="684E1B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D2CE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5E72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EDC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D78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3AB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43C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B6A8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45C47">
            <w:pPr>
              <w:jc w:val="center"/>
            </w:pPr>
            <w:r>
              <w:rPr>
                <w:rFonts w:ascii="宋体" w:hAnsi="宋体" w:eastAsia="宋体"/>
                <w:sz w:val="16"/>
              </w:rPr>
              <w:t>—</w:t>
            </w:r>
          </w:p>
        </w:tc>
      </w:tr>
      <w:tr w14:paraId="7E6EC7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BFF2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08F1B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97C852">
            <w:pPr>
              <w:jc w:val="center"/>
            </w:pPr>
            <w:r>
              <w:rPr>
                <w:rFonts w:ascii="宋体" w:hAnsi="宋体" w:eastAsia="宋体"/>
                <w:sz w:val="16"/>
              </w:rPr>
              <w:t>实际完成情况</w:t>
            </w:r>
          </w:p>
        </w:tc>
      </w:tr>
      <w:tr w14:paraId="78E21F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858BC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26B8CC">
            <w:pPr>
              <w:jc w:val="both"/>
            </w:pPr>
            <w:r>
              <w:rPr>
                <w:rFonts w:ascii="宋体" w:hAnsi="宋体" w:eastAsia="宋体"/>
                <w:sz w:val="16"/>
              </w:rPr>
              <w:t>保障福利彩票运维服务覆盖县市12个县，使福利彩票销售机构正常运转的同时全力抓好网点即开票游戏促销活动，积极参与上级部门开展的各项派奖活动，预计2024年福利彩票公益金筹集量7710.09万元，巩固提高销售员业务、销售能力，不断提高彩票销售网点覆盖率，增加就业岗位，增加彩票销量努力提高经济效益和社会效益，更好地促进福利彩票事业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DCD92">
            <w:pPr>
              <w:jc w:val="both"/>
            </w:pPr>
            <w:r>
              <w:rPr>
                <w:rFonts w:ascii="宋体" w:hAnsi="宋体" w:eastAsia="宋体"/>
                <w:sz w:val="16"/>
              </w:rPr>
              <w:t>保障福利彩票运维服务覆盖县市12个县，使福利彩票销售机构正常运转的同时全力抓好网点即开票游戏促销活动，积极参与上级部门开展的各项派奖活动，2024年福利彩票公益金筹集量9075.29万元，投注站销售设备终端数量498个，全年福利彩票销售额132458.31万元，销售网点网络通讯</w:t>
            </w:r>
            <w:r>
              <w:rPr>
                <w:rFonts w:hint="eastAsia" w:ascii="宋体" w:hAnsi="宋体"/>
                <w:sz w:val="16"/>
                <w:lang w:eastAsia="zh-CN"/>
              </w:rPr>
              <w:t>覆盖率</w:t>
            </w:r>
            <w:r>
              <w:rPr>
                <w:rFonts w:ascii="宋体" w:hAnsi="宋体" w:eastAsia="宋体"/>
                <w:sz w:val="16"/>
              </w:rPr>
              <w:t>的100%。巩固提高了销售员业务、销售能力，不断</w:t>
            </w:r>
            <w:r>
              <w:rPr>
                <w:rFonts w:hint="eastAsia" w:ascii="宋体" w:hAnsi="宋体"/>
                <w:sz w:val="16"/>
                <w:lang w:eastAsia="zh-CN"/>
              </w:rPr>
              <w:t>地</w:t>
            </w:r>
            <w:r>
              <w:rPr>
                <w:rFonts w:ascii="宋体" w:hAnsi="宋体" w:eastAsia="宋体"/>
                <w:sz w:val="16"/>
              </w:rPr>
              <w:t>提高彩票销售网点覆盖率</w:t>
            </w:r>
            <w:bookmarkStart w:id="0" w:name="_GoBack"/>
            <w:bookmarkEnd w:id="0"/>
            <w:r>
              <w:rPr>
                <w:rFonts w:ascii="宋体" w:hAnsi="宋体" w:eastAsia="宋体"/>
                <w:sz w:val="16"/>
              </w:rPr>
              <w:t>，增加了就业岗位，增加了彩票销量努力提高经济效益和社会效益，更好地促进福利彩票事业发展。</w:t>
            </w:r>
          </w:p>
        </w:tc>
      </w:tr>
      <w:tr w14:paraId="4E54AA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377D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817A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A133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921B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B550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91BB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4B7C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F8E0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6B66C">
            <w:pPr>
              <w:jc w:val="center"/>
            </w:pPr>
            <w:r>
              <w:rPr>
                <w:rFonts w:ascii="宋体" w:hAnsi="宋体" w:eastAsia="宋体"/>
                <w:sz w:val="16"/>
              </w:rPr>
              <w:t>得分</w:t>
            </w:r>
          </w:p>
        </w:tc>
      </w:tr>
      <w:tr w14:paraId="3625F7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0C7B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E829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AC939">
            <w:pPr>
              <w:jc w:val="center"/>
            </w:pPr>
            <w:r>
              <w:rPr>
                <w:rFonts w:ascii="宋体" w:hAnsi="宋体" w:eastAsia="宋体"/>
                <w:sz w:val="16"/>
              </w:rPr>
              <w:t>投注站销售设备终端数量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C46F9">
            <w:pPr>
              <w:jc w:val="center"/>
            </w:pPr>
            <w:r>
              <w:rPr>
                <w:rFonts w:ascii="宋体" w:hAnsi="宋体" w:eastAsia="宋体"/>
                <w:sz w:val="16"/>
              </w:rPr>
              <w:t>&gt;=500个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54BDC">
            <w:pPr>
              <w:jc w:val="center"/>
            </w:pPr>
            <w:r>
              <w:rPr>
                <w:rFonts w:ascii="宋体" w:hAnsi="宋体" w:eastAsia="宋体"/>
                <w:sz w:val="16"/>
              </w:rPr>
              <w:t>喀地财综</w:t>
            </w:r>
            <w:r>
              <w:rPr>
                <w:rFonts w:hint="eastAsia" w:ascii="宋体" w:hAnsi="宋体"/>
                <w:sz w:val="16"/>
                <w:lang w:eastAsia="zh-CN"/>
              </w:rPr>
              <w:t>〔2023〕22号</w:t>
            </w:r>
            <w:r>
              <w:rPr>
                <w:rFonts w:ascii="宋体" w:hAnsi="宋体" w:eastAsia="宋体"/>
                <w:sz w:val="16"/>
              </w:rPr>
              <w:t>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30D9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87CBA">
            <w:pPr>
              <w:jc w:val="center"/>
            </w:pPr>
            <w:r>
              <w:rPr>
                <w:rFonts w:ascii="宋体" w:hAnsi="宋体" w:eastAsia="宋体"/>
                <w:sz w:val="16"/>
              </w:rPr>
              <w:t>498个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CC97F">
            <w:pPr>
              <w:jc w:val="center"/>
            </w:pPr>
            <w:r>
              <w:rPr>
                <w:rFonts w:ascii="宋体" w:hAnsi="宋体" w:eastAsia="宋体"/>
                <w:sz w:val="16"/>
              </w:rPr>
              <w:t>99.6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7C15F">
            <w:pPr>
              <w:jc w:val="center"/>
            </w:pPr>
            <w:r>
              <w:rPr>
                <w:rFonts w:ascii="宋体" w:hAnsi="宋体" w:eastAsia="宋体"/>
                <w:sz w:val="16"/>
              </w:rPr>
              <w:t>14.94</w:t>
            </w:r>
          </w:p>
        </w:tc>
      </w:tr>
      <w:tr w14:paraId="27E9C7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B41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163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F2D5D">
            <w:pPr>
              <w:jc w:val="center"/>
            </w:pPr>
            <w:r>
              <w:rPr>
                <w:rFonts w:ascii="宋体" w:hAnsi="宋体" w:eastAsia="宋体"/>
                <w:sz w:val="16"/>
              </w:rPr>
              <w:t>全年福利彩票销售额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D53AB">
            <w:pPr>
              <w:jc w:val="center"/>
            </w:pPr>
            <w:r>
              <w:rPr>
                <w:rFonts w:ascii="宋体" w:hAnsi="宋体" w:eastAsia="宋体"/>
                <w:sz w:val="16"/>
              </w:rPr>
              <w:t>&gt;=122384.63万元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ADAF4">
            <w:pPr>
              <w:jc w:val="center"/>
            </w:pPr>
            <w:r>
              <w:rPr>
                <w:rFonts w:ascii="宋体" w:hAnsi="宋体" w:eastAsia="宋体"/>
                <w:sz w:val="16"/>
              </w:rPr>
              <w:t>喀地财综</w:t>
            </w:r>
            <w:r>
              <w:rPr>
                <w:rFonts w:hint="eastAsia" w:ascii="宋体" w:hAnsi="宋体"/>
                <w:sz w:val="16"/>
                <w:lang w:eastAsia="zh-CN"/>
              </w:rPr>
              <w:t>〔2023〕22号</w:t>
            </w:r>
            <w:r>
              <w:rPr>
                <w:rFonts w:ascii="宋体" w:hAnsi="宋体" w:eastAsia="宋体"/>
                <w:sz w:val="16"/>
              </w:rPr>
              <w:t>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0805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A9A28">
            <w:pPr>
              <w:jc w:val="center"/>
            </w:pPr>
            <w:r>
              <w:rPr>
                <w:rFonts w:ascii="宋体" w:hAnsi="宋体" w:eastAsia="宋体"/>
                <w:sz w:val="16"/>
              </w:rPr>
              <w:t>132458.31万元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5512E">
            <w:pPr>
              <w:jc w:val="center"/>
            </w:pPr>
            <w:r>
              <w:rPr>
                <w:rFonts w:ascii="宋体" w:hAnsi="宋体" w:eastAsia="宋体"/>
                <w:sz w:val="16"/>
              </w:rPr>
              <w:t>110.68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4BFF5">
            <w:pPr>
              <w:jc w:val="center"/>
            </w:pPr>
            <w:r>
              <w:rPr>
                <w:rFonts w:ascii="宋体" w:hAnsi="宋体" w:eastAsia="宋体"/>
                <w:sz w:val="16"/>
              </w:rPr>
              <w:t>20</w:t>
            </w:r>
          </w:p>
        </w:tc>
      </w:tr>
      <w:tr w14:paraId="1061E7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FE1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7BF0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6E427">
            <w:pPr>
              <w:jc w:val="center"/>
            </w:pPr>
            <w:r>
              <w:rPr>
                <w:rFonts w:ascii="宋体" w:hAnsi="宋体" w:eastAsia="宋体"/>
                <w:sz w:val="16"/>
              </w:rPr>
              <w:t>2024年福利彩票公益金筹集量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CEC99">
            <w:pPr>
              <w:jc w:val="center"/>
            </w:pPr>
            <w:r>
              <w:rPr>
                <w:rFonts w:ascii="宋体" w:hAnsi="宋体" w:eastAsia="宋体"/>
                <w:sz w:val="16"/>
              </w:rPr>
              <w:t>&gt;=7710.09万元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94CDA">
            <w:pPr>
              <w:jc w:val="center"/>
            </w:pPr>
            <w:r>
              <w:rPr>
                <w:rFonts w:ascii="宋体" w:hAnsi="宋体" w:eastAsia="宋体"/>
                <w:sz w:val="16"/>
              </w:rPr>
              <w:t>喀地财综</w:t>
            </w:r>
            <w:r>
              <w:rPr>
                <w:rFonts w:hint="eastAsia" w:ascii="宋体" w:hAnsi="宋体"/>
                <w:sz w:val="16"/>
                <w:lang w:eastAsia="zh-CN"/>
              </w:rPr>
              <w:t>〔2023〕22号</w:t>
            </w:r>
            <w:r>
              <w:rPr>
                <w:rFonts w:ascii="宋体" w:hAnsi="宋体" w:eastAsia="宋体"/>
                <w:sz w:val="16"/>
              </w:rPr>
              <w:t>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1C3A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7194F">
            <w:pPr>
              <w:jc w:val="center"/>
            </w:pPr>
            <w:r>
              <w:rPr>
                <w:rFonts w:ascii="宋体" w:hAnsi="宋体" w:eastAsia="宋体"/>
                <w:sz w:val="16"/>
              </w:rPr>
              <w:t>9075.29万元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A399F">
            <w:pPr>
              <w:jc w:val="center"/>
            </w:pPr>
            <w:r>
              <w:rPr>
                <w:rFonts w:ascii="宋体" w:hAnsi="宋体" w:eastAsia="宋体"/>
                <w:sz w:val="16"/>
              </w:rPr>
              <w:t>117.71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B8366">
            <w:pPr>
              <w:jc w:val="center"/>
            </w:pPr>
            <w:r>
              <w:rPr>
                <w:rFonts w:ascii="宋体" w:hAnsi="宋体" w:eastAsia="宋体"/>
                <w:sz w:val="16"/>
              </w:rPr>
              <w:t>20</w:t>
            </w:r>
          </w:p>
        </w:tc>
      </w:tr>
      <w:tr w14:paraId="76F700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65AF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3D1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CB5DF">
            <w:pPr>
              <w:jc w:val="center"/>
            </w:pPr>
            <w:r>
              <w:rPr>
                <w:rFonts w:ascii="宋体" w:hAnsi="宋体" w:eastAsia="宋体"/>
                <w:sz w:val="16"/>
              </w:rPr>
              <w:t>福利彩票运维服务覆盖县市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66C88">
            <w:pPr>
              <w:jc w:val="center"/>
            </w:pPr>
            <w:r>
              <w:rPr>
                <w:rFonts w:ascii="宋体" w:hAnsi="宋体" w:eastAsia="宋体"/>
                <w:sz w:val="16"/>
              </w:rPr>
              <w: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B753E">
            <w:pPr>
              <w:jc w:val="center"/>
            </w:pPr>
            <w:r>
              <w:rPr>
                <w:rFonts w:ascii="宋体" w:hAnsi="宋体" w:eastAsia="宋体"/>
                <w:sz w:val="16"/>
              </w:rPr>
              <w:t>2024年福彩中心工作计划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5DAA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EE9A9">
            <w:pPr>
              <w:jc w:val="center"/>
            </w:pPr>
            <w:r>
              <w:rPr>
                <w:rFonts w:ascii="宋体" w:hAnsi="宋体" w:eastAsia="宋体"/>
                <w:sz w:val="16"/>
              </w:rPr>
              <w: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6EE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9723D">
            <w:pPr>
              <w:jc w:val="center"/>
            </w:pPr>
            <w:r>
              <w:rPr>
                <w:rFonts w:ascii="宋体" w:hAnsi="宋体" w:eastAsia="宋体"/>
                <w:sz w:val="16"/>
              </w:rPr>
              <w:t>15</w:t>
            </w:r>
          </w:p>
        </w:tc>
      </w:tr>
      <w:tr w14:paraId="7FB8B2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6D65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7B55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FF831">
            <w:pPr>
              <w:jc w:val="center"/>
            </w:pPr>
            <w:r>
              <w:rPr>
                <w:rFonts w:ascii="宋体" w:hAnsi="宋体" w:eastAsia="宋体"/>
                <w:sz w:val="16"/>
              </w:rPr>
              <w:t>销售网点网络通讯覆盖率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5B1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623E5">
            <w:pPr>
              <w:jc w:val="center"/>
            </w:pPr>
            <w:r>
              <w:rPr>
                <w:rFonts w:ascii="宋体" w:hAnsi="宋体" w:eastAsia="宋体"/>
                <w:sz w:val="16"/>
              </w:rPr>
              <w:t>喀地财综</w:t>
            </w:r>
            <w:r>
              <w:rPr>
                <w:rFonts w:hint="eastAsia" w:ascii="宋体" w:hAnsi="宋体"/>
                <w:sz w:val="16"/>
                <w:lang w:eastAsia="zh-CN"/>
              </w:rPr>
              <w:t>〔2023〕22号</w:t>
            </w:r>
            <w:r>
              <w:rPr>
                <w:rFonts w:ascii="宋体" w:hAnsi="宋体" w:eastAsia="宋体"/>
                <w:sz w:val="16"/>
              </w:rPr>
              <w:t>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4552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14D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5F9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F712F">
            <w:pPr>
              <w:jc w:val="center"/>
            </w:pPr>
            <w:r>
              <w:rPr>
                <w:rFonts w:ascii="宋体" w:hAnsi="宋体" w:eastAsia="宋体"/>
                <w:sz w:val="16"/>
              </w:rPr>
              <w:t>20</w:t>
            </w:r>
          </w:p>
        </w:tc>
      </w:tr>
    </w:tbl>
    <w:p w14:paraId="7ECD38EC">
      <w:r>
        <w:br w:type="page"/>
      </w:r>
    </w:p>
    <w:tbl>
      <w:tblPr>
        <w:tblStyle w:val="9"/>
        <w:tblW w:w="0" w:type="auto"/>
        <w:tblInd w:w="0" w:type="dxa"/>
        <w:tblLayout w:type="autofit"/>
        <w:tblCellMar>
          <w:top w:w="0" w:type="dxa"/>
          <w:left w:w="108" w:type="dxa"/>
          <w:bottom w:w="0" w:type="dxa"/>
          <w:right w:w="108" w:type="dxa"/>
        </w:tblCellMar>
      </w:tblPr>
      <w:tblGrid>
        <w:gridCol w:w="596"/>
        <w:gridCol w:w="537"/>
        <w:gridCol w:w="538"/>
        <w:gridCol w:w="538"/>
        <w:gridCol w:w="1096"/>
        <w:gridCol w:w="538"/>
        <w:gridCol w:w="936"/>
        <w:gridCol w:w="567"/>
        <w:gridCol w:w="538"/>
        <w:gridCol w:w="538"/>
        <w:gridCol w:w="1016"/>
        <w:gridCol w:w="626"/>
        <w:gridCol w:w="399"/>
        <w:gridCol w:w="597"/>
      </w:tblGrid>
      <w:tr w14:paraId="608A5F9E">
        <w:tblPrEx>
          <w:tblCellMar>
            <w:top w:w="0" w:type="dxa"/>
            <w:left w:w="108" w:type="dxa"/>
            <w:bottom w:w="0" w:type="dxa"/>
            <w:right w:w="108" w:type="dxa"/>
          </w:tblCellMar>
        </w:tblPrEx>
        <w:tc>
          <w:tcPr>
            <w:tcW w:w="8848" w:type="dxa"/>
            <w:gridSpan w:val="14"/>
            <w:vAlign w:val="center"/>
          </w:tcPr>
          <w:p w14:paraId="15CC2007">
            <w:pPr>
              <w:jc w:val="center"/>
            </w:pPr>
            <w:r>
              <w:rPr>
                <w:rFonts w:ascii="宋体" w:hAnsi="宋体" w:eastAsia="宋体"/>
                <w:sz w:val="24"/>
              </w:rPr>
              <w:t>项目支出绩效自评表</w:t>
            </w:r>
          </w:p>
        </w:tc>
      </w:tr>
      <w:tr w14:paraId="34CE7DE2">
        <w:tblPrEx>
          <w:tblCellMar>
            <w:top w:w="0" w:type="dxa"/>
            <w:left w:w="108" w:type="dxa"/>
            <w:bottom w:w="0" w:type="dxa"/>
            <w:right w:w="108" w:type="dxa"/>
          </w:tblCellMar>
        </w:tblPrEx>
        <w:tc>
          <w:tcPr>
            <w:tcW w:w="8848" w:type="dxa"/>
            <w:gridSpan w:val="14"/>
            <w:vAlign w:val="center"/>
          </w:tcPr>
          <w:p w14:paraId="571020A1">
            <w:pPr>
              <w:jc w:val="center"/>
            </w:pPr>
            <w:r>
              <w:rPr>
                <w:rFonts w:ascii="宋体" w:hAnsi="宋体" w:eastAsia="宋体"/>
                <w:sz w:val="24"/>
              </w:rPr>
              <w:t>(2024年度)</w:t>
            </w:r>
          </w:p>
        </w:tc>
      </w:tr>
      <w:tr w14:paraId="4993FB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8C5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49AFF9">
            <w:pPr>
              <w:jc w:val="center"/>
            </w:pPr>
            <w:r>
              <w:rPr>
                <w:rFonts w:ascii="宋体" w:hAnsi="宋体" w:eastAsia="宋体"/>
                <w:sz w:val="16"/>
              </w:rPr>
              <w:t>2024年自治区福利彩票市场调控资金预算项目</w:t>
            </w:r>
          </w:p>
        </w:tc>
      </w:tr>
      <w:tr w14:paraId="4097CB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B2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757E5">
            <w:pPr>
              <w:jc w:val="center"/>
            </w:pPr>
            <w:r>
              <w:rPr>
                <w:rFonts w:ascii="宋体" w:hAnsi="宋体" w:eastAsia="宋体"/>
                <w:sz w:val="16"/>
              </w:rPr>
              <w:t>新疆维吾尔自治区喀什地区福利彩票发行中心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56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FA400C">
            <w:pPr>
              <w:jc w:val="center"/>
            </w:pPr>
            <w:r>
              <w:rPr>
                <w:rFonts w:ascii="宋体" w:hAnsi="宋体" w:eastAsia="宋体"/>
                <w:sz w:val="16"/>
              </w:rPr>
              <w:t>新疆维吾尔自治区喀什地区福利彩票发行中心</w:t>
            </w:r>
          </w:p>
        </w:tc>
      </w:tr>
      <w:tr w14:paraId="170D2E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B28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960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B4F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F80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970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24C5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2DE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9594">
            <w:pPr>
              <w:jc w:val="center"/>
            </w:pPr>
            <w:r>
              <w:rPr>
                <w:rFonts w:ascii="宋体" w:hAnsi="宋体" w:eastAsia="宋体"/>
                <w:sz w:val="16"/>
              </w:rPr>
              <w:t>得分</w:t>
            </w:r>
          </w:p>
        </w:tc>
      </w:tr>
      <w:tr w14:paraId="23A0A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D50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D27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38F91">
            <w:pPr>
              <w:jc w:val="center"/>
            </w:pPr>
            <w:r>
              <w:rPr>
                <w:rFonts w:ascii="宋体" w:hAnsi="宋体" w:eastAsia="宋体"/>
                <w:sz w:val="16"/>
              </w:rPr>
              <w:t>567.00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FF00F">
            <w:pPr>
              <w:jc w:val="center"/>
            </w:pPr>
            <w:r>
              <w:rPr>
                <w:rFonts w:ascii="宋体" w:hAnsi="宋体" w:eastAsia="宋体"/>
                <w:sz w:val="16"/>
              </w:rPr>
              <w:t>567.00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44F53">
            <w:pPr>
              <w:jc w:val="center"/>
            </w:pPr>
            <w:r>
              <w:rPr>
                <w:rFonts w:ascii="宋体" w:hAnsi="宋体" w:eastAsia="宋体"/>
                <w:sz w:val="16"/>
              </w:rPr>
              <w:t>481.31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4B8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7846F">
            <w:pPr>
              <w:jc w:val="center"/>
            </w:pPr>
            <w:r>
              <w:rPr>
                <w:rFonts w:ascii="宋体" w:hAnsi="宋体" w:eastAsia="宋体"/>
                <w:sz w:val="16"/>
              </w:rPr>
              <w:t>84.9%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B367">
            <w:pPr>
              <w:jc w:val="center"/>
            </w:pPr>
            <w:r>
              <w:rPr>
                <w:rFonts w:ascii="宋体" w:hAnsi="宋体" w:eastAsia="宋体"/>
                <w:sz w:val="16"/>
              </w:rPr>
              <w:t>6.22分</w:t>
            </w:r>
          </w:p>
        </w:tc>
      </w:tr>
      <w:tr w14:paraId="18C57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6F3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97B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9CBF8">
            <w:pPr>
              <w:jc w:val="center"/>
            </w:pPr>
            <w:r>
              <w:rPr>
                <w:rFonts w:ascii="宋体" w:hAnsi="宋体" w:eastAsia="宋体"/>
                <w:sz w:val="16"/>
              </w:rPr>
              <w:t>567.00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67B6D">
            <w:pPr>
              <w:jc w:val="center"/>
            </w:pPr>
            <w:r>
              <w:rPr>
                <w:rFonts w:ascii="宋体" w:hAnsi="宋体" w:eastAsia="宋体"/>
                <w:sz w:val="16"/>
              </w:rPr>
              <w:t>567.00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DD9A0">
            <w:pPr>
              <w:jc w:val="center"/>
            </w:pPr>
            <w:r>
              <w:rPr>
                <w:rFonts w:ascii="宋体" w:hAnsi="宋体" w:eastAsia="宋体"/>
                <w:sz w:val="16"/>
              </w:rPr>
              <w:t>481.31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BE4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4D3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E96E4">
            <w:pPr>
              <w:jc w:val="center"/>
            </w:pPr>
            <w:r>
              <w:rPr>
                <w:rFonts w:ascii="宋体" w:hAnsi="宋体" w:eastAsia="宋体"/>
                <w:sz w:val="16"/>
              </w:rPr>
              <w:t>—</w:t>
            </w:r>
          </w:p>
        </w:tc>
      </w:tr>
      <w:tr w14:paraId="0E0259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5C6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088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4FB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577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77F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20F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9D3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F21F">
            <w:pPr>
              <w:jc w:val="center"/>
            </w:pPr>
            <w:r>
              <w:rPr>
                <w:rFonts w:ascii="宋体" w:hAnsi="宋体" w:eastAsia="宋体"/>
                <w:sz w:val="16"/>
              </w:rPr>
              <w:t>—</w:t>
            </w:r>
          </w:p>
        </w:tc>
      </w:tr>
      <w:tr w14:paraId="17E536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7A3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3B9D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38B988">
            <w:pPr>
              <w:jc w:val="center"/>
            </w:pPr>
            <w:r>
              <w:rPr>
                <w:rFonts w:ascii="宋体" w:hAnsi="宋体" w:eastAsia="宋体"/>
                <w:sz w:val="16"/>
              </w:rPr>
              <w:t>实际完成情况</w:t>
            </w:r>
          </w:p>
        </w:tc>
      </w:tr>
      <w:tr w14:paraId="2D756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587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7BB7C5">
            <w:pPr>
              <w:jc w:val="both"/>
            </w:pPr>
            <w:r>
              <w:rPr>
                <w:rFonts w:ascii="宋体" w:hAnsi="宋体" w:eastAsia="宋体"/>
                <w:sz w:val="16"/>
              </w:rPr>
              <w:t>1通过本项目的实施能够增加彩票销售网点终端的数量 ，提高彩票销售网点运维服务覆盖率。能有效提高彩票销量，促进提高 筹集福利彩票公益金增长率。 能够 促进彩票销售渠道建设发展，提高彩民对销售网点满意度 也有助于提升福利彩票公益形象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3B31F8">
            <w:pPr>
              <w:jc w:val="both"/>
            </w:pPr>
            <w:r>
              <w:rPr>
                <w:rFonts w:ascii="宋体" w:hAnsi="宋体" w:eastAsia="宋体"/>
                <w:sz w:val="16"/>
              </w:rPr>
              <w:t>通过本项目的实施,彩票销售网点终端2024年底数量为498个，提高彩票销售网点运维服务覆盖率。实现彩票销量135458.31万元，较2023年增长9.36%，筹集福利彩票公益金9075.29万元较上年增长1.49%，有效保障了喀什地区福利事业发展，较好地促进了彩票销售渠道建设发展，也提高了彩民对销售网点满意度 有助于提升福利彩票公益形象。</w:t>
            </w:r>
          </w:p>
        </w:tc>
      </w:tr>
      <w:tr w14:paraId="28C27B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EF09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9A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65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D8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64D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94F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B1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EE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8E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4F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81C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81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2492D">
            <w:pPr>
              <w:jc w:val="center"/>
            </w:pPr>
            <w:r>
              <w:rPr>
                <w:rFonts w:ascii="宋体" w:hAnsi="宋体" w:eastAsia="宋体"/>
                <w:sz w:val="16"/>
              </w:rPr>
              <w:t>偏差原因分析及改进措施</w:t>
            </w:r>
          </w:p>
        </w:tc>
      </w:tr>
      <w:tr w14:paraId="6BBD10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F20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245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38D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90E7">
            <w:pPr>
              <w:jc w:val="center"/>
            </w:pPr>
            <w:r>
              <w:rPr>
                <w:rFonts w:ascii="宋体" w:hAnsi="宋体" w:eastAsia="宋体"/>
                <w:sz w:val="16"/>
              </w:rPr>
              <w:t>支持彩票销售网点数量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C29F">
            <w:pPr>
              <w:jc w:val="center"/>
            </w:pPr>
            <w:r>
              <w:rPr>
                <w:rFonts w:ascii="宋体" w:hAnsi="宋体" w:eastAsia="宋体"/>
                <w:sz w:val="16"/>
              </w:rPr>
              <w:t>&gt;=500个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5B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68D9">
            <w:pPr>
              <w:jc w:val="center"/>
            </w:pPr>
            <w:r>
              <w:rPr>
                <w:rFonts w:ascii="宋体" w:hAnsi="宋体" w:eastAsia="宋体"/>
                <w:sz w:val="16"/>
              </w:rPr>
              <w:t>485个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1CF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0D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C2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C53E">
            <w:pPr>
              <w:jc w:val="center"/>
            </w:pPr>
            <w:r>
              <w:rPr>
                <w:rFonts w:ascii="宋体" w:hAnsi="宋体" w:eastAsia="宋体"/>
                <w:sz w:val="16"/>
              </w:rPr>
              <w:t>=498个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D8C3">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D3551">
            <w:pPr>
              <w:jc w:val="center"/>
            </w:pPr>
            <w:r>
              <w:rPr>
                <w:rFonts w:ascii="宋体" w:hAnsi="宋体" w:eastAsia="宋体"/>
                <w:sz w:val="16"/>
              </w:rPr>
              <w:t>2024年底，自治区中心福彩中心调整市场，部分投注设备未及时布机，造成彩票销售网点数量未达到预期指标。改进措施：加强队伍内部管理，强化各部门协作。</w:t>
            </w:r>
          </w:p>
        </w:tc>
      </w:tr>
      <w:tr w14:paraId="3A487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46D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DF2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3D0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EF52">
            <w:pPr>
              <w:jc w:val="center"/>
            </w:pPr>
            <w:r>
              <w:rPr>
                <w:rFonts w:ascii="宋体" w:hAnsi="宋体" w:eastAsia="宋体"/>
                <w:sz w:val="16"/>
              </w:rPr>
              <w:t>网点通讯费缴纳次数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524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D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FAE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58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6E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3C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814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57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49974">
            <w:pPr>
              <w:jc w:val="center"/>
            </w:pPr>
          </w:p>
        </w:tc>
      </w:tr>
      <w:tr w14:paraId="1DDC1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B62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41B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5E0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2434">
            <w:pPr>
              <w:jc w:val="center"/>
            </w:pPr>
            <w:r>
              <w:rPr>
                <w:rFonts w:ascii="宋体" w:hAnsi="宋体" w:eastAsia="宋体"/>
                <w:sz w:val="16"/>
              </w:rPr>
              <w:t>彩票销售网点运维服务覆盖率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D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CD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A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C6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DD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FC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0D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0C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FD6D1">
            <w:pPr>
              <w:jc w:val="center"/>
            </w:pPr>
          </w:p>
        </w:tc>
      </w:tr>
      <w:tr w14:paraId="36E7C3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C2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2E6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E43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961E">
            <w:pPr>
              <w:jc w:val="center"/>
            </w:pPr>
            <w:r>
              <w:rPr>
                <w:rFonts w:ascii="宋体" w:hAnsi="宋体" w:eastAsia="宋体"/>
                <w:sz w:val="16"/>
              </w:rPr>
              <w:t>销售网点网络通讯覆盖率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E8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E0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98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9E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A6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3C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47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E5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A355C">
            <w:pPr>
              <w:jc w:val="center"/>
            </w:pPr>
          </w:p>
        </w:tc>
      </w:tr>
      <w:tr w14:paraId="0B40B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2E6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77E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3C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0A7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19C3F">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6B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9EFB">
            <w:pPr>
              <w:jc w:val="center"/>
            </w:pPr>
            <w:r>
              <w:rPr>
                <w:rFonts w:ascii="宋体" w:hAnsi="宋体" w:eastAsia="宋体"/>
                <w:sz w:val="16"/>
              </w:rPr>
              <w:t>2023年10月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BFD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CE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16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8C00">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56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F1F66">
            <w:pPr>
              <w:jc w:val="center"/>
            </w:pPr>
          </w:p>
        </w:tc>
      </w:tr>
      <w:tr w14:paraId="586CD8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851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CCE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2ED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F25E">
            <w:pPr>
              <w:jc w:val="center"/>
            </w:pPr>
            <w:r>
              <w:rPr>
                <w:rFonts w:ascii="宋体" w:hAnsi="宋体" w:eastAsia="宋体"/>
                <w:sz w:val="16"/>
              </w:rPr>
              <w:t>彩票市场调控资金运维费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69E0">
            <w:pPr>
              <w:jc w:val="center"/>
            </w:pPr>
            <w:r>
              <w:rPr>
                <w:rFonts w:ascii="宋体" w:hAnsi="宋体" w:eastAsia="宋体"/>
                <w:sz w:val="16"/>
              </w:rPr>
              <w:t>&lt;=507.6万元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D2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F28F">
            <w:pPr>
              <w:jc w:val="center"/>
            </w:pPr>
            <w:r>
              <w:rPr>
                <w:rFonts w:ascii="宋体" w:hAnsi="宋体" w:eastAsia="宋体"/>
                <w:sz w:val="16"/>
              </w:rPr>
              <w:t>520.54万元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CC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9E8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91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0515">
            <w:pPr>
              <w:jc w:val="center"/>
            </w:pPr>
            <w:r>
              <w:rPr>
                <w:rFonts w:ascii="宋体" w:hAnsi="宋体" w:eastAsia="宋体"/>
                <w:sz w:val="16"/>
              </w:rPr>
              <w:t>=421.32万元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EB2B">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392A9">
            <w:pPr>
              <w:jc w:val="center"/>
            </w:pPr>
            <w:r>
              <w:rPr>
                <w:rFonts w:ascii="宋体" w:hAnsi="宋体" w:eastAsia="宋体"/>
                <w:sz w:val="16"/>
              </w:rPr>
              <w:t>2024年自治区福彩中心调整福利彩票运维费管理办法，造成彩票市场调控资金未执行完毕，未达到预期指标。改进措施：今后工作中及时掌握上级主管部门传达的政策，及时整改工作中发生的偏差。</w:t>
            </w:r>
          </w:p>
        </w:tc>
      </w:tr>
      <w:tr w14:paraId="743B9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69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3C3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1C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3E48">
            <w:pPr>
              <w:jc w:val="center"/>
            </w:pPr>
            <w:r>
              <w:rPr>
                <w:rFonts w:ascii="宋体" w:hAnsi="宋体" w:eastAsia="宋体"/>
                <w:sz w:val="16"/>
              </w:rPr>
              <w:t>支付网络通讯费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8B1E">
            <w:pPr>
              <w:jc w:val="center"/>
            </w:pPr>
            <w:r>
              <w:rPr>
                <w:rFonts w:ascii="宋体" w:hAnsi="宋体" w:eastAsia="宋体"/>
                <w:sz w:val="16"/>
              </w:rPr>
              <w:t>&lt;=59.4万元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51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59A7">
            <w:pPr>
              <w:jc w:val="center"/>
            </w:pPr>
            <w:r>
              <w:rPr>
                <w:rFonts w:ascii="宋体" w:hAnsi="宋体" w:eastAsia="宋体"/>
                <w:sz w:val="16"/>
              </w:rPr>
              <w:t>53.46万元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2B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3A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75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4482">
            <w:pPr>
              <w:jc w:val="center"/>
            </w:pPr>
            <w:r>
              <w:rPr>
                <w:rFonts w:ascii="宋体" w:hAnsi="宋体" w:eastAsia="宋体"/>
                <w:sz w:val="16"/>
              </w:rPr>
              <w:t>=59.99万元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56BA5">
            <w:pPr>
              <w:jc w:val="center"/>
            </w:pPr>
            <w:r>
              <w:rPr>
                <w:rFonts w:ascii="宋体" w:hAnsi="宋体" w:eastAsia="宋体"/>
                <w:sz w:val="16"/>
              </w:rPr>
              <w:t>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E7379">
            <w:pPr>
              <w:jc w:val="center"/>
            </w:pPr>
            <w:r>
              <w:rPr>
                <w:rFonts w:ascii="宋体" w:hAnsi="宋体" w:eastAsia="宋体"/>
                <w:sz w:val="16"/>
              </w:rPr>
              <w:t>指标设立不够精准，网络通讯费超出预期指标值。改进措施：加强队伍内部管理，强化各部门协作。</w:t>
            </w:r>
          </w:p>
        </w:tc>
      </w:tr>
      <w:tr w14:paraId="2C5126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0CB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D65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901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B2C1">
            <w:pPr>
              <w:jc w:val="center"/>
            </w:pPr>
            <w:r>
              <w:rPr>
                <w:rFonts w:ascii="宋体" w:hAnsi="宋体" w:eastAsia="宋体"/>
                <w:sz w:val="16"/>
              </w:rPr>
              <w:t>全年福利彩票销售额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01D9">
            <w:pPr>
              <w:jc w:val="center"/>
            </w:pPr>
            <w:r>
              <w:rPr>
                <w:rFonts w:ascii="宋体" w:hAnsi="宋体" w:eastAsia="宋体"/>
                <w:sz w:val="16"/>
              </w:rPr>
              <w:t>&gt;=122384.63万元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F49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327D">
            <w:pPr>
              <w:jc w:val="center"/>
            </w:pPr>
            <w:r>
              <w:rPr>
                <w:rFonts w:ascii="宋体" w:hAnsi="宋体" w:eastAsia="宋体"/>
                <w:sz w:val="16"/>
              </w:rPr>
              <w:t>122384.63万元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3F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CE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B0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33FC">
            <w:pPr>
              <w:jc w:val="center"/>
            </w:pPr>
            <w:r>
              <w:rPr>
                <w:rFonts w:ascii="宋体" w:hAnsi="宋体" w:eastAsia="宋体"/>
                <w:sz w:val="16"/>
              </w:rPr>
              <w:t>=135458.31万元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8C11">
            <w:pPr>
              <w:jc w:val="center"/>
            </w:pPr>
            <w:r>
              <w:rPr>
                <w:rFonts w:ascii="宋体" w:hAnsi="宋体" w:eastAsia="宋体"/>
                <w:sz w:val="16"/>
              </w:rPr>
              <w:t>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ED167">
            <w:pPr>
              <w:jc w:val="center"/>
            </w:pPr>
            <w:r>
              <w:rPr>
                <w:rFonts w:ascii="宋体" w:hAnsi="宋体" w:eastAsia="宋体"/>
                <w:sz w:val="16"/>
              </w:rPr>
              <w:t>2024年福利彩票福利销售额又创新高，造成彩票销售额超出指标。加强对彩票销售市场调研，精准分析市场销售数据。</w:t>
            </w:r>
          </w:p>
        </w:tc>
      </w:tr>
      <w:tr w14:paraId="119A6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64D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09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DD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3511">
            <w:pPr>
              <w:jc w:val="center"/>
            </w:pPr>
            <w:r>
              <w:rPr>
                <w:rFonts w:ascii="宋体" w:hAnsi="宋体" w:eastAsia="宋体"/>
                <w:sz w:val="16"/>
              </w:rPr>
              <w:t>全年筹集福利彩票公益金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67C1">
            <w:pPr>
              <w:jc w:val="center"/>
            </w:pPr>
            <w:r>
              <w:rPr>
                <w:rFonts w:ascii="宋体" w:hAnsi="宋体" w:eastAsia="宋体"/>
                <w:sz w:val="16"/>
              </w:rPr>
              <w:t>&gt;=7710.09万元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846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E461">
            <w:pPr>
              <w:jc w:val="center"/>
            </w:pPr>
            <w:r>
              <w:rPr>
                <w:rFonts w:ascii="宋体" w:hAnsi="宋体" w:eastAsia="宋体"/>
                <w:sz w:val="16"/>
              </w:rPr>
              <w:t>7710.09万元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91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4F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E2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6226">
            <w:pPr>
              <w:jc w:val="center"/>
            </w:pPr>
            <w:r>
              <w:rPr>
                <w:rFonts w:ascii="宋体" w:hAnsi="宋体" w:eastAsia="宋体"/>
                <w:sz w:val="16"/>
              </w:rPr>
              <w:t>=9075.29万元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1B58">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1BFDC">
            <w:pPr>
              <w:jc w:val="center"/>
            </w:pPr>
            <w:r>
              <w:rPr>
                <w:rFonts w:ascii="宋体" w:hAnsi="宋体" w:eastAsia="宋体"/>
                <w:sz w:val="16"/>
              </w:rPr>
              <w:t>2024年喀什地区福利彩票销量较去年有较大的增长，上级财政部门下拨的福利彩票公益金也有较大的增长，超出预期指标。今后工作中加强绩效指标分析科学设立目标值，降低绩效评价偏差。</w:t>
            </w:r>
          </w:p>
        </w:tc>
      </w:tr>
      <w:tr w14:paraId="41BA5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82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36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CF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42F1">
            <w:pPr>
              <w:jc w:val="center"/>
            </w:pPr>
            <w:r>
              <w:rPr>
                <w:rFonts w:ascii="宋体" w:hAnsi="宋体" w:eastAsia="宋体"/>
                <w:sz w:val="16"/>
              </w:rPr>
              <w:t>销售网点满意度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932E">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49B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6519">
            <w:pPr>
              <w:jc w:val="center"/>
            </w:pPr>
            <w:r>
              <w:rPr>
                <w:rFonts w:ascii="宋体" w:hAnsi="宋体" w:eastAsia="宋体"/>
                <w:sz w:val="16"/>
              </w:rPr>
              <w:t>97.1%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A3E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7C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4B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8B90">
            <w:pPr>
              <w:jc w:val="center"/>
            </w:pPr>
            <w:r>
              <w:rPr>
                <w:rFonts w:ascii="宋体" w:hAnsi="宋体" w:eastAsia="宋体"/>
                <w:sz w:val="16"/>
              </w:rPr>
              <w:t>=97.1%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14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B06B5">
            <w:pPr>
              <w:jc w:val="center"/>
            </w:pPr>
          </w:p>
        </w:tc>
      </w:tr>
      <w:tr w14:paraId="4CFC483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06EC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778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7934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4CD0">
            <w:pPr>
              <w:jc w:val="center"/>
            </w:pPr>
            <w:r>
              <w:rPr>
                <w:rFonts w:ascii="宋体" w:hAnsi="宋体" w:eastAsia="宋体"/>
                <w:sz w:val="16"/>
              </w:rPr>
              <w:t>88.78分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E2EB2C"/>
        </w:tc>
      </w:tr>
    </w:tbl>
    <w:p w14:paraId="640DB148">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1"/>
        <w:gridCol w:w="856"/>
        <w:gridCol w:w="624"/>
        <w:gridCol w:w="624"/>
        <w:gridCol w:w="626"/>
        <w:gridCol w:w="624"/>
        <w:gridCol w:w="624"/>
        <w:gridCol w:w="696"/>
        <w:gridCol w:w="632"/>
        <w:gridCol w:w="614"/>
        <w:gridCol w:w="632"/>
      </w:tblGrid>
      <w:tr w14:paraId="4B0FBA13">
        <w:tblPrEx>
          <w:tblCellMar>
            <w:top w:w="0" w:type="dxa"/>
            <w:left w:w="108" w:type="dxa"/>
            <w:bottom w:w="0" w:type="dxa"/>
            <w:right w:w="108" w:type="dxa"/>
          </w:tblCellMar>
        </w:tblPrEx>
        <w:tc>
          <w:tcPr>
            <w:tcW w:w="8848" w:type="dxa"/>
            <w:gridSpan w:val="14"/>
            <w:vAlign w:val="center"/>
          </w:tcPr>
          <w:p w14:paraId="1A0D8AF2">
            <w:pPr>
              <w:jc w:val="center"/>
            </w:pPr>
            <w:r>
              <w:rPr>
                <w:rFonts w:ascii="宋体" w:hAnsi="宋体" w:eastAsia="宋体"/>
                <w:sz w:val="24"/>
              </w:rPr>
              <w:t>项目支出绩效自评表</w:t>
            </w:r>
          </w:p>
        </w:tc>
      </w:tr>
      <w:tr w14:paraId="1F746E4F">
        <w:tblPrEx>
          <w:tblCellMar>
            <w:top w:w="0" w:type="dxa"/>
            <w:left w:w="108" w:type="dxa"/>
            <w:bottom w:w="0" w:type="dxa"/>
            <w:right w:w="108" w:type="dxa"/>
          </w:tblCellMar>
        </w:tblPrEx>
        <w:tc>
          <w:tcPr>
            <w:tcW w:w="8848" w:type="dxa"/>
            <w:gridSpan w:val="14"/>
            <w:vAlign w:val="center"/>
          </w:tcPr>
          <w:p w14:paraId="22CAAAF9">
            <w:pPr>
              <w:jc w:val="center"/>
            </w:pPr>
            <w:r>
              <w:rPr>
                <w:rFonts w:ascii="宋体" w:hAnsi="宋体" w:eastAsia="宋体"/>
                <w:sz w:val="24"/>
              </w:rPr>
              <w:t>(2024年度)</w:t>
            </w:r>
          </w:p>
        </w:tc>
      </w:tr>
      <w:tr w14:paraId="1C4445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51A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1A96BE">
            <w:pPr>
              <w:jc w:val="center"/>
            </w:pPr>
            <w:r>
              <w:rPr>
                <w:rFonts w:ascii="宋体" w:hAnsi="宋体" w:eastAsia="宋体"/>
                <w:sz w:val="16"/>
              </w:rPr>
              <w:t>喀什地区福利彩票发行中心租赁办公场所项目</w:t>
            </w:r>
          </w:p>
        </w:tc>
      </w:tr>
      <w:tr w14:paraId="0D21CA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C7C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BE57D7">
            <w:pPr>
              <w:jc w:val="center"/>
            </w:pPr>
            <w:r>
              <w:rPr>
                <w:rFonts w:ascii="宋体" w:hAnsi="宋体" w:eastAsia="宋体"/>
                <w:sz w:val="16"/>
              </w:rPr>
              <w:t>新疆维吾尔自治区喀什地区福利彩票发行中心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4D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0CCC3A">
            <w:pPr>
              <w:jc w:val="center"/>
            </w:pPr>
            <w:r>
              <w:rPr>
                <w:rFonts w:ascii="宋体" w:hAnsi="宋体" w:eastAsia="宋体"/>
                <w:sz w:val="16"/>
              </w:rPr>
              <w:t>新疆维吾尔自治区喀什地区福利彩票发行中心</w:t>
            </w:r>
          </w:p>
        </w:tc>
      </w:tr>
      <w:tr w14:paraId="219E37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F9E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65C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82E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16C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455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6E4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8E6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C101">
            <w:pPr>
              <w:jc w:val="center"/>
            </w:pPr>
            <w:r>
              <w:rPr>
                <w:rFonts w:ascii="宋体" w:hAnsi="宋体" w:eastAsia="宋体"/>
                <w:sz w:val="16"/>
              </w:rPr>
              <w:t>得分</w:t>
            </w:r>
          </w:p>
        </w:tc>
      </w:tr>
      <w:tr w14:paraId="6BE7B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E5A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9DE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61313">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928D7">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87743">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620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8035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39D2">
            <w:pPr>
              <w:jc w:val="center"/>
            </w:pPr>
            <w:r>
              <w:rPr>
                <w:rFonts w:ascii="宋体" w:hAnsi="宋体" w:eastAsia="宋体"/>
                <w:sz w:val="16"/>
              </w:rPr>
              <w:t>10.00分</w:t>
            </w:r>
          </w:p>
        </w:tc>
      </w:tr>
      <w:tr w14:paraId="16FD1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5A9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905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58EA5">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39CFB">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63C27">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F70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CB5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13AE">
            <w:pPr>
              <w:jc w:val="center"/>
            </w:pPr>
            <w:r>
              <w:rPr>
                <w:rFonts w:ascii="宋体" w:hAnsi="宋体" w:eastAsia="宋体"/>
                <w:sz w:val="16"/>
              </w:rPr>
              <w:t>—</w:t>
            </w:r>
          </w:p>
        </w:tc>
      </w:tr>
      <w:tr w14:paraId="695DB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AD6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904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B83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525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E2E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DA7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058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59A8">
            <w:pPr>
              <w:jc w:val="center"/>
            </w:pPr>
            <w:r>
              <w:rPr>
                <w:rFonts w:ascii="宋体" w:hAnsi="宋体" w:eastAsia="宋体"/>
                <w:sz w:val="16"/>
              </w:rPr>
              <w:t>—</w:t>
            </w:r>
          </w:p>
        </w:tc>
      </w:tr>
      <w:tr w14:paraId="0EA973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5EA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BDDF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6CF4A8">
            <w:pPr>
              <w:jc w:val="center"/>
            </w:pPr>
            <w:r>
              <w:rPr>
                <w:rFonts w:ascii="宋体" w:hAnsi="宋体" w:eastAsia="宋体"/>
                <w:sz w:val="16"/>
              </w:rPr>
              <w:t>实际完成情况</w:t>
            </w:r>
          </w:p>
        </w:tc>
      </w:tr>
      <w:tr w14:paraId="630FF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0C5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8D4E9E">
            <w:pPr>
              <w:jc w:val="both"/>
            </w:pPr>
            <w:r>
              <w:rPr>
                <w:rFonts w:ascii="宋体" w:hAnsi="宋体" w:eastAsia="宋体"/>
                <w:sz w:val="16"/>
              </w:rPr>
              <w:t>喀什地区福彩中心租赁办公场所经费项目总额为32.4万元，年初预算安排26万元，由于房屋出租方依据市场行情提出涨价，租赁费资金缺口6.4万元，通过该项目的实施可以租赁合适的办公场所，一是满足对外兑奖工作，</w:t>
            </w:r>
            <w:r>
              <w:rPr>
                <w:rFonts w:hint="eastAsia" w:ascii="宋体" w:hAnsi="宋体"/>
                <w:sz w:val="16"/>
                <w:lang w:eastAsia="zh-CN"/>
              </w:rPr>
              <w:t>更好地</w:t>
            </w:r>
            <w:r>
              <w:rPr>
                <w:rFonts w:ascii="宋体" w:hAnsi="宋体" w:eastAsia="宋体"/>
                <w:sz w:val="16"/>
              </w:rPr>
              <w:t>服务于彩民。二是满足彩票设备及彩票的存储，保障了国家资产的安全性。三是为工作人员提供满足办公需求的场所，改善工作环境。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0DFA15">
            <w:pPr>
              <w:jc w:val="both"/>
            </w:pPr>
            <w:r>
              <w:rPr>
                <w:rFonts w:ascii="宋体" w:hAnsi="宋体" w:eastAsia="宋体"/>
                <w:sz w:val="16"/>
              </w:rPr>
              <w:t>通过该项目的实施，使得我中心顺利完成兑奖大厅，培训大厅及耗材库房三处办公场所的租赁工作，保障了彩民兑奖及彩票从业者业务培训等工作顺利进行，同时也提升了单位工作人员及办事人员的对办公环境的满意度，有利于福利彩票事业持续发展。</w:t>
            </w:r>
          </w:p>
        </w:tc>
      </w:tr>
      <w:tr w14:paraId="5C8EA1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47F9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90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47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1A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D3C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E7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10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47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74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B6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A5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318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B4F9D">
            <w:pPr>
              <w:jc w:val="center"/>
            </w:pPr>
            <w:r>
              <w:rPr>
                <w:rFonts w:ascii="宋体" w:hAnsi="宋体" w:eastAsia="宋体"/>
                <w:sz w:val="16"/>
              </w:rPr>
              <w:t>偏差原因分析及改进措施</w:t>
            </w:r>
          </w:p>
        </w:tc>
      </w:tr>
      <w:tr w14:paraId="43BE01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49F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48D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DF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36016">
            <w:pPr>
              <w:jc w:val="center"/>
            </w:pPr>
            <w:r>
              <w:rPr>
                <w:rFonts w:ascii="宋体" w:hAnsi="宋体" w:eastAsia="宋体"/>
                <w:sz w:val="16"/>
              </w:rPr>
              <w:t>房屋租赁面积（平方米）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2A91">
            <w:pPr>
              <w:jc w:val="center"/>
            </w:pPr>
            <w:r>
              <w:rPr>
                <w:rFonts w:ascii="宋体" w:hAnsi="宋体" w:eastAsia="宋体"/>
                <w:sz w:val="16"/>
              </w:rPr>
              <w:t>=510.08平方米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DA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19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66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97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80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DF71">
            <w:pPr>
              <w:jc w:val="center"/>
            </w:pPr>
            <w:r>
              <w:rPr>
                <w:rFonts w:ascii="宋体" w:hAnsi="宋体" w:eastAsia="宋体"/>
                <w:sz w:val="16"/>
              </w:rPr>
              <w:t>=500.8平方米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38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74633">
            <w:pPr>
              <w:jc w:val="center"/>
            </w:pPr>
            <w:r>
              <w:rPr>
                <w:rFonts w:ascii="宋体" w:hAnsi="宋体" w:eastAsia="宋体"/>
                <w:sz w:val="16"/>
              </w:rPr>
              <w:t>项目前期准备工作未做好，未能精准预测租赁面积，改进措施:今后项目决策前认真进行成本核算，明确项目租赁房屋面积，价值等。</w:t>
            </w:r>
          </w:p>
        </w:tc>
      </w:tr>
      <w:tr w14:paraId="74BAB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CEE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CF3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15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DFD7">
            <w:pPr>
              <w:jc w:val="center"/>
            </w:pPr>
            <w:r>
              <w:rPr>
                <w:rFonts w:ascii="宋体" w:hAnsi="宋体" w:eastAsia="宋体"/>
                <w:sz w:val="16"/>
              </w:rPr>
              <w:t>租赁办公用房符合办公需求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F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ECE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61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67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0D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92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79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01A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861D1">
            <w:pPr>
              <w:jc w:val="center"/>
            </w:pPr>
          </w:p>
        </w:tc>
      </w:tr>
      <w:tr w14:paraId="1318EB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ED1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419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C2F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37E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09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05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07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23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70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84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38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FA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DC345">
            <w:pPr>
              <w:jc w:val="center"/>
            </w:pPr>
          </w:p>
        </w:tc>
      </w:tr>
      <w:tr w14:paraId="759BAA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FCD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A49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74D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5B8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3F72">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E0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69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C2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33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5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F9EA">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6C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A4BCD">
            <w:pPr>
              <w:jc w:val="center"/>
            </w:pPr>
          </w:p>
        </w:tc>
      </w:tr>
      <w:tr w14:paraId="51513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BFC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50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E7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4BAD">
            <w:pPr>
              <w:jc w:val="center"/>
            </w:pPr>
            <w:r>
              <w:rPr>
                <w:rFonts w:ascii="宋体" w:hAnsi="宋体" w:eastAsia="宋体"/>
                <w:sz w:val="16"/>
              </w:rPr>
              <w:t>租赁费平均成本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86A4">
            <w:pPr>
              <w:jc w:val="center"/>
            </w:pPr>
            <w:r>
              <w:rPr>
                <w:rFonts w:ascii="宋体" w:hAnsi="宋体" w:eastAsia="宋体"/>
                <w:sz w:val="16"/>
              </w:rPr>
              <w:t>&lt;=634.30元/平方米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051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F4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67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7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1A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31D0">
            <w:pPr>
              <w:jc w:val="center"/>
            </w:pPr>
            <w:r>
              <w:rPr>
                <w:rFonts w:ascii="宋体" w:hAnsi="宋体" w:eastAsia="宋体"/>
                <w:sz w:val="16"/>
              </w:rPr>
              <w:t>=644元/平方米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0FB1">
            <w:pPr>
              <w:jc w:val="center"/>
            </w:pPr>
            <w:r>
              <w:rPr>
                <w:rFonts w:ascii="宋体" w:hAnsi="宋体" w:eastAsia="宋体"/>
                <w:sz w:val="16"/>
              </w:rPr>
              <w:t>19.25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0BD4C">
            <w:pPr>
              <w:jc w:val="center"/>
            </w:pPr>
            <w:r>
              <w:rPr>
                <w:rFonts w:ascii="宋体" w:hAnsi="宋体" w:eastAsia="宋体"/>
                <w:sz w:val="16"/>
              </w:rPr>
              <w:t>项目前期准备工作未能精准核实所租赁房屋面积，租金等基础数据准备工作。改进措施是今后项目前期认真做好市场调研及财务评估工作，依据市场调研了解房屋条件，租金等财务指标，确保项目成本准确明了。</w:t>
            </w:r>
          </w:p>
        </w:tc>
      </w:tr>
      <w:tr w14:paraId="736CB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A11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60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403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979B">
            <w:pPr>
              <w:jc w:val="center"/>
            </w:pPr>
            <w:r>
              <w:rPr>
                <w:rFonts w:ascii="宋体" w:hAnsi="宋体" w:eastAsia="宋体"/>
                <w:sz w:val="16"/>
              </w:rPr>
              <w:t>改善办公环境提升福彩公益形象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9E39">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4D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54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43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AB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8A3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6C49">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8B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3964F">
            <w:pPr>
              <w:jc w:val="center"/>
            </w:pPr>
          </w:p>
        </w:tc>
      </w:tr>
      <w:tr w14:paraId="2F672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15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2D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C7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1A3C">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F9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F0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ED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BA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18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7C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2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3A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46BEA">
            <w:pPr>
              <w:jc w:val="center"/>
            </w:pPr>
          </w:p>
        </w:tc>
      </w:tr>
      <w:tr w14:paraId="5004AE6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2682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80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8D8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00E8">
            <w:pPr>
              <w:jc w:val="center"/>
            </w:pPr>
            <w:r>
              <w:rPr>
                <w:rFonts w:ascii="宋体" w:hAnsi="宋体" w:eastAsia="宋体"/>
                <w:sz w:val="16"/>
              </w:rPr>
              <w:t>89.25分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92A44B"/>
        </w:tc>
      </w:tr>
    </w:tbl>
    <w:p w14:paraId="2D15DF46">
      <w:r>
        <w:br w:type="page"/>
      </w:r>
    </w:p>
    <w:p w14:paraId="3A25B6B7">
      <w:pPr>
        <w:spacing w:line="640" w:lineRule="exact"/>
        <w:ind w:firstLine="640"/>
        <w:jc w:val="both"/>
        <w:outlineLvl w:val="2"/>
      </w:pPr>
      <w:r>
        <w:rPr>
          <w:rFonts w:ascii="黑体" w:hAnsi="黑体" w:eastAsia="黑体"/>
          <w:sz w:val="32"/>
        </w:rPr>
        <w:t>十二、其他需说明的事项</w:t>
      </w:r>
    </w:p>
    <w:p w14:paraId="62FCD3F5">
      <w:pPr>
        <w:spacing w:line="580" w:lineRule="exact"/>
        <w:ind w:firstLine="640"/>
        <w:jc w:val="both"/>
      </w:pPr>
      <w:r>
        <w:rPr>
          <w:rFonts w:ascii="仿宋_GB2312" w:hAnsi="仿宋_GB2312" w:eastAsia="仿宋_GB2312"/>
          <w:b w:val="0"/>
          <w:sz w:val="32"/>
        </w:rPr>
        <w:t>本部门无其他需说明的事项。</w:t>
      </w:r>
    </w:p>
    <w:p w14:paraId="34156104">
      <w:r>
        <w:br w:type="page"/>
      </w:r>
    </w:p>
    <w:p w14:paraId="0DD03E1D">
      <w:pPr>
        <w:spacing w:line="240" w:lineRule="auto"/>
        <w:jc w:val="center"/>
        <w:outlineLvl w:val="1"/>
      </w:pPr>
      <w:r>
        <w:rPr>
          <w:rFonts w:ascii="黑体" w:hAnsi="黑体" w:eastAsia="黑体"/>
          <w:sz w:val="32"/>
        </w:rPr>
        <w:t>第三部分 专业名词解释</w:t>
      </w:r>
    </w:p>
    <w:p w14:paraId="23B2628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FBD07F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A58297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29FAFD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0FE34B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C7C63C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8B5CA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556651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5969D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3E4DBD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5A106F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CCBF5A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3E8CDC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1CD7DE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BC2B856">
      <w:r>
        <w:br w:type="page"/>
      </w:r>
    </w:p>
    <w:p w14:paraId="1AC9DD83">
      <w:pPr>
        <w:spacing w:line="240" w:lineRule="auto"/>
        <w:jc w:val="center"/>
        <w:outlineLvl w:val="1"/>
      </w:pPr>
      <w:r>
        <w:rPr>
          <w:rFonts w:ascii="黑体" w:hAnsi="黑体" w:eastAsia="黑体"/>
          <w:sz w:val="32"/>
        </w:rPr>
        <w:t>第四部分 部门决算报表（见附表）</w:t>
      </w:r>
    </w:p>
    <w:p w14:paraId="05E35F19">
      <w:pPr>
        <w:spacing w:line="240" w:lineRule="auto"/>
        <w:ind w:firstLine="640"/>
        <w:jc w:val="both"/>
      </w:pPr>
      <w:r>
        <w:rPr>
          <w:rFonts w:ascii="仿宋_GB2312" w:hAnsi="仿宋_GB2312" w:eastAsia="仿宋_GB2312"/>
          <w:b w:val="0"/>
          <w:sz w:val="32"/>
        </w:rPr>
        <w:t>一、《收入支出决算总表》</w:t>
      </w:r>
    </w:p>
    <w:p w14:paraId="1A675616">
      <w:pPr>
        <w:spacing w:line="240" w:lineRule="auto"/>
        <w:ind w:firstLine="640"/>
        <w:jc w:val="both"/>
      </w:pPr>
      <w:r>
        <w:rPr>
          <w:rFonts w:ascii="仿宋_GB2312" w:hAnsi="仿宋_GB2312" w:eastAsia="仿宋_GB2312"/>
          <w:b w:val="0"/>
          <w:sz w:val="32"/>
        </w:rPr>
        <w:t>二、《收入决算表》</w:t>
      </w:r>
    </w:p>
    <w:p w14:paraId="7CE7E312">
      <w:pPr>
        <w:spacing w:line="240" w:lineRule="auto"/>
        <w:ind w:firstLine="640"/>
        <w:jc w:val="both"/>
      </w:pPr>
      <w:r>
        <w:rPr>
          <w:rFonts w:ascii="仿宋_GB2312" w:hAnsi="仿宋_GB2312" w:eastAsia="仿宋_GB2312"/>
          <w:b w:val="0"/>
          <w:sz w:val="32"/>
        </w:rPr>
        <w:t>三、《支出决算表》</w:t>
      </w:r>
    </w:p>
    <w:p w14:paraId="487291F9">
      <w:pPr>
        <w:spacing w:line="240" w:lineRule="auto"/>
        <w:ind w:firstLine="640"/>
        <w:jc w:val="both"/>
      </w:pPr>
      <w:r>
        <w:rPr>
          <w:rFonts w:ascii="仿宋_GB2312" w:hAnsi="仿宋_GB2312" w:eastAsia="仿宋_GB2312"/>
          <w:b w:val="0"/>
          <w:sz w:val="32"/>
        </w:rPr>
        <w:t>四、《财政拨款收入支出决算总表》</w:t>
      </w:r>
    </w:p>
    <w:p w14:paraId="1542C5A8">
      <w:pPr>
        <w:spacing w:line="240" w:lineRule="auto"/>
        <w:ind w:firstLine="640"/>
        <w:jc w:val="both"/>
      </w:pPr>
      <w:r>
        <w:rPr>
          <w:rFonts w:ascii="仿宋_GB2312" w:hAnsi="仿宋_GB2312" w:eastAsia="仿宋_GB2312"/>
          <w:b w:val="0"/>
          <w:sz w:val="32"/>
        </w:rPr>
        <w:t>五、《一般公共预算财政拨款支出决算表》</w:t>
      </w:r>
    </w:p>
    <w:p w14:paraId="5C3F7F8C">
      <w:pPr>
        <w:spacing w:line="240" w:lineRule="auto"/>
        <w:ind w:firstLine="640"/>
        <w:jc w:val="both"/>
      </w:pPr>
      <w:r>
        <w:rPr>
          <w:rFonts w:ascii="仿宋_GB2312" w:hAnsi="仿宋_GB2312" w:eastAsia="仿宋_GB2312"/>
          <w:b w:val="0"/>
          <w:sz w:val="32"/>
        </w:rPr>
        <w:t>六、《一般公共预算财政拨款基本支出决算表》</w:t>
      </w:r>
    </w:p>
    <w:p w14:paraId="015C64F4">
      <w:pPr>
        <w:spacing w:line="240" w:lineRule="auto"/>
        <w:ind w:firstLine="640"/>
        <w:jc w:val="both"/>
      </w:pPr>
      <w:r>
        <w:rPr>
          <w:rFonts w:ascii="仿宋_GB2312" w:hAnsi="仿宋_GB2312" w:eastAsia="仿宋_GB2312"/>
          <w:b w:val="0"/>
          <w:sz w:val="32"/>
        </w:rPr>
        <w:t>七、《政府性基金预算财政拨款收入支出决算表》</w:t>
      </w:r>
    </w:p>
    <w:p w14:paraId="5F641674">
      <w:pPr>
        <w:spacing w:line="240" w:lineRule="auto"/>
        <w:ind w:firstLine="640"/>
        <w:jc w:val="both"/>
      </w:pPr>
      <w:r>
        <w:rPr>
          <w:rFonts w:ascii="仿宋_GB2312" w:hAnsi="仿宋_GB2312" w:eastAsia="仿宋_GB2312"/>
          <w:b w:val="0"/>
          <w:sz w:val="32"/>
        </w:rPr>
        <w:t>八、《国有资本经营预算财政拨款收入支出决算表》</w:t>
      </w:r>
    </w:p>
    <w:p w14:paraId="5176BBA6">
      <w:pPr>
        <w:spacing w:line="240" w:lineRule="auto"/>
        <w:ind w:firstLine="640"/>
        <w:jc w:val="both"/>
      </w:pPr>
      <w:r>
        <w:rPr>
          <w:rFonts w:ascii="仿宋_GB2312" w:hAnsi="仿宋_GB2312" w:eastAsia="仿宋_GB2312"/>
          <w:b w:val="0"/>
          <w:sz w:val="32"/>
        </w:rPr>
        <w:t>九、《财政拨款“三公”经费支出决算表》</w:t>
      </w:r>
    </w:p>
    <w:p w14:paraId="7DB792FA">
      <w:pPr>
        <w:spacing w:line="240" w:lineRule="auto"/>
        <w:ind w:firstLine="640"/>
        <w:jc w:val="both"/>
      </w:pPr>
    </w:p>
    <w:p w14:paraId="6594E580">
      <w:pPr>
        <w:spacing w:line="240" w:lineRule="auto"/>
        <w:ind w:firstLine="640"/>
        <w:jc w:val="both"/>
      </w:pPr>
    </w:p>
    <w:p w14:paraId="78C06823">
      <w:pPr>
        <w:spacing w:line="240" w:lineRule="auto"/>
        <w:ind w:firstLine="640"/>
        <w:jc w:val="both"/>
      </w:pPr>
    </w:p>
    <w:p w14:paraId="1879CA02">
      <w:pPr>
        <w:spacing w:line="240" w:lineRule="auto"/>
        <w:ind w:firstLine="640"/>
        <w:jc w:val="both"/>
      </w:pPr>
    </w:p>
    <w:p w14:paraId="2F864EA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6335B30-2EC5-4BD7-8455-D51AFCCCAE3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13E566B-BF88-4191-81D8-F346152002E8}"/>
  </w:font>
  <w:font w:name="仿宋_GB2312">
    <w:panose1 w:val="02010609030101010101"/>
    <w:charset w:val="86"/>
    <w:family w:val="modern"/>
    <w:pitch w:val="default"/>
    <w:sig w:usb0="00000001" w:usb1="080E0000" w:usb2="00000000" w:usb3="00000000" w:csb0="00040000" w:csb1="00000000"/>
    <w:embedRegular r:id="rId3" w:fontKey="{7B9E16F6-4167-4E30-85A8-A4A037FDD655}"/>
  </w:font>
  <w:font w:name="楷体_GB2312">
    <w:panose1 w:val="02010609030101010101"/>
    <w:charset w:val="86"/>
    <w:family w:val="auto"/>
    <w:pitch w:val="default"/>
    <w:sig w:usb0="00000001" w:usb1="080E0000" w:usb2="00000000" w:usb3="00000000" w:csb0="00040000" w:csb1="00000000"/>
    <w:embedRegular r:id="rId4" w:fontKey="{51456C8C-C368-478E-9687-84E37849CA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E573F2"/>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F2514C"/>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3799</Words>
  <Characters>4363</Characters>
  <Lines>0</Lines>
  <Paragraphs>0</Paragraphs>
  <TotalTime>3</TotalTime>
  <ScaleCrop>false</ScaleCrop>
  <LinksUpToDate>false</LinksUpToDate>
  <CharactersWithSpaces>4371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2025-09-04T05:27:08Z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