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B0DFA8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新疆维吾尔自治区喀什地区红十字会2024</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0A4A039">
      <w:r>
        <w:br w:type="page"/>
      </w:r>
    </w:p>
    <w:p w14:paraId="2C7ED78D">
      <w:pPr>
        <w:spacing w:line="640" w:lineRule="exact"/>
        <w:jc w:val="center"/>
        <w:outlineLvl w:val="1"/>
      </w:pPr>
      <w:r>
        <w:rPr>
          <w:rFonts w:ascii="黑体" w:hAnsi="黑体" w:eastAsia="黑体"/>
          <w:sz w:val="32"/>
        </w:rPr>
        <w:t>第一部分 部门概况</w:t>
      </w:r>
    </w:p>
    <w:p w14:paraId="7F6F10DD">
      <w:pPr>
        <w:spacing w:line="640" w:lineRule="exact"/>
        <w:ind w:firstLine="640"/>
        <w:jc w:val="both"/>
        <w:outlineLvl w:val="2"/>
      </w:pPr>
      <w:r>
        <w:rPr>
          <w:rFonts w:ascii="黑体" w:hAnsi="黑体" w:eastAsia="黑体"/>
          <w:sz w:val="32"/>
        </w:rPr>
        <w:t>一、主要职能</w:t>
      </w:r>
    </w:p>
    <w:p w14:paraId="5DC6654D">
      <w:pPr>
        <w:spacing w:line="580" w:lineRule="exact"/>
        <w:ind w:firstLine="640"/>
        <w:jc w:val="both"/>
      </w:pPr>
      <w:r>
        <w:rPr>
          <w:rFonts w:ascii="仿宋_GB2312" w:hAnsi="仿宋_GB2312" w:eastAsia="仿宋_GB2312"/>
          <w:sz w:val="32"/>
        </w:rPr>
        <w:t>根据《中华人民共和国红十字会法》、《中国红十字会章程</w:t>
      </w:r>
      <w:r>
        <w:rPr>
          <w:rFonts w:hint="eastAsia" w:ascii="仿宋_GB2312" w:hAnsi="仿宋_GB2312" w:eastAsia="仿宋_GB2312"/>
          <w:sz w:val="32"/>
          <w:lang w:eastAsia="zh-CN"/>
        </w:rPr>
        <w:t>》的</w:t>
      </w:r>
      <w:r>
        <w:rPr>
          <w:rFonts w:ascii="仿宋_GB2312" w:hAnsi="仿宋_GB2312" w:eastAsia="仿宋_GB2312"/>
          <w:sz w:val="32"/>
        </w:rPr>
        <w:t>规定，主要职责是：宣传红十字会人道理念、救灾备灾、扶危济困、救护培训、宣传无偿献血、卫生健康知识、宣传和管理造血干细胞捐献、组织志愿者开展社区服务。</w:t>
      </w:r>
    </w:p>
    <w:p w14:paraId="3945114E">
      <w:pPr>
        <w:spacing w:line="640" w:lineRule="exact"/>
        <w:ind w:firstLine="640"/>
        <w:jc w:val="both"/>
        <w:outlineLvl w:val="2"/>
      </w:pPr>
      <w:r>
        <w:rPr>
          <w:rFonts w:ascii="黑体" w:hAnsi="黑体" w:eastAsia="黑体"/>
          <w:sz w:val="32"/>
        </w:rPr>
        <w:t>二、机构设置及人员情况</w:t>
      </w:r>
    </w:p>
    <w:p w14:paraId="4A373E18">
      <w:pPr>
        <w:spacing w:line="580" w:lineRule="exact"/>
        <w:ind w:firstLine="640"/>
        <w:jc w:val="both"/>
      </w:pPr>
      <w:r>
        <w:rPr>
          <w:rFonts w:ascii="仿宋_GB2312" w:hAnsi="仿宋_GB2312" w:eastAsia="仿宋_GB2312"/>
          <w:sz w:val="32"/>
        </w:rPr>
        <w:t>新疆维吾尔自治区喀什地区红十字会2024年度，实有人数17人，其中：在职人员9人，减少2人；离休人员0人，增加0人；退休人员8人,增加1人。</w:t>
      </w:r>
    </w:p>
    <w:p w14:paraId="45F5AAFB">
      <w:pPr>
        <w:spacing w:line="580" w:lineRule="exact"/>
        <w:ind w:firstLine="640"/>
        <w:jc w:val="both"/>
      </w:pPr>
      <w:r>
        <w:rPr>
          <w:rFonts w:ascii="仿宋_GB2312" w:hAnsi="仿宋_GB2312" w:eastAsia="仿宋_GB2312"/>
          <w:sz w:val="32"/>
        </w:rPr>
        <w:t>新疆维吾尔自治区喀什地区红十字会无下属预算单位，下设2个科室，分别是：综合科、赈济救护部。</w:t>
      </w:r>
    </w:p>
    <w:p w14:paraId="6B34E5B3">
      <w:r>
        <w:br w:type="page"/>
      </w:r>
    </w:p>
    <w:p w14:paraId="43BF644E">
      <w:pPr>
        <w:spacing w:line="240" w:lineRule="auto"/>
        <w:jc w:val="center"/>
        <w:outlineLvl w:val="1"/>
      </w:pPr>
      <w:r>
        <w:rPr>
          <w:rFonts w:ascii="黑体" w:hAnsi="黑体" w:eastAsia="黑体"/>
          <w:sz w:val="32"/>
        </w:rPr>
        <w:t>第二部分 部门决算情况说明</w:t>
      </w:r>
    </w:p>
    <w:p w14:paraId="7DA978F6">
      <w:pPr>
        <w:spacing w:line="640" w:lineRule="exact"/>
        <w:ind w:firstLine="640"/>
        <w:jc w:val="both"/>
        <w:outlineLvl w:val="2"/>
      </w:pPr>
      <w:r>
        <w:rPr>
          <w:rFonts w:ascii="黑体" w:hAnsi="黑体" w:eastAsia="黑体"/>
          <w:sz w:val="32"/>
        </w:rPr>
        <w:t>一、收入支出决算总体情况说明</w:t>
      </w:r>
    </w:p>
    <w:p w14:paraId="21C943B9">
      <w:pPr>
        <w:spacing w:line="580" w:lineRule="exact"/>
        <w:ind w:firstLine="640"/>
        <w:jc w:val="both"/>
      </w:pPr>
      <w:r>
        <w:rPr>
          <w:rFonts w:ascii="仿宋_GB2312" w:hAnsi="仿宋_GB2312" w:eastAsia="仿宋_GB2312"/>
          <w:b/>
          <w:sz w:val="32"/>
        </w:rPr>
        <w:t>2024年度收入总计388.75万元，</w:t>
      </w:r>
      <w:r>
        <w:rPr>
          <w:rFonts w:ascii="仿宋_GB2312" w:hAnsi="仿宋_GB2312" w:eastAsia="仿宋_GB2312"/>
          <w:b w:val="0"/>
          <w:sz w:val="32"/>
        </w:rPr>
        <w:t>其中：本年收入合计325.37万元，使用非财政拨款结余（含专用结余）0.00万元，年初结转和结余63.38万元。</w:t>
      </w:r>
    </w:p>
    <w:p w14:paraId="72D310FC">
      <w:pPr>
        <w:spacing w:line="580" w:lineRule="exact"/>
        <w:ind w:firstLine="640"/>
        <w:jc w:val="both"/>
      </w:pPr>
      <w:r>
        <w:rPr>
          <w:rFonts w:ascii="仿宋_GB2312" w:hAnsi="仿宋_GB2312" w:eastAsia="仿宋_GB2312"/>
          <w:b/>
          <w:sz w:val="32"/>
        </w:rPr>
        <w:t>2024年度支出总计388.75万元，</w:t>
      </w:r>
      <w:r>
        <w:rPr>
          <w:rFonts w:ascii="仿宋_GB2312" w:hAnsi="仿宋_GB2312" w:eastAsia="仿宋_GB2312"/>
          <w:b w:val="0"/>
          <w:sz w:val="32"/>
        </w:rPr>
        <w:t>其中：本年支出合计380.43万元，结余分配0.00万元，年末结转和结余8.32万元。</w:t>
      </w:r>
    </w:p>
    <w:p w14:paraId="5035EDFB">
      <w:pPr>
        <w:spacing w:line="580" w:lineRule="exact"/>
        <w:ind w:firstLine="640"/>
        <w:jc w:val="both"/>
      </w:pPr>
      <w:r>
        <w:rPr>
          <w:rFonts w:ascii="仿宋_GB2312" w:hAnsi="仿宋_GB2312" w:eastAsia="仿宋_GB2312"/>
          <w:b w:val="0"/>
          <w:sz w:val="32"/>
        </w:rPr>
        <w:t>收入支出总体与上年相比，减少35.82万元，下降8.44%，主要原因是：本年在职人员减少，相关人员经费较上年减少；本年山东前方指挥部下拨的援疆资金、自治区红十字会下拨的造血干细胞工作经费、救灾物资仓储费、三献志愿服务队经费、人道公益日救援队培训经费等项目资金较上年减少。</w:t>
      </w:r>
    </w:p>
    <w:p w14:paraId="4B8823FE">
      <w:pPr>
        <w:spacing w:line="640" w:lineRule="exact"/>
        <w:ind w:firstLine="640"/>
        <w:jc w:val="both"/>
        <w:outlineLvl w:val="2"/>
      </w:pPr>
      <w:r>
        <w:rPr>
          <w:rFonts w:ascii="黑体" w:hAnsi="黑体" w:eastAsia="黑体"/>
          <w:sz w:val="32"/>
        </w:rPr>
        <w:t>二、收入决算情况说明</w:t>
      </w:r>
    </w:p>
    <w:p w14:paraId="5F66D485">
      <w:pPr>
        <w:spacing w:line="580" w:lineRule="exact"/>
        <w:ind w:firstLine="640"/>
        <w:jc w:val="both"/>
      </w:pPr>
      <w:r>
        <w:rPr>
          <w:rFonts w:ascii="仿宋_GB2312" w:hAnsi="仿宋_GB2312" w:eastAsia="仿宋_GB2312"/>
          <w:b/>
          <w:sz w:val="32"/>
        </w:rPr>
        <w:t>本年收入325.37万元，</w:t>
      </w:r>
      <w:r>
        <w:rPr>
          <w:rFonts w:ascii="仿宋_GB2312" w:hAnsi="仿宋_GB2312" w:eastAsia="仿宋_GB2312"/>
          <w:b w:val="0"/>
          <w:sz w:val="32"/>
        </w:rPr>
        <w:t>其中：财政拨款收入272.79万元，占83.84%；上级补助收入0.00万元，占0.00%；事业收入0.00万元，占0.00%；经营收入0.00万元，占0.00%；附属单位上缴收入0.00万元，占0.00%；其他收入52.58万元，占16.16%。</w:t>
      </w:r>
    </w:p>
    <w:p w14:paraId="25D8E6EC">
      <w:pPr>
        <w:spacing w:line="640" w:lineRule="exact"/>
        <w:ind w:firstLine="640"/>
        <w:jc w:val="both"/>
        <w:outlineLvl w:val="2"/>
      </w:pPr>
      <w:r>
        <w:rPr>
          <w:rFonts w:ascii="黑体" w:hAnsi="黑体" w:eastAsia="黑体"/>
          <w:sz w:val="32"/>
        </w:rPr>
        <w:t>三、支出决算情况说明</w:t>
      </w:r>
    </w:p>
    <w:p w14:paraId="5E62E996">
      <w:pPr>
        <w:spacing w:line="580" w:lineRule="exact"/>
        <w:ind w:firstLine="640"/>
        <w:jc w:val="both"/>
      </w:pPr>
      <w:r>
        <w:rPr>
          <w:rFonts w:ascii="仿宋_GB2312" w:hAnsi="仿宋_GB2312" w:eastAsia="仿宋_GB2312"/>
          <w:b/>
          <w:sz w:val="32"/>
        </w:rPr>
        <w:t>本年支出380.43万元，</w:t>
      </w:r>
      <w:r>
        <w:rPr>
          <w:rFonts w:ascii="仿宋_GB2312" w:hAnsi="仿宋_GB2312" w:eastAsia="仿宋_GB2312"/>
          <w:b w:val="0"/>
          <w:sz w:val="32"/>
        </w:rPr>
        <w:t>其中：基本支出255.15万元，占67.07%；项目支出125.28万元，占32.93%；上缴上级支出0.00万元，占0.00%；经营支出0.00万元，占0.00%；对附属单位补助支出0.00万元，占0.00%。</w:t>
      </w:r>
    </w:p>
    <w:p w14:paraId="7C0C485B">
      <w:pPr>
        <w:spacing w:line="640" w:lineRule="exact"/>
        <w:ind w:firstLine="640"/>
        <w:jc w:val="both"/>
        <w:outlineLvl w:val="2"/>
      </w:pPr>
      <w:r>
        <w:rPr>
          <w:rFonts w:ascii="黑体" w:hAnsi="黑体" w:eastAsia="黑体"/>
          <w:sz w:val="32"/>
        </w:rPr>
        <w:t>四、财政拨款收入支出决算总体情况说明</w:t>
      </w:r>
    </w:p>
    <w:p w14:paraId="49ADE7AF">
      <w:pPr>
        <w:spacing w:line="580" w:lineRule="exact"/>
        <w:ind w:firstLine="640"/>
        <w:jc w:val="both"/>
      </w:pPr>
      <w:r>
        <w:rPr>
          <w:rFonts w:ascii="仿宋_GB2312" w:hAnsi="仿宋_GB2312" w:eastAsia="仿宋_GB2312"/>
          <w:b/>
          <w:sz w:val="32"/>
        </w:rPr>
        <w:t>2024年度财政拨款收入总计272.79万元，</w:t>
      </w:r>
      <w:r>
        <w:rPr>
          <w:rFonts w:ascii="仿宋_GB2312" w:hAnsi="仿宋_GB2312" w:eastAsia="仿宋_GB2312"/>
          <w:b w:val="0"/>
          <w:sz w:val="32"/>
        </w:rPr>
        <w:t>其中：年初财政拨款结转和结余0.00万元，本年财政拨款收入272.79万元。</w:t>
      </w:r>
      <w:r>
        <w:rPr>
          <w:rFonts w:ascii="仿宋_GB2312" w:hAnsi="仿宋_GB2312" w:eastAsia="仿宋_GB2312"/>
          <w:b/>
          <w:sz w:val="32"/>
        </w:rPr>
        <w:t>财政拨款支出总计272.79万元，</w:t>
      </w:r>
      <w:r>
        <w:rPr>
          <w:rFonts w:ascii="仿宋_GB2312" w:hAnsi="仿宋_GB2312" w:eastAsia="仿宋_GB2312"/>
          <w:b w:val="0"/>
          <w:sz w:val="32"/>
        </w:rPr>
        <w:t>其中：年末财政拨款结转和结余0.00万元，本年财政拨款支出272.79万元。</w:t>
      </w:r>
    </w:p>
    <w:p w14:paraId="6CB9D36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减少70.08万元，下降20.44%，主要原因是：本年在职人员减少，相关人员经费较上年减少；本年减少专项项目经费、涉密域网络建设项目、救灾备灾中心安全隐患整改项目。</w:t>
      </w:r>
      <w:r>
        <w:rPr>
          <w:rFonts w:ascii="仿宋_GB2312" w:hAnsi="仿宋_GB2312" w:eastAsia="仿宋_GB2312"/>
          <w:b/>
          <w:sz w:val="32"/>
        </w:rPr>
        <w:t>与年初预算相比，</w:t>
      </w:r>
      <w:r>
        <w:rPr>
          <w:rFonts w:ascii="仿宋_GB2312" w:hAnsi="仿宋_GB2312" w:eastAsia="仿宋_GB2312"/>
          <w:b w:val="0"/>
          <w:sz w:val="32"/>
        </w:rPr>
        <w:t>年初预算数304.31万元，决算数272.79万元，预决算差异率-10.36%，主要原因是：本年在职人员减少，年中调减人员经费，导致预决算存在差异。</w:t>
      </w:r>
    </w:p>
    <w:p w14:paraId="71CBC03E">
      <w:pPr>
        <w:spacing w:line="640" w:lineRule="exact"/>
        <w:ind w:firstLine="640"/>
        <w:jc w:val="both"/>
        <w:outlineLvl w:val="2"/>
      </w:pPr>
      <w:r>
        <w:rPr>
          <w:rFonts w:ascii="黑体" w:hAnsi="黑体" w:eastAsia="黑体"/>
          <w:sz w:val="32"/>
        </w:rPr>
        <w:t>五、一般公共预算财政拨款支出决算情况说明</w:t>
      </w:r>
    </w:p>
    <w:p w14:paraId="031E2751">
      <w:pPr>
        <w:spacing w:line="640" w:lineRule="exact"/>
        <w:ind w:firstLine="640"/>
        <w:jc w:val="both"/>
        <w:outlineLvl w:val="3"/>
      </w:pPr>
      <w:r>
        <w:rPr>
          <w:rFonts w:ascii="楷体_GB2312" w:hAnsi="楷体_GB2312" w:eastAsia="楷体_GB2312"/>
          <w:b/>
          <w:sz w:val="32"/>
        </w:rPr>
        <w:t>（一）一般公共预算财政拨款支出决算总体情况</w:t>
      </w:r>
    </w:p>
    <w:p w14:paraId="70D64726">
      <w:pPr>
        <w:spacing w:line="580" w:lineRule="exact"/>
        <w:ind w:firstLine="640"/>
        <w:jc w:val="both"/>
      </w:pPr>
      <w:r>
        <w:rPr>
          <w:rFonts w:ascii="仿宋_GB2312" w:hAnsi="仿宋_GB2312" w:eastAsia="仿宋_GB2312"/>
          <w:b/>
          <w:sz w:val="32"/>
        </w:rPr>
        <w:t>2024年度一般公共预算财政拨款支出272.79万元，</w:t>
      </w:r>
      <w:r>
        <w:rPr>
          <w:rFonts w:ascii="仿宋_GB2312" w:hAnsi="仿宋_GB2312" w:eastAsia="仿宋_GB2312"/>
          <w:b w:val="0"/>
          <w:sz w:val="32"/>
        </w:rPr>
        <w:t>占本年支出合计的71.71%。</w:t>
      </w:r>
      <w:r>
        <w:rPr>
          <w:rFonts w:ascii="仿宋_GB2312" w:hAnsi="仿宋_GB2312" w:eastAsia="仿宋_GB2312"/>
          <w:b/>
          <w:sz w:val="32"/>
        </w:rPr>
        <w:t>与上年相比，</w:t>
      </w:r>
      <w:r>
        <w:rPr>
          <w:rFonts w:ascii="仿宋_GB2312" w:hAnsi="仿宋_GB2312" w:eastAsia="仿宋_GB2312"/>
          <w:b w:val="0"/>
          <w:sz w:val="32"/>
        </w:rPr>
        <w:t>减少70.08万元，下降20.44%，主要原因是：本年在职人员减少，相关人员经费较上年减少；本年减少专项项目经费、涉密域网络建设项目、救灾备灾中心安全隐患整改项目。</w:t>
      </w:r>
      <w:r>
        <w:rPr>
          <w:rFonts w:ascii="仿宋_GB2312" w:hAnsi="仿宋_GB2312" w:eastAsia="仿宋_GB2312"/>
          <w:b/>
          <w:sz w:val="32"/>
        </w:rPr>
        <w:t>与年初预算相比,</w:t>
      </w:r>
      <w:r>
        <w:rPr>
          <w:rFonts w:ascii="仿宋_GB2312" w:hAnsi="仿宋_GB2312" w:eastAsia="仿宋_GB2312"/>
          <w:b w:val="0"/>
          <w:sz w:val="32"/>
        </w:rPr>
        <w:t>年初预算数304.31万元，决算数272.79万元，预决算差异率-10.36%，主要原因是：本年在职人员减少，年中调减人员经费，导致预决算存在差异。</w:t>
      </w:r>
    </w:p>
    <w:p w14:paraId="2F4E9E17">
      <w:pPr>
        <w:spacing w:line="640" w:lineRule="exact"/>
        <w:ind w:firstLine="640"/>
        <w:jc w:val="both"/>
        <w:outlineLvl w:val="3"/>
      </w:pPr>
      <w:r>
        <w:rPr>
          <w:rFonts w:ascii="楷体_GB2312" w:hAnsi="楷体_GB2312" w:eastAsia="楷体_GB2312"/>
          <w:b/>
          <w:sz w:val="32"/>
        </w:rPr>
        <w:t>（二）一般公共预算财政拨款支出决算结构情况</w:t>
      </w:r>
    </w:p>
    <w:p w14:paraId="071F6824">
      <w:pPr>
        <w:spacing w:line="580" w:lineRule="exact"/>
        <w:ind w:firstLine="640"/>
        <w:jc w:val="both"/>
      </w:pPr>
      <w:r>
        <w:rPr>
          <w:rFonts w:ascii="仿宋_GB2312" w:hAnsi="仿宋_GB2312" w:eastAsia="仿宋_GB2312"/>
          <w:b w:val="0"/>
          <w:sz w:val="32"/>
        </w:rPr>
        <w:t>1.社会保障和就业支出(类)243.67万元,占89.33%。</w:t>
      </w:r>
    </w:p>
    <w:p w14:paraId="0046AFB4">
      <w:pPr>
        <w:spacing w:line="580" w:lineRule="exact"/>
        <w:ind w:firstLine="640"/>
        <w:jc w:val="both"/>
      </w:pPr>
      <w:r>
        <w:rPr>
          <w:rFonts w:ascii="仿宋_GB2312" w:hAnsi="仿宋_GB2312" w:eastAsia="仿宋_GB2312"/>
          <w:b w:val="0"/>
          <w:sz w:val="32"/>
        </w:rPr>
        <w:t>2.卫生健康支出(类)11.69万元,占4.29%。</w:t>
      </w:r>
    </w:p>
    <w:p w14:paraId="05817E0A">
      <w:pPr>
        <w:spacing w:line="580" w:lineRule="exact"/>
        <w:ind w:firstLine="640"/>
        <w:jc w:val="both"/>
      </w:pPr>
      <w:r>
        <w:rPr>
          <w:rFonts w:ascii="仿宋_GB2312" w:hAnsi="仿宋_GB2312" w:eastAsia="仿宋_GB2312"/>
          <w:b w:val="0"/>
          <w:sz w:val="32"/>
        </w:rPr>
        <w:t>3.住房保障支出(类)17.43万元,占6.39%。</w:t>
      </w:r>
    </w:p>
    <w:p w14:paraId="5585FFEA">
      <w:pPr>
        <w:spacing w:line="640" w:lineRule="exact"/>
        <w:ind w:firstLine="640"/>
        <w:jc w:val="both"/>
        <w:outlineLvl w:val="3"/>
      </w:pPr>
      <w:r>
        <w:rPr>
          <w:rFonts w:ascii="楷体_GB2312" w:hAnsi="楷体_GB2312" w:eastAsia="楷体_GB2312"/>
          <w:b/>
          <w:sz w:val="32"/>
        </w:rPr>
        <w:t>（三）一般公共预算财政拨款支出决算具体情况</w:t>
      </w:r>
    </w:p>
    <w:p w14:paraId="465211DC">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1.社会保障和就业支出(类)行政事业单位养老支出(款)行政单位离退休(项):支出决算数为12.74万元，比上年决算增加4.10万元，增长47.45%,主要原因是：本年退休人员增加，退休费支出增加。</w:t>
      </w:r>
    </w:p>
    <w:p w14:paraId="1160089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21.55万元，比上年决算减少0.23万元，下降1.06%,主要原因是：本年在职人员减少，单位基本养老保险缴费较上年减少。</w:t>
      </w:r>
    </w:p>
    <w:p w14:paraId="2C84D6F4">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3.社会保障和就业支出(类)行政事业单位养老支出(款)机关事业单位职业年金缴费支出(项):支出决算数为11.56万元，比上年决算增加3.89万元，增长50.72%,主要原因是：本年新增退休人员，职业年金缴费支出增加。</w:t>
      </w:r>
    </w:p>
    <w:p w14:paraId="5F45571F">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4.社会保障和就业支出(类)抚恤(款)死亡抚恤(项):支出决算数为0.00万元，比上年决算减少27.42万元，下降100.00%,主要原因是：本年无新增死亡人员，减少死亡抚恤支出。</w:t>
      </w:r>
    </w:p>
    <w:p w14:paraId="6E181BDE">
      <w:pPr>
        <w:spacing w:line="580" w:lineRule="exact"/>
        <w:ind w:firstLine="640"/>
        <w:jc w:val="both"/>
      </w:pPr>
      <w:r>
        <w:rPr>
          <w:rFonts w:ascii="仿宋_GB2312" w:hAnsi="仿宋_GB2312" w:eastAsia="仿宋_GB2312"/>
          <w:b w:val="0"/>
          <w:sz w:val="32"/>
        </w:rPr>
        <w:t>5.社会保障和就业支出(类)红十字事业(款)行政运行(项):支出决算数为180.18万元，比上年决算减少32.59万元，下降15.32%,主要原因是：本年在职人员减少，相应人员经费较上年减少。</w:t>
      </w:r>
    </w:p>
    <w:p w14:paraId="17E66AAA">
      <w:pPr>
        <w:spacing w:line="580" w:lineRule="exact"/>
        <w:ind w:firstLine="640"/>
        <w:jc w:val="both"/>
      </w:pPr>
      <w:r>
        <w:rPr>
          <w:rFonts w:ascii="仿宋_GB2312" w:hAnsi="仿宋_GB2312" w:eastAsia="仿宋_GB2312"/>
          <w:b w:val="0"/>
          <w:sz w:val="32"/>
        </w:rPr>
        <w:t>6.社会保障和就业支出(类)红十字事业(款)一般行政管理事务(项):支出决算数为17.63万元，比上年决算减少14.97万元，下降45.92%,主要原因是：本年减少涉密域网络建设项目、救灾备灾中心安全隐患整改项目。</w:t>
      </w:r>
    </w:p>
    <w:p w14:paraId="019F4E17">
      <w:pPr>
        <w:spacing w:line="580" w:lineRule="exact"/>
        <w:ind w:firstLine="640"/>
        <w:jc w:val="both"/>
      </w:pPr>
      <w:r>
        <w:rPr>
          <w:rFonts w:ascii="仿宋_GB2312" w:hAnsi="仿宋_GB2312" w:eastAsia="仿宋_GB2312"/>
          <w:b w:val="0"/>
          <w:sz w:val="32"/>
        </w:rPr>
        <w:t>7.卫生健康支出(类)行政事业单位医疗(款)行政单位医疗(项):支出决算数为9.19万元，比上年决算减少1.24万元，下降11.89%,主要原因是：本年在职人员减少，行政单位医疗较上年减少。</w:t>
      </w:r>
    </w:p>
    <w:p w14:paraId="35748333">
      <w:pPr>
        <w:spacing w:line="580" w:lineRule="exact"/>
        <w:ind w:firstLine="640"/>
        <w:jc w:val="both"/>
      </w:pPr>
      <w:r>
        <w:rPr>
          <w:rFonts w:ascii="仿宋_GB2312" w:hAnsi="仿宋_GB2312" w:eastAsia="仿宋_GB2312"/>
          <w:b w:val="0"/>
          <w:sz w:val="32"/>
        </w:rPr>
        <w:t>8.卫生健康支出(类)行政事业单位医疗(款)公务员医疗补助(项):支出决算数为2.51万元，比上年决算减少0.45万元，下降15.20%,主要原因是：本年在职人员减少，公务员医疗补助较上年减少。</w:t>
      </w:r>
    </w:p>
    <w:p w14:paraId="42C5E5FB">
      <w:pPr>
        <w:spacing w:line="580" w:lineRule="exact"/>
        <w:ind w:firstLine="640"/>
        <w:jc w:val="both"/>
      </w:pPr>
      <w:r>
        <w:rPr>
          <w:rFonts w:ascii="仿宋_GB2312" w:hAnsi="仿宋_GB2312" w:eastAsia="仿宋_GB2312"/>
          <w:b w:val="0"/>
          <w:sz w:val="32"/>
        </w:rPr>
        <w:t>9.住房保障支出(类)住房改革支出(款)住房公积金(项):支出决算数为17.43万元，比上年决算减少0.50万元，下降2.79%,主要原因是：本年在职人员减少，住房公积金缴费较上年减少。</w:t>
      </w:r>
    </w:p>
    <w:p w14:paraId="5D91B707">
      <w:pPr>
        <w:spacing w:line="580" w:lineRule="exact"/>
        <w:ind w:firstLine="640"/>
        <w:jc w:val="both"/>
      </w:pPr>
      <w:r>
        <w:rPr>
          <w:rFonts w:ascii="仿宋_GB2312" w:hAnsi="仿宋_GB2312" w:eastAsia="仿宋_GB2312"/>
          <w:b w:val="0"/>
          <w:sz w:val="32"/>
        </w:rPr>
        <w:t>10.其他支出(类)其他支出(款)其他支出(项):支出决算数为0.00万元，比上年决算减少0.68万元，下降100.00%,主要原因是：本年减少专项项目经费。</w:t>
      </w:r>
    </w:p>
    <w:p w14:paraId="767842BA">
      <w:pPr>
        <w:spacing w:line="640" w:lineRule="exact"/>
        <w:ind w:firstLine="640"/>
        <w:jc w:val="both"/>
        <w:outlineLvl w:val="2"/>
      </w:pPr>
      <w:r>
        <w:rPr>
          <w:rFonts w:ascii="黑体" w:hAnsi="黑体" w:eastAsia="黑体"/>
          <w:sz w:val="32"/>
        </w:rPr>
        <w:t>六、一般公共预算财政拨款基本支出决算情况说明</w:t>
      </w:r>
    </w:p>
    <w:p w14:paraId="4F10755F">
      <w:pPr>
        <w:spacing w:line="580" w:lineRule="exact"/>
        <w:ind w:firstLine="640"/>
        <w:jc w:val="both"/>
      </w:pPr>
      <w:r>
        <w:rPr>
          <w:rFonts w:ascii="仿宋_GB2312" w:hAnsi="仿宋_GB2312" w:eastAsia="仿宋_GB2312"/>
          <w:b w:val="0"/>
          <w:sz w:val="32"/>
        </w:rPr>
        <w:t>2024年度一般公共预算财政拨款基本支出255.15万元，其中：</w:t>
      </w:r>
      <w:r>
        <w:rPr>
          <w:rFonts w:ascii="仿宋_GB2312" w:hAnsi="仿宋_GB2312" w:eastAsia="仿宋_GB2312"/>
          <w:b/>
          <w:sz w:val="32"/>
        </w:rPr>
        <w:t>人员经费247.00万元，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奖励金。</w:t>
      </w:r>
    </w:p>
    <w:p w14:paraId="655A8322">
      <w:pPr>
        <w:spacing w:line="580" w:lineRule="exact"/>
        <w:ind w:firstLine="640"/>
        <w:jc w:val="both"/>
      </w:pPr>
      <w:r>
        <w:rPr>
          <w:rFonts w:ascii="仿宋_GB2312" w:hAnsi="仿宋_GB2312" w:eastAsia="仿宋_GB2312"/>
          <w:b/>
          <w:sz w:val="32"/>
        </w:rPr>
        <w:t>公用经费8.15万元，</w:t>
      </w:r>
      <w:r>
        <w:rPr>
          <w:rFonts w:ascii="仿宋_GB2312" w:hAnsi="仿宋_GB2312" w:eastAsia="仿宋_GB2312"/>
          <w:b w:val="0"/>
          <w:sz w:val="32"/>
        </w:rPr>
        <w:t>包括：办公费、电费、邮电费、差旅费、专用材料费、工会经费、公务用车运行维护费、其他交通费用、其他商品和服务支出。</w:t>
      </w:r>
    </w:p>
    <w:p w14:paraId="7FD574DF">
      <w:pPr>
        <w:spacing w:line="640" w:lineRule="exact"/>
        <w:ind w:firstLine="640"/>
        <w:jc w:val="both"/>
        <w:outlineLvl w:val="2"/>
      </w:pPr>
      <w:r>
        <w:rPr>
          <w:rFonts w:ascii="黑体" w:hAnsi="黑体" w:eastAsia="黑体"/>
          <w:sz w:val="32"/>
        </w:rPr>
        <w:t>七、政府性基金预算财政拨款收入支出决算情况说明</w:t>
      </w:r>
    </w:p>
    <w:p w14:paraId="22C13B39">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E4DFEB8">
      <w:pPr>
        <w:spacing w:line="640" w:lineRule="exact"/>
        <w:ind w:firstLine="640"/>
        <w:jc w:val="both"/>
        <w:outlineLvl w:val="2"/>
      </w:pPr>
      <w:r>
        <w:rPr>
          <w:rFonts w:ascii="黑体" w:hAnsi="黑体" w:eastAsia="黑体"/>
          <w:sz w:val="32"/>
        </w:rPr>
        <w:t>八、国有资本经营预算财政拨款收入支出决算情况说明</w:t>
      </w:r>
    </w:p>
    <w:p w14:paraId="583AC9DF">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7F12047">
      <w:pPr>
        <w:spacing w:line="640" w:lineRule="exact"/>
        <w:ind w:firstLine="640"/>
        <w:jc w:val="both"/>
        <w:outlineLvl w:val="2"/>
      </w:pPr>
      <w:r>
        <w:rPr>
          <w:rFonts w:ascii="黑体" w:hAnsi="黑体" w:eastAsia="黑体"/>
          <w:sz w:val="32"/>
        </w:rPr>
        <w:t>九、财政拨款“三公”经费支出决算情况说明</w:t>
      </w:r>
    </w:p>
    <w:p w14:paraId="7B9A67E3">
      <w:pPr>
        <w:spacing w:line="580" w:lineRule="exact"/>
        <w:ind w:firstLine="640"/>
        <w:jc w:val="both"/>
      </w:pPr>
      <w:r>
        <w:rPr>
          <w:rFonts w:ascii="仿宋_GB2312" w:hAnsi="仿宋_GB2312" w:eastAsia="仿宋_GB2312"/>
          <w:b/>
          <w:sz w:val="32"/>
        </w:rPr>
        <w:t>2024年度财政拨款“三公”经费支出1.00万元，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1.00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3CC81DEA">
      <w:pPr>
        <w:spacing w:line="580" w:lineRule="exact"/>
        <w:ind w:firstLine="640"/>
        <w:jc w:val="both"/>
      </w:pPr>
      <w:r>
        <w:rPr>
          <w:rFonts w:ascii="仿宋_GB2312" w:hAnsi="仿宋_GB2312" w:eastAsia="仿宋_GB2312"/>
          <w:b/>
          <w:sz w:val="32"/>
        </w:rPr>
        <w:t>具体情况如下：</w:t>
      </w:r>
    </w:p>
    <w:p w14:paraId="0026E49B">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2E66BBB8">
      <w:pPr>
        <w:spacing w:line="580" w:lineRule="exact"/>
        <w:ind w:firstLine="640"/>
        <w:jc w:val="both"/>
      </w:pPr>
      <w:r>
        <w:rPr>
          <w:rFonts w:ascii="仿宋_GB2312" w:hAnsi="仿宋_GB2312" w:eastAsia="仿宋_GB2312"/>
          <w:b w:val="0"/>
          <w:sz w:val="32"/>
        </w:rPr>
        <w:t>公务用车购置及运行维护费1.00万元，其中：公务用车购置费0.00万元，公务用车运行维护费1.00万元。公务用车运行维护费开支内容包括车辆加油费、维修费、保险费、审车费、过路费等。公务用车购置数0辆，公务用车保有量1辆。国有资产占用情况中固定资产车辆1辆，与公务用车保有量差异原因是：本部门固定资产车辆与公务用车保有量一致无差异。</w:t>
      </w:r>
    </w:p>
    <w:p w14:paraId="78FA57E5">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6D285B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1.00万元，决算数1.00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1.00万元，决算数1.00万元，预决算差异率0.00%，主要原因是：严格按照预算执行，预决算无差异。公务接待费全年预算数0.00万元，决算数0.00万元，预决算差异率0.00%，主要原因是：本部门无公务接待费。</w:t>
      </w:r>
    </w:p>
    <w:p w14:paraId="52E852DF">
      <w:pPr>
        <w:spacing w:line="640" w:lineRule="exact"/>
        <w:ind w:firstLine="640"/>
        <w:jc w:val="both"/>
        <w:outlineLvl w:val="2"/>
      </w:pPr>
      <w:r>
        <w:rPr>
          <w:rFonts w:ascii="黑体" w:hAnsi="黑体" w:eastAsia="黑体"/>
          <w:sz w:val="32"/>
        </w:rPr>
        <w:t>十、其他重要事项的情况说明</w:t>
      </w:r>
    </w:p>
    <w:p w14:paraId="75C643FB">
      <w:pPr>
        <w:spacing w:line="640" w:lineRule="exact"/>
        <w:ind w:firstLine="640"/>
        <w:jc w:val="both"/>
        <w:outlineLvl w:val="3"/>
      </w:pPr>
      <w:r>
        <w:rPr>
          <w:rFonts w:ascii="楷体_GB2312" w:hAnsi="楷体_GB2312" w:eastAsia="楷体_GB2312"/>
          <w:b/>
          <w:sz w:val="32"/>
        </w:rPr>
        <w:t>（一）机关运行经费及公用经费支出情况</w:t>
      </w:r>
    </w:p>
    <w:p w14:paraId="2C5B0917">
      <w:pPr>
        <w:spacing w:line="580" w:lineRule="exact"/>
        <w:ind w:firstLine="640"/>
        <w:jc w:val="both"/>
      </w:pPr>
      <w:r>
        <w:rPr>
          <w:rFonts w:ascii="仿宋_GB2312" w:hAnsi="仿宋_GB2312" w:eastAsia="仿宋_GB2312"/>
          <w:b w:val="0"/>
          <w:sz w:val="32"/>
        </w:rPr>
        <w:t>2024年度新疆维吾尔自治区喀什地区红十字会（行政单位和参照公务员法管理事业单位）机关运行经费支出8.15万元，比上年减少0.36万元，下降4.23%，主要原因是：严格控制机关运行经费，合理节约办公用品，减少不必要开支。</w:t>
      </w:r>
    </w:p>
    <w:p w14:paraId="285B6D90">
      <w:pPr>
        <w:spacing w:line="640" w:lineRule="exact"/>
        <w:ind w:firstLine="640"/>
        <w:jc w:val="both"/>
        <w:outlineLvl w:val="3"/>
      </w:pPr>
      <w:r>
        <w:rPr>
          <w:rFonts w:ascii="楷体_GB2312" w:hAnsi="楷体_GB2312" w:eastAsia="楷体_GB2312"/>
          <w:b/>
          <w:sz w:val="32"/>
        </w:rPr>
        <w:t>（二）政府采购情况</w:t>
      </w:r>
    </w:p>
    <w:p w14:paraId="184AAD71">
      <w:pPr>
        <w:spacing w:line="580" w:lineRule="exact"/>
        <w:ind w:firstLine="640"/>
        <w:jc w:val="both"/>
      </w:pPr>
      <w:r>
        <w:rPr>
          <w:rFonts w:ascii="仿宋_GB2312" w:hAnsi="仿宋_GB2312" w:eastAsia="仿宋_GB2312"/>
          <w:b w:val="0"/>
          <w:sz w:val="32"/>
        </w:rPr>
        <w:t>2024年度政府采购支出总额58.50万元，其中：政府采购货物支出5.37万元、政府采购工程支出0.00万元、政府采购服务支出53.14万元。</w:t>
      </w:r>
    </w:p>
    <w:p w14:paraId="3CB972CF">
      <w:pPr>
        <w:spacing w:line="580" w:lineRule="exact"/>
        <w:ind w:firstLine="640"/>
        <w:jc w:val="both"/>
      </w:pPr>
      <w:r>
        <w:rPr>
          <w:rFonts w:ascii="仿宋_GB2312" w:hAnsi="仿宋_GB2312" w:eastAsia="仿宋_GB2312"/>
          <w:b w:val="0"/>
          <w:sz w:val="32"/>
        </w:rPr>
        <w:t>授予中小企业合同金额58.17万元，占政府采购支出总额的99.44%，其中：授予小微企业合同金额58.17万元，占政府采购支出总额的99.44%。</w:t>
      </w:r>
    </w:p>
    <w:p w14:paraId="34BFEB13">
      <w:pPr>
        <w:spacing w:line="640" w:lineRule="exact"/>
        <w:ind w:firstLine="640"/>
        <w:jc w:val="both"/>
        <w:outlineLvl w:val="3"/>
      </w:pPr>
      <w:r>
        <w:rPr>
          <w:rFonts w:ascii="楷体_GB2312" w:hAnsi="楷体_GB2312" w:eastAsia="楷体_GB2312"/>
          <w:b/>
          <w:sz w:val="32"/>
        </w:rPr>
        <w:t>（三）国有资产占用情况说明</w:t>
      </w:r>
    </w:p>
    <w:p w14:paraId="7074E6BA">
      <w:pPr>
        <w:spacing w:line="580" w:lineRule="exact"/>
        <w:ind w:firstLine="640"/>
        <w:jc w:val="both"/>
      </w:pPr>
      <w:r>
        <w:rPr>
          <w:rFonts w:ascii="仿宋_GB2312" w:hAnsi="仿宋_GB2312" w:eastAsia="仿宋_GB2312"/>
          <w:b w:val="0"/>
          <w:sz w:val="32"/>
        </w:rPr>
        <w:t>截至2024年12月31日，房屋1,021.84平方米，价值78.25万元。车辆1辆，价值19.77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19FE0517">
      <w:pPr>
        <w:spacing w:line="640" w:lineRule="exact"/>
        <w:ind w:firstLine="640"/>
        <w:jc w:val="both"/>
        <w:outlineLvl w:val="2"/>
      </w:pPr>
      <w:r>
        <w:rPr>
          <w:rFonts w:ascii="黑体" w:hAnsi="黑体" w:eastAsia="黑体"/>
          <w:sz w:val="32"/>
        </w:rPr>
        <w:t>十一、预算绩效的情况说明</w:t>
      </w:r>
    </w:p>
    <w:p w14:paraId="08B18FD2">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332.50万元，实际执行总额325.37万元；预算绩效评价项目4个，全年预算数76.10万元，全年执行数70.18万元。预算绩效管理取得的成效：一是项目能够严格按照《项目实施方案》执行，项目执行情况较好。二是加强组织领导，项目绩效评价工作有主要领导亲自挂帅，分管领导具体负责，从项目到资金，均能很好地执行。三是加强沟通协调，及时向领导汇报项目建设进度，确保项目按期完工。发现的问题及原因：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下一步改进措施：强化绩效理念，完善绩效指标，指标设置合理，提高整体绩效目标质量。继续完善预算绩效管理相关工作制度，建立全过程预算绩效管理链条，有效贯彻落实全面实施绩效管理的精神。增加工作人员，合理部署工作，优化人才结构，加强各部门之间沟通。具体附部门整体支出绩效自评表，项目支出绩效自评表和部门评价报告。</w:t>
      </w:r>
    </w:p>
    <w:p w14:paraId="75C5BA7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8AC9705">
        <w:tblPrEx>
          <w:tblCellMar>
            <w:top w:w="0" w:type="dxa"/>
            <w:left w:w="108" w:type="dxa"/>
            <w:bottom w:w="0" w:type="dxa"/>
            <w:right w:w="108" w:type="dxa"/>
          </w:tblCellMar>
        </w:tblPrEx>
        <w:tc>
          <w:tcPr>
            <w:tcW w:w="8847" w:type="dxa"/>
            <w:gridSpan w:val="9"/>
            <w:vAlign w:val="center"/>
          </w:tcPr>
          <w:p w14:paraId="1DA7B075">
            <w:pPr>
              <w:jc w:val="center"/>
            </w:pPr>
            <w:r>
              <w:rPr>
                <w:rFonts w:ascii="宋体" w:hAnsi="宋体" w:eastAsia="宋体"/>
                <w:sz w:val="24"/>
              </w:rPr>
              <w:t>部门整体支出绩效自评表</w:t>
            </w:r>
          </w:p>
        </w:tc>
      </w:tr>
      <w:tr w14:paraId="55C942CE">
        <w:tblPrEx>
          <w:tblCellMar>
            <w:top w:w="0" w:type="dxa"/>
            <w:left w:w="108" w:type="dxa"/>
            <w:bottom w:w="0" w:type="dxa"/>
            <w:right w:w="108" w:type="dxa"/>
          </w:tblCellMar>
        </w:tblPrEx>
        <w:tc>
          <w:tcPr>
            <w:tcW w:w="8847" w:type="dxa"/>
            <w:gridSpan w:val="9"/>
            <w:vAlign w:val="center"/>
          </w:tcPr>
          <w:p w14:paraId="36743D19">
            <w:pPr>
              <w:jc w:val="center"/>
            </w:pPr>
            <w:r>
              <w:rPr>
                <w:rFonts w:ascii="宋体" w:hAnsi="宋体" w:eastAsia="宋体"/>
                <w:sz w:val="24"/>
              </w:rPr>
              <w:t>（2024年度）</w:t>
            </w:r>
          </w:p>
        </w:tc>
      </w:tr>
      <w:tr w14:paraId="12BB236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13536">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030C86E">
            <w:pPr>
              <w:jc w:val="center"/>
            </w:pPr>
            <w:r>
              <w:rPr>
                <w:rFonts w:ascii="宋体" w:hAnsi="宋体" w:eastAsia="宋体"/>
                <w:sz w:val="16"/>
              </w:rPr>
              <w:t>新疆维吾尔自治区喀什地区红十字会</w:t>
            </w:r>
          </w:p>
        </w:tc>
      </w:tr>
      <w:tr w14:paraId="53D6226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CD5E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9841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5221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A0E2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BA71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1700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1FE2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C0746">
            <w:pPr>
              <w:jc w:val="center"/>
            </w:pPr>
            <w:r>
              <w:rPr>
                <w:rFonts w:ascii="宋体" w:hAnsi="宋体" w:eastAsia="宋体"/>
                <w:sz w:val="16"/>
              </w:rPr>
              <w:t>得分</w:t>
            </w:r>
          </w:p>
        </w:tc>
      </w:tr>
      <w:tr w14:paraId="544504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B1BE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080B1">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1F285">
            <w:pPr>
              <w:jc w:val="center"/>
            </w:pPr>
            <w:r>
              <w:rPr>
                <w:rFonts w:ascii="宋体" w:hAnsi="宋体" w:eastAsia="宋体"/>
                <w:sz w:val="16"/>
              </w:rPr>
              <w:t>362.80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4FAD2">
            <w:pPr>
              <w:jc w:val="center"/>
            </w:pPr>
            <w:r>
              <w:rPr>
                <w:rFonts w:ascii="宋体" w:hAnsi="宋体" w:eastAsia="宋体"/>
                <w:sz w:val="16"/>
              </w:rPr>
              <w:t>332.50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176F4">
            <w:pPr>
              <w:jc w:val="center"/>
            </w:pPr>
            <w:r>
              <w:rPr>
                <w:rFonts w:ascii="宋体" w:hAnsi="宋体" w:eastAsia="宋体"/>
                <w:sz w:val="16"/>
              </w:rPr>
              <w:t>325.37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F5D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AFC73">
            <w:pPr>
              <w:jc w:val="center"/>
            </w:pPr>
            <w:r>
              <w:rPr>
                <w:rFonts w:ascii="宋体" w:hAnsi="宋体" w:eastAsia="宋体"/>
                <w:sz w:val="16"/>
              </w:rPr>
              <w:t>97.86%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5E5D0">
            <w:pPr>
              <w:jc w:val="center"/>
            </w:pPr>
            <w:r>
              <w:rPr>
                <w:rFonts w:ascii="宋体" w:hAnsi="宋体" w:eastAsia="宋体"/>
                <w:sz w:val="16"/>
              </w:rPr>
              <w:t>9.79</w:t>
            </w:r>
          </w:p>
        </w:tc>
      </w:tr>
      <w:tr w14:paraId="0DDA8E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705F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7D5E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C600B">
            <w:pPr>
              <w:jc w:val="center"/>
            </w:pPr>
            <w:r>
              <w:rPr>
                <w:rFonts w:ascii="宋体" w:hAnsi="宋体" w:eastAsia="宋体"/>
                <w:sz w:val="16"/>
              </w:rPr>
              <w:t>0.49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E403C">
            <w:pPr>
              <w:jc w:val="center"/>
            </w:pPr>
            <w:r>
              <w:rPr>
                <w:rFonts w:ascii="宋体" w:hAnsi="宋体" w:eastAsia="宋体"/>
                <w:sz w:val="16"/>
              </w:rPr>
              <w:t>8.93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EA2E5">
            <w:pPr>
              <w:jc w:val="center"/>
            </w:pPr>
            <w:r>
              <w:rPr>
                <w:rFonts w:ascii="宋体" w:hAnsi="宋体" w:eastAsia="宋体"/>
                <w:sz w:val="16"/>
              </w:rPr>
              <w:t>7.72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473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36CF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97836">
            <w:pPr>
              <w:jc w:val="center"/>
            </w:pPr>
            <w:r>
              <w:rPr>
                <w:rFonts w:ascii="宋体" w:hAnsi="宋体" w:eastAsia="宋体"/>
                <w:sz w:val="16"/>
              </w:rPr>
              <w:t>—</w:t>
            </w:r>
          </w:p>
        </w:tc>
      </w:tr>
      <w:tr w14:paraId="20B2B4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EF3B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D275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0BA3D">
            <w:pPr>
              <w:jc w:val="center"/>
            </w:pPr>
            <w:r>
              <w:rPr>
                <w:rFonts w:ascii="宋体" w:hAnsi="宋体" w:eastAsia="宋体"/>
                <w:sz w:val="16"/>
              </w:rPr>
              <w:t>303.81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97EA8">
            <w:pPr>
              <w:jc w:val="center"/>
            </w:pPr>
            <w:r>
              <w:rPr>
                <w:rFonts w:ascii="宋体" w:hAnsi="宋体" w:eastAsia="宋体"/>
                <w:sz w:val="16"/>
              </w:rPr>
              <w:t>265.07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CBCE5">
            <w:pPr>
              <w:jc w:val="center"/>
            </w:pPr>
            <w:r>
              <w:rPr>
                <w:rFonts w:ascii="宋体" w:hAnsi="宋体" w:eastAsia="宋体"/>
                <w:sz w:val="16"/>
              </w:rPr>
              <w:t>265.07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11C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3C6A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F2DC1">
            <w:pPr>
              <w:jc w:val="center"/>
            </w:pPr>
            <w:r>
              <w:rPr>
                <w:rFonts w:ascii="宋体" w:hAnsi="宋体" w:eastAsia="宋体"/>
                <w:sz w:val="16"/>
              </w:rPr>
              <w:t>—</w:t>
            </w:r>
          </w:p>
        </w:tc>
      </w:tr>
      <w:tr w14:paraId="11054B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B4F2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EB8B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CDDDD">
            <w:pPr>
              <w:jc w:val="center"/>
            </w:pPr>
            <w:r>
              <w:rPr>
                <w:rFonts w:ascii="宋体" w:hAnsi="宋体" w:eastAsia="宋体"/>
                <w:sz w:val="16"/>
              </w:rPr>
              <w:t>58.50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A3476">
            <w:pPr>
              <w:jc w:val="center"/>
            </w:pPr>
            <w:r>
              <w:rPr>
                <w:rFonts w:ascii="宋体" w:hAnsi="宋体" w:eastAsia="宋体"/>
                <w:sz w:val="16"/>
              </w:rPr>
              <w:t>58.50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A3ABF">
            <w:pPr>
              <w:jc w:val="center"/>
            </w:pPr>
            <w:r>
              <w:rPr>
                <w:rFonts w:ascii="宋体" w:hAnsi="宋体" w:eastAsia="宋体"/>
                <w:sz w:val="16"/>
              </w:rPr>
              <w:t>52.58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179A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FA32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371B4">
            <w:pPr>
              <w:jc w:val="center"/>
            </w:pPr>
            <w:r>
              <w:rPr>
                <w:rFonts w:ascii="宋体" w:hAnsi="宋体" w:eastAsia="宋体"/>
                <w:sz w:val="16"/>
              </w:rPr>
              <w:t>—</w:t>
            </w:r>
          </w:p>
        </w:tc>
      </w:tr>
      <w:tr w14:paraId="4A01948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E723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B6829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A870B4">
            <w:pPr>
              <w:jc w:val="center"/>
            </w:pPr>
            <w:r>
              <w:rPr>
                <w:rFonts w:ascii="宋体" w:hAnsi="宋体" w:eastAsia="宋体"/>
                <w:sz w:val="16"/>
              </w:rPr>
              <w:t>实际完成情况</w:t>
            </w:r>
          </w:p>
        </w:tc>
      </w:tr>
      <w:tr w14:paraId="47EB11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2408F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FE6E39">
            <w:pPr>
              <w:jc w:val="both"/>
            </w:pPr>
            <w:r>
              <w:rPr>
                <w:rFonts w:ascii="宋体" w:hAnsi="宋体" w:eastAsia="宋体"/>
                <w:sz w:val="16"/>
              </w:rPr>
              <w:t>2024年喀什地区红十字会工作的总体要求是，以习近平新时代中国特色社会主义思想为指导，深入贯彻落实党的二十大精神，立足做好地委、行署人道救助领域的助手，躬身践行“人道、博爱、奉献”的红十字精神，以加强组织体系建设为基础，以提升“三救”“ 三献”能力为主线，全面推进红十字会法治化、制度化、规范化建设。开展一次博爱送万家活动，培训救护员2000人，征集造血干细胞志愿者200人，完成2023年审计工作任务，开展5·8世界红十字日的宣传，提升红十字社会影响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5CCDF1">
            <w:pPr>
              <w:jc w:val="both"/>
            </w:pPr>
            <w:r>
              <w:rPr>
                <w:rFonts w:ascii="宋体" w:hAnsi="宋体" w:eastAsia="宋体"/>
                <w:sz w:val="16"/>
              </w:rPr>
              <w:t>2024年喀什地区红十字会工作的总体要求是，以习近平新时代中国特色社会主义思想为指导，深入贯彻落实党的二十大精神，立足做好地委、行署人道救助领域的助手，躬身践行“人道、博爱、奉献”的红十字精神，以加强组织体系建设为基础，以提升“三救”“ 三献”能力为主线，全面推进红十字会法治化、制度化、规范化建设。单位本年开展一次博爱送万家活动，应急救护持证培训5525人，征集造血干细胞志愿者200人，完成2023年审计工作任务，开展5·8世界红十字日的宣传，提升红十字社会影响力。</w:t>
            </w:r>
          </w:p>
        </w:tc>
      </w:tr>
      <w:tr w14:paraId="7AF8D0B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99EB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3CD0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FB48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366C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8F4A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8CC8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ECB9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538E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D086E">
            <w:pPr>
              <w:jc w:val="center"/>
            </w:pPr>
            <w:r>
              <w:rPr>
                <w:rFonts w:ascii="宋体" w:hAnsi="宋体" w:eastAsia="宋体"/>
                <w:sz w:val="16"/>
              </w:rPr>
              <w:t>得分</w:t>
            </w:r>
          </w:p>
        </w:tc>
      </w:tr>
      <w:tr w14:paraId="6668F1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7E7A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2E8F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D8F01">
            <w:pPr>
              <w:jc w:val="center"/>
            </w:pPr>
            <w:r>
              <w:rPr>
                <w:rFonts w:ascii="宋体" w:hAnsi="宋体" w:eastAsia="宋体"/>
                <w:sz w:val="16"/>
              </w:rPr>
              <w:t>开展博爱送万家活动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E9DF8">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553E9">
            <w:pPr>
              <w:jc w:val="center"/>
            </w:pPr>
            <w:r>
              <w:rPr>
                <w:rFonts w:ascii="宋体" w:hAnsi="宋体" w:eastAsia="宋体"/>
                <w:sz w:val="16"/>
              </w:rPr>
              <w:t>2024年自治区红十字会工作要点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EBDD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ADBAD">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AA9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7AB09">
            <w:pPr>
              <w:jc w:val="center"/>
            </w:pPr>
            <w:r>
              <w:rPr>
                <w:rFonts w:ascii="宋体" w:hAnsi="宋体" w:eastAsia="宋体"/>
                <w:sz w:val="16"/>
              </w:rPr>
              <w:t>15</w:t>
            </w:r>
          </w:p>
        </w:tc>
      </w:tr>
      <w:tr w14:paraId="1A807D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08FE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6373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04D83">
            <w:pPr>
              <w:jc w:val="center"/>
            </w:pPr>
            <w:r>
              <w:rPr>
                <w:rFonts w:ascii="宋体" w:hAnsi="宋体" w:eastAsia="宋体"/>
                <w:sz w:val="16"/>
              </w:rPr>
              <w:t>开展5·8世界红十字日宣传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DBF77">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4D1B7">
            <w:pPr>
              <w:jc w:val="center"/>
            </w:pPr>
            <w:r>
              <w:rPr>
                <w:rFonts w:ascii="宋体" w:hAnsi="宋体" w:eastAsia="宋体"/>
                <w:sz w:val="16"/>
              </w:rPr>
              <w:t>2024年自治区红十字会工作要点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F8AD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BD18A">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711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4D955">
            <w:pPr>
              <w:jc w:val="center"/>
            </w:pPr>
            <w:r>
              <w:rPr>
                <w:rFonts w:ascii="宋体" w:hAnsi="宋体" w:eastAsia="宋体"/>
                <w:sz w:val="16"/>
              </w:rPr>
              <w:t>20</w:t>
            </w:r>
          </w:p>
        </w:tc>
      </w:tr>
      <w:tr w14:paraId="2E62AB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6974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0AD9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2A589">
            <w:pPr>
              <w:jc w:val="center"/>
            </w:pPr>
            <w:r>
              <w:rPr>
                <w:rFonts w:ascii="宋体" w:hAnsi="宋体" w:eastAsia="宋体"/>
                <w:sz w:val="16"/>
              </w:rPr>
              <w:t>应急救护持证培训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8E3A4">
            <w:pPr>
              <w:jc w:val="center"/>
            </w:pPr>
            <w:r>
              <w:rPr>
                <w:rFonts w:ascii="宋体" w:hAnsi="宋体" w:eastAsia="宋体"/>
                <w:sz w:val="16"/>
              </w:rPr>
              <w:t>&gt;=2000人次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10B6D">
            <w:pPr>
              <w:jc w:val="center"/>
            </w:pPr>
            <w:r>
              <w:rPr>
                <w:rFonts w:ascii="宋体" w:hAnsi="宋体" w:eastAsia="宋体"/>
                <w:sz w:val="16"/>
              </w:rPr>
              <w:t>健康中国指南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A8EB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9A70A">
            <w:pPr>
              <w:jc w:val="center"/>
            </w:pPr>
            <w:r>
              <w:rPr>
                <w:rFonts w:ascii="宋体" w:hAnsi="宋体" w:eastAsia="宋体"/>
                <w:sz w:val="16"/>
              </w:rPr>
              <w:t>5525人次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8BBB8">
            <w:pPr>
              <w:jc w:val="center"/>
            </w:pPr>
            <w:r>
              <w:rPr>
                <w:rFonts w:ascii="宋体" w:hAnsi="宋体" w:eastAsia="宋体"/>
                <w:sz w:val="16"/>
              </w:rPr>
              <w:t>276.25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CF020">
            <w:pPr>
              <w:jc w:val="center"/>
            </w:pPr>
            <w:r>
              <w:rPr>
                <w:rFonts w:ascii="宋体" w:hAnsi="宋体" w:eastAsia="宋体"/>
                <w:sz w:val="16"/>
              </w:rPr>
              <w:t>20</w:t>
            </w:r>
          </w:p>
        </w:tc>
      </w:tr>
      <w:tr w14:paraId="39F629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DE1B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57DE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4751C">
            <w:pPr>
              <w:jc w:val="center"/>
            </w:pPr>
            <w:r>
              <w:rPr>
                <w:rFonts w:ascii="宋体" w:hAnsi="宋体" w:eastAsia="宋体"/>
                <w:sz w:val="16"/>
              </w:rPr>
              <w:t>采集造血干细胞志愿者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CC781">
            <w:pPr>
              <w:jc w:val="center"/>
            </w:pPr>
            <w:r>
              <w:rPr>
                <w:rFonts w:ascii="宋体" w:hAnsi="宋体" w:eastAsia="宋体"/>
                <w:sz w:val="16"/>
              </w:rPr>
              <w:t>&gt;=200人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75CD9">
            <w:pPr>
              <w:jc w:val="center"/>
            </w:pPr>
            <w:r>
              <w:rPr>
                <w:rFonts w:ascii="宋体" w:hAnsi="宋体" w:eastAsia="宋体"/>
                <w:sz w:val="16"/>
              </w:rPr>
              <w:t>2024年自治区红十字会工作要点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66C5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0143F">
            <w:pPr>
              <w:jc w:val="center"/>
            </w:pPr>
            <w:r>
              <w:rPr>
                <w:rFonts w:ascii="宋体" w:hAnsi="宋体" w:eastAsia="宋体"/>
                <w:sz w:val="16"/>
              </w:rPr>
              <w: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644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5D2E1">
            <w:pPr>
              <w:jc w:val="center"/>
            </w:pPr>
            <w:r>
              <w:rPr>
                <w:rFonts w:ascii="宋体" w:hAnsi="宋体" w:eastAsia="宋体"/>
                <w:sz w:val="16"/>
              </w:rPr>
              <w:t>20</w:t>
            </w:r>
          </w:p>
        </w:tc>
      </w:tr>
      <w:tr w14:paraId="5E0DD4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38A5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13A5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2AEC1">
            <w:pPr>
              <w:jc w:val="center"/>
            </w:pPr>
            <w:r>
              <w:rPr>
                <w:rFonts w:ascii="宋体" w:hAnsi="宋体" w:eastAsia="宋体"/>
                <w:sz w:val="16"/>
              </w:rPr>
              <w:t>完成2023年专项审计任务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40EFC">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886EF">
            <w:pPr>
              <w:jc w:val="center"/>
            </w:pPr>
            <w:r>
              <w:rPr>
                <w:rFonts w:ascii="宋体" w:hAnsi="宋体" w:eastAsia="宋体"/>
                <w:sz w:val="16"/>
              </w:rPr>
              <w:t>2024年自治区红十字会工作要点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B8D6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08706">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B6F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17FA0">
            <w:pPr>
              <w:jc w:val="center"/>
            </w:pPr>
            <w:r>
              <w:rPr>
                <w:rFonts w:ascii="宋体" w:hAnsi="宋体" w:eastAsia="宋体"/>
                <w:sz w:val="16"/>
              </w:rPr>
              <w:t>15</w:t>
            </w:r>
          </w:p>
        </w:tc>
      </w:tr>
    </w:tbl>
    <w:p w14:paraId="7BCE8D9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4AD576B">
        <w:tblPrEx>
          <w:tblCellMar>
            <w:top w:w="0" w:type="dxa"/>
            <w:left w:w="108" w:type="dxa"/>
            <w:bottom w:w="0" w:type="dxa"/>
            <w:right w:w="108" w:type="dxa"/>
          </w:tblCellMar>
        </w:tblPrEx>
        <w:tc>
          <w:tcPr>
            <w:tcW w:w="8848" w:type="dxa"/>
            <w:gridSpan w:val="14"/>
            <w:vAlign w:val="center"/>
          </w:tcPr>
          <w:p w14:paraId="4EC4F649">
            <w:pPr>
              <w:jc w:val="center"/>
            </w:pPr>
            <w:r>
              <w:rPr>
                <w:rFonts w:ascii="宋体" w:hAnsi="宋体" w:eastAsia="宋体"/>
                <w:sz w:val="24"/>
              </w:rPr>
              <w:t>项目支出绩效自评表</w:t>
            </w:r>
          </w:p>
        </w:tc>
      </w:tr>
      <w:tr w14:paraId="74916A8C">
        <w:tblPrEx>
          <w:tblCellMar>
            <w:top w:w="0" w:type="dxa"/>
            <w:left w:w="108" w:type="dxa"/>
            <w:bottom w:w="0" w:type="dxa"/>
            <w:right w:w="108" w:type="dxa"/>
          </w:tblCellMar>
        </w:tblPrEx>
        <w:tc>
          <w:tcPr>
            <w:tcW w:w="8848" w:type="dxa"/>
            <w:gridSpan w:val="14"/>
            <w:vAlign w:val="center"/>
          </w:tcPr>
          <w:p w14:paraId="5AFDE584">
            <w:pPr>
              <w:jc w:val="center"/>
            </w:pPr>
            <w:r>
              <w:rPr>
                <w:rFonts w:ascii="宋体" w:hAnsi="宋体" w:eastAsia="宋体"/>
                <w:sz w:val="24"/>
              </w:rPr>
              <w:t>(2024年度)</w:t>
            </w:r>
          </w:p>
        </w:tc>
      </w:tr>
      <w:tr w14:paraId="218566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D91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4B7A31">
            <w:pPr>
              <w:jc w:val="center"/>
            </w:pPr>
            <w:r>
              <w:rPr>
                <w:rFonts w:ascii="宋体" w:hAnsi="宋体" w:eastAsia="宋体"/>
                <w:sz w:val="16"/>
              </w:rPr>
              <w:t>2024年救灾备灾工作项目</w:t>
            </w:r>
          </w:p>
        </w:tc>
      </w:tr>
      <w:tr w14:paraId="2F6A16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6665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1A1F60">
            <w:pPr>
              <w:jc w:val="center"/>
            </w:pPr>
            <w:r>
              <w:rPr>
                <w:rFonts w:ascii="宋体" w:hAnsi="宋体" w:eastAsia="宋体"/>
                <w:sz w:val="16"/>
              </w:rPr>
              <w:t>喀什地区红十字会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18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AAF972">
            <w:pPr>
              <w:jc w:val="center"/>
            </w:pPr>
            <w:r>
              <w:rPr>
                <w:rFonts w:ascii="宋体" w:hAnsi="宋体" w:eastAsia="宋体"/>
                <w:sz w:val="16"/>
              </w:rPr>
              <w:t>新疆维吾尔自治区喀什地区红十字会</w:t>
            </w:r>
          </w:p>
        </w:tc>
      </w:tr>
      <w:tr w14:paraId="2065D9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769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8FA3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923E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3DB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143A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8A7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380D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0A16A">
            <w:pPr>
              <w:jc w:val="center"/>
            </w:pPr>
            <w:r>
              <w:rPr>
                <w:rFonts w:ascii="宋体" w:hAnsi="宋体" w:eastAsia="宋体"/>
                <w:sz w:val="16"/>
              </w:rPr>
              <w:t>得分</w:t>
            </w:r>
          </w:p>
        </w:tc>
      </w:tr>
      <w:tr w14:paraId="2A4FD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3A3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1D5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E25FC">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01A48">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2B8DB">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EAB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3800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5C686">
            <w:pPr>
              <w:jc w:val="center"/>
            </w:pPr>
            <w:r>
              <w:rPr>
                <w:rFonts w:ascii="宋体" w:hAnsi="宋体" w:eastAsia="宋体"/>
                <w:sz w:val="16"/>
              </w:rPr>
              <w:t>10.00分</w:t>
            </w:r>
          </w:p>
        </w:tc>
      </w:tr>
      <w:tr w14:paraId="65F709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310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511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DEA5A">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FCE4D">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8EE03">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908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51E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273EB">
            <w:pPr>
              <w:jc w:val="center"/>
            </w:pPr>
            <w:r>
              <w:rPr>
                <w:rFonts w:ascii="宋体" w:hAnsi="宋体" w:eastAsia="宋体"/>
                <w:sz w:val="16"/>
              </w:rPr>
              <w:t>—</w:t>
            </w:r>
          </w:p>
        </w:tc>
      </w:tr>
      <w:tr w14:paraId="63CD17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47C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EF7D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BFA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810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7C0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F77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06D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3E45">
            <w:pPr>
              <w:jc w:val="center"/>
            </w:pPr>
            <w:r>
              <w:rPr>
                <w:rFonts w:ascii="宋体" w:hAnsi="宋体" w:eastAsia="宋体"/>
                <w:sz w:val="16"/>
              </w:rPr>
              <w:t>—</w:t>
            </w:r>
          </w:p>
        </w:tc>
      </w:tr>
      <w:tr w14:paraId="2AE211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7EBA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EA950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D32AF3">
            <w:pPr>
              <w:jc w:val="center"/>
            </w:pPr>
            <w:r>
              <w:rPr>
                <w:rFonts w:ascii="宋体" w:hAnsi="宋体" w:eastAsia="宋体"/>
                <w:sz w:val="16"/>
              </w:rPr>
              <w:t>实际完成情况</w:t>
            </w:r>
          </w:p>
        </w:tc>
      </w:tr>
      <w:tr w14:paraId="3E0C08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45EB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458282">
            <w:pPr>
              <w:jc w:val="both"/>
            </w:pPr>
            <w:r>
              <w:rPr>
                <w:rFonts w:ascii="宋体" w:hAnsi="宋体" w:eastAsia="宋体"/>
                <w:sz w:val="16"/>
              </w:rPr>
              <w:t>该项目12万元，主要用于红十字人道服务主要包括红十字人道救助、备灾仓库维护、备灾救灾培训和演练、应急救护培训工作，其中维修费在5000元；供暖给备灾库门卫购买取暖用的柴火、煤炭约2.5吨左右4000元，以保证备灾库门卫温暖过冬；培训方面：在全区开展应急救护培训，计划举办培训班1期，培训人数25人/期，培训时间3天/期。培训人员满意度达100%以上，培训期间租用场地、学员食宿安排12000元，救灾物资运输方面支出15000元。储备救灾物资主要是采购米面油等生活物资15000元，为突发灾情做后援准备。红十字综合管理事务包括红十字会重要工作，重大活动宣传报道，红十字人道文化传播和宣传工作，支持红十字组织发展，保障业务工作顺利进行开展5·8博爱周等活动，开展各类活动所需耗材30000元；基层组织督导费26720，为县处级领导支出租金17280元。达到提高社会风险防范意识和自救能力，救助对象满意度达到95%，提高红十字会社会影响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820CB6">
            <w:pPr>
              <w:jc w:val="both"/>
            </w:pPr>
            <w:r>
              <w:rPr>
                <w:rFonts w:ascii="宋体" w:hAnsi="宋体" w:eastAsia="宋体"/>
                <w:sz w:val="16"/>
              </w:rPr>
              <w:t>该项目主要完成了维修，开展培训班一次，缴纳了县处级领导的房租，开展基层组织指导工作，开展5·8人道公益日活动，保障了各类活动的支出，有效提高了红十字人道文化传播影响力。</w:t>
            </w:r>
          </w:p>
        </w:tc>
      </w:tr>
      <w:tr w14:paraId="725BDD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968A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68F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8DB1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3FC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48F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F0A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CEF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57DF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EE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0BE9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89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664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BEAF5">
            <w:pPr>
              <w:jc w:val="center"/>
            </w:pPr>
            <w:r>
              <w:rPr>
                <w:rFonts w:ascii="宋体" w:hAnsi="宋体" w:eastAsia="宋体"/>
                <w:sz w:val="16"/>
              </w:rPr>
              <w:t>偏差原因分析及改进措施</w:t>
            </w:r>
          </w:p>
        </w:tc>
      </w:tr>
      <w:tr w14:paraId="30AC61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6DE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C298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411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2F20">
            <w:pPr>
              <w:jc w:val="center"/>
            </w:pPr>
            <w:r>
              <w:rPr>
                <w:rFonts w:ascii="宋体" w:hAnsi="宋体" w:eastAsia="宋体"/>
                <w:sz w:val="16"/>
              </w:rPr>
              <w:t>举办活动次数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652D">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129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D7B6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3A7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B0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49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2C2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B889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B0838">
            <w:pPr>
              <w:jc w:val="center"/>
            </w:pPr>
          </w:p>
        </w:tc>
      </w:tr>
      <w:tr w14:paraId="13B70B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0B7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EB2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EE2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4E254">
            <w:pPr>
              <w:jc w:val="center"/>
            </w:pPr>
            <w:r>
              <w:rPr>
                <w:rFonts w:ascii="宋体" w:hAnsi="宋体" w:eastAsia="宋体"/>
                <w:sz w:val="16"/>
              </w:rPr>
              <w:t>举办培训班次数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9EA29">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574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1F2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5E7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841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76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7CB7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445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C631D">
            <w:pPr>
              <w:jc w:val="center"/>
            </w:pPr>
          </w:p>
        </w:tc>
      </w:tr>
      <w:tr w14:paraId="6AEA8F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396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B28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1D1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8E318">
            <w:pPr>
              <w:jc w:val="center"/>
            </w:pPr>
            <w:r>
              <w:rPr>
                <w:rFonts w:ascii="宋体" w:hAnsi="宋体" w:eastAsia="宋体"/>
                <w:sz w:val="16"/>
              </w:rPr>
              <w:t>申请周转房人数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9D93">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DC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1DF07">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D1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971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633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651E">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116B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DD3E2">
            <w:pPr>
              <w:jc w:val="center"/>
            </w:pPr>
          </w:p>
        </w:tc>
      </w:tr>
      <w:tr w14:paraId="13C7BB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E59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162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A4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607E">
            <w:pPr>
              <w:jc w:val="center"/>
            </w:pPr>
            <w:r>
              <w:rPr>
                <w:rFonts w:ascii="宋体" w:hAnsi="宋体" w:eastAsia="宋体"/>
                <w:sz w:val="16"/>
              </w:rPr>
              <w:t>储备救灾物资质量完好率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38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00A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5BE4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B1A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8B9A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966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2D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174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420D9">
            <w:pPr>
              <w:jc w:val="center"/>
            </w:pPr>
          </w:p>
        </w:tc>
      </w:tr>
      <w:tr w14:paraId="6C15AF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778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47D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E66F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65AE">
            <w:pPr>
              <w:jc w:val="center"/>
            </w:pPr>
            <w:r>
              <w:rPr>
                <w:rFonts w:ascii="宋体" w:hAnsi="宋体" w:eastAsia="宋体"/>
                <w:sz w:val="16"/>
              </w:rPr>
              <w:t>周转房租期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B9A3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EE4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686AE">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340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EFB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0F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22AA">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59C7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8E5BA">
            <w:pPr>
              <w:jc w:val="center"/>
            </w:pPr>
          </w:p>
        </w:tc>
      </w:tr>
      <w:tr w14:paraId="33097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419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465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C9C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A793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E0B50">
            <w:pPr>
              <w:jc w:val="center"/>
            </w:pPr>
            <w:r>
              <w:rPr>
                <w:rFonts w:ascii="宋体" w:hAnsi="宋体" w:eastAsia="宋体"/>
                <w:sz w:val="16"/>
              </w:rPr>
              <w:t>=2024年12月1日前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0D2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7A7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9D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4A1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787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8FCEE">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87C3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8D4D3">
            <w:pPr>
              <w:jc w:val="center"/>
            </w:pPr>
          </w:p>
        </w:tc>
      </w:tr>
      <w:tr w14:paraId="66A554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B1B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881A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FCB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C229E">
            <w:pPr>
              <w:jc w:val="center"/>
            </w:pPr>
            <w:r>
              <w:rPr>
                <w:rFonts w:ascii="宋体" w:hAnsi="宋体" w:eastAsia="宋体"/>
                <w:sz w:val="16"/>
              </w:rPr>
              <w:t>红十字综合事务管理费用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E056B">
            <w:pPr>
              <w:jc w:val="center"/>
            </w:pPr>
            <w:r>
              <w:rPr>
                <w:rFonts w:ascii="宋体" w:hAnsi="宋体" w:eastAsia="宋体"/>
                <w:sz w:val="16"/>
              </w:rPr>
              <w:t>&gt;=7.4万元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52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6991">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06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EE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9D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DEEC7">
            <w:pPr>
              <w:jc w:val="center"/>
            </w:pPr>
            <w:r>
              <w:rPr>
                <w:rFonts w:ascii="宋体" w:hAnsi="宋体" w:eastAsia="宋体"/>
                <w:sz w:val="16"/>
              </w:rPr>
              <w:t>=7.4万元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9DC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AC520">
            <w:pPr>
              <w:jc w:val="center"/>
            </w:pPr>
          </w:p>
        </w:tc>
      </w:tr>
      <w:tr w14:paraId="540D4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66A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51B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D1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C52F0">
            <w:pPr>
              <w:jc w:val="center"/>
            </w:pPr>
            <w:r>
              <w:rPr>
                <w:rFonts w:ascii="宋体" w:hAnsi="宋体" w:eastAsia="宋体"/>
                <w:sz w:val="16"/>
              </w:rPr>
              <w:t>红十字人道服务成本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2F72">
            <w:pPr>
              <w:jc w:val="center"/>
            </w:pPr>
            <w:r>
              <w:rPr>
                <w:rFonts w:ascii="宋体" w:hAnsi="宋体" w:eastAsia="宋体"/>
                <w:sz w:val="16"/>
              </w:rPr>
              <w:t>&gt;=4.6万元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DB2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BF87">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A5A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35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A4B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A158">
            <w:pPr>
              <w:jc w:val="center"/>
            </w:pPr>
            <w:r>
              <w:rPr>
                <w:rFonts w:ascii="宋体" w:hAnsi="宋体" w:eastAsia="宋体"/>
                <w:sz w:val="16"/>
              </w:rPr>
              <w:t>=4.6万元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175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F5F5B">
            <w:pPr>
              <w:jc w:val="center"/>
            </w:pPr>
          </w:p>
        </w:tc>
      </w:tr>
      <w:tr w14:paraId="732756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395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642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BA0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125B">
            <w:pPr>
              <w:jc w:val="center"/>
            </w:pPr>
            <w:r>
              <w:rPr>
                <w:rFonts w:ascii="宋体" w:hAnsi="宋体" w:eastAsia="宋体"/>
                <w:sz w:val="16"/>
              </w:rPr>
              <w:t>提高社会风险防范意识和自救能力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4794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6F7A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461A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1F9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FB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20D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C9DE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53EF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1193E">
            <w:pPr>
              <w:jc w:val="center"/>
            </w:pPr>
          </w:p>
        </w:tc>
      </w:tr>
      <w:tr w14:paraId="5C10BD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2F8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7C8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69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0C642">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E5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BA9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DAA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4B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BE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06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E3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F30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D771E">
            <w:pPr>
              <w:jc w:val="center"/>
            </w:pPr>
          </w:p>
        </w:tc>
      </w:tr>
      <w:tr w14:paraId="16D6383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B897B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487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359B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A7C6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A04AD6"/>
        </w:tc>
      </w:tr>
    </w:tbl>
    <w:p w14:paraId="096897C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3DC3A48">
        <w:tblPrEx>
          <w:tblCellMar>
            <w:top w:w="0" w:type="dxa"/>
            <w:left w:w="108" w:type="dxa"/>
            <w:bottom w:w="0" w:type="dxa"/>
            <w:right w:w="108" w:type="dxa"/>
          </w:tblCellMar>
        </w:tblPrEx>
        <w:tc>
          <w:tcPr>
            <w:tcW w:w="8848" w:type="dxa"/>
            <w:gridSpan w:val="14"/>
            <w:vAlign w:val="center"/>
          </w:tcPr>
          <w:p w14:paraId="5CDC6677">
            <w:pPr>
              <w:jc w:val="center"/>
            </w:pPr>
            <w:r>
              <w:rPr>
                <w:rFonts w:ascii="宋体" w:hAnsi="宋体" w:eastAsia="宋体"/>
                <w:sz w:val="24"/>
              </w:rPr>
              <w:t>项目支出绩效自评表</w:t>
            </w:r>
          </w:p>
        </w:tc>
      </w:tr>
      <w:tr w14:paraId="35E40BC9">
        <w:tblPrEx>
          <w:tblCellMar>
            <w:top w:w="0" w:type="dxa"/>
            <w:left w:w="108" w:type="dxa"/>
            <w:bottom w:w="0" w:type="dxa"/>
            <w:right w:w="108" w:type="dxa"/>
          </w:tblCellMar>
        </w:tblPrEx>
        <w:tc>
          <w:tcPr>
            <w:tcW w:w="8848" w:type="dxa"/>
            <w:gridSpan w:val="14"/>
            <w:vAlign w:val="center"/>
          </w:tcPr>
          <w:p w14:paraId="17636AA7">
            <w:pPr>
              <w:jc w:val="center"/>
            </w:pPr>
            <w:r>
              <w:rPr>
                <w:rFonts w:ascii="宋体" w:hAnsi="宋体" w:eastAsia="宋体"/>
                <w:sz w:val="24"/>
              </w:rPr>
              <w:t>(2024年度)</w:t>
            </w:r>
          </w:p>
        </w:tc>
      </w:tr>
      <w:tr w14:paraId="39D588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30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CB24C6">
            <w:pPr>
              <w:jc w:val="center"/>
            </w:pPr>
            <w:r>
              <w:rPr>
                <w:rFonts w:ascii="宋体" w:hAnsi="宋体" w:eastAsia="宋体"/>
                <w:sz w:val="16"/>
              </w:rPr>
              <w:t>异地干部交流交通费项目</w:t>
            </w:r>
          </w:p>
        </w:tc>
      </w:tr>
      <w:tr w14:paraId="02E9A8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A3D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C90C55">
            <w:pPr>
              <w:jc w:val="center"/>
            </w:pPr>
            <w:r>
              <w:rPr>
                <w:rFonts w:ascii="宋体" w:hAnsi="宋体" w:eastAsia="宋体"/>
                <w:sz w:val="16"/>
              </w:rPr>
              <w:t>喀什地区红十字会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1B75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14FA4A">
            <w:pPr>
              <w:jc w:val="center"/>
            </w:pPr>
            <w:r>
              <w:rPr>
                <w:rFonts w:ascii="宋体" w:hAnsi="宋体" w:eastAsia="宋体"/>
                <w:sz w:val="16"/>
              </w:rPr>
              <w:t>新疆维吾尔自治区喀什地区红十字会</w:t>
            </w:r>
          </w:p>
        </w:tc>
      </w:tr>
      <w:tr w14:paraId="598DB0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3E56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197A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94F7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1D3B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CC9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2CB9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200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2DF7">
            <w:pPr>
              <w:jc w:val="center"/>
            </w:pPr>
            <w:r>
              <w:rPr>
                <w:rFonts w:ascii="宋体" w:hAnsi="宋体" w:eastAsia="宋体"/>
                <w:sz w:val="16"/>
              </w:rPr>
              <w:t>得分</w:t>
            </w:r>
          </w:p>
        </w:tc>
      </w:tr>
      <w:tr w14:paraId="4C4FA9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BD3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92B9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24302">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B085B">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F3953">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CCC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E387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7FF34">
            <w:pPr>
              <w:jc w:val="center"/>
            </w:pPr>
            <w:r>
              <w:rPr>
                <w:rFonts w:ascii="宋体" w:hAnsi="宋体" w:eastAsia="宋体"/>
                <w:sz w:val="16"/>
              </w:rPr>
              <w:t>10.00分</w:t>
            </w:r>
          </w:p>
        </w:tc>
      </w:tr>
      <w:tr w14:paraId="6CD030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12A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84B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E7FF9">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8A76E">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76E4B">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FF7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F49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60CE">
            <w:pPr>
              <w:jc w:val="center"/>
            </w:pPr>
            <w:r>
              <w:rPr>
                <w:rFonts w:ascii="宋体" w:hAnsi="宋体" w:eastAsia="宋体"/>
                <w:sz w:val="16"/>
              </w:rPr>
              <w:t>—</w:t>
            </w:r>
          </w:p>
        </w:tc>
      </w:tr>
      <w:tr w14:paraId="32D486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DE7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9C4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F4A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CEB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C2B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C2B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9F6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9192B">
            <w:pPr>
              <w:jc w:val="center"/>
            </w:pPr>
            <w:r>
              <w:rPr>
                <w:rFonts w:ascii="宋体" w:hAnsi="宋体" w:eastAsia="宋体"/>
                <w:sz w:val="16"/>
              </w:rPr>
              <w:t>—</w:t>
            </w:r>
          </w:p>
        </w:tc>
      </w:tr>
      <w:tr w14:paraId="7157A6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E57FF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2418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639A83">
            <w:pPr>
              <w:jc w:val="center"/>
            </w:pPr>
            <w:r>
              <w:rPr>
                <w:rFonts w:ascii="宋体" w:hAnsi="宋体" w:eastAsia="宋体"/>
                <w:sz w:val="16"/>
              </w:rPr>
              <w:t>实际完成情况</w:t>
            </w:r>
          </w:p>
        </w:tc>
      </w:tr>
      <w:tr w14:paraId="211AD9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750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7DD697">
            <w:pPr>
              <w:jc w:val="both"/>
            </w:pPr>
            <w:r>
              <w:rPr>
                <w:rFonts w:ascii="宋体" w:hAnsi="宋体" w:eastAsia="宋体"/>
                <w:sz w:val="16"/>
              </w:rPr>
              <w:t>该项根据自治区党委组织部、自治区人力资源和社会保障厅、自治区财政厅、自治区</w:t>
            </w:r>
            <w:r>
              <w:rPr>
                <w:rFonts w:hint="eastAsia" w:ascii="宋体" w:hAnsi="宋体"/>
                <w:sz w:val="16"/>
                <w:lang w:eastAsia="zh-CN"/>
              </w:rPr>
              <w:t>机关事务管理局</w:t>
            </w:r>
            <w:r>
              <w:rPr>
                <w:rFonts w:ascii="宋体" w:hAnsi="宋体" w:eastAsia="宋体"/>
                <w:sz w:val="16"/>
              </w:rPr>
              <w:t>关于做好异地交流干部和挂职干部交通保障有关事宜的通知》（新党组通字</w:t>
            </w:r>
            <w:r>
              <w:rPr>
                <w:rFonts w:hint="eastAsia" w:ascii="宋体" w:hAnsi="宋体"/>
                <w:sz w:val="16"/>
                <w:lang w:eastAsia="zh-CN"/>
              </w:rPr>
              <w:t>〔2021〕23号</w:t>
            </w:r>
            <w:r>
              <w:rPr>
                <w:rFonts w:ascii="宋体" w:hAnsi="宋体" w:eastAsia="宋体"/>
                <w:sz w:val="16"/>
              </w:rPr>
              <w:t>）中规定，疆外来疆任职的干部，按照本人乘坐公共交通工具的标准，每年不超过9次据实报销往返两地的交通费的规定设立本项目，进一步提高异地干部幸福感。通过支持异地干部工作，支付2名交流干部交通费不超过9次，每年不超过3.6万元，提高异地干部生活质量。提升交流干部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A89FA8">
            <w:pPr>
              <w:jc w:val="both"/>
            </w:pPr>
            <w:r>
              <w:rPr>
                <w:rFonts w:ascii="宋体" w:hAnsi="宋体" w:eastAsia="宋体"/>
                <w:sz w:val="16"/>
              </w:rPr>
              <w:t>完成两名异地交流干部两人4次往返交通费，支付3.6万元，有效提高干部生活质量，提高干部幸福感。</w:t>
            </w:r>
          </w:p>
        </w:tc>
      </w:tr>
      <w:tr w14:paraId="725B93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0CA8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7A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15A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8CE7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2B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81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E4F0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592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0B78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3A2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E1D2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9D4C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17EC5">
            <w:pPr>
              <w:jc w:val="center"/>
            </w:pPr>
            <w:r>
              <w:rPr>
                <w:rFonts w:ascii="宋体" w:hAnsi="宋体" w:eastAsia="宋体"/>
                <w:sz w:val="16"/>
              </w:rPr>
              <w:t>偏差原因分析及改进措施</w:t>
            </w:r>
          </w:p>
        </w:tc>
      </w:tr>
      <w:tr w14:paraId="76739E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129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B530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97E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7288">
            <w:pPr>
              <w:jc w:val="center"/>
            </w:pPr>
            <w:r>
              <w:rPr>
                <w:rFonts w:ascii="宋体" w:hAnsi="宋体" w:eastAsia="宋体"/>
                <w:sz w:val="16"/>
              </w:rPr>
              <w:t>异地干部交流人数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7E937">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C7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178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DF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F42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8F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B8AF">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91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68D7C">
            <w:pPr>
              <w:jc w:val="center"/>
            </w:pPr>
          </w:p>
        </w:tc>
      </w:tr>
      <w:tr w14:paraId="58B138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4C6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D3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BF8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BA93">
            <w:pPr>
              <w:jc w:val="center"/>
            </w:pPr>
            <w:r>
              <w:rPr>
                <w:rFonts w:ascii="宋体" w:hAnsi="宋体" w:eastAsia="宋体"/>
                <w:sz w:val="16"/>
              </w:rPr>
              <w:t>人员经费保障率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F1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0F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538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62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C67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F2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BF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FB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F7F9C">
            <w:pPr>
              <w:jc w:val="center"/>
            </w:pPr>
          </w:p>
        </w:tc>
      </w:tr>
      <w:tr w14:paraId="1FE02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E71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AC7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8BDF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539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44C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9D6A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4C6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C6B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420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37A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ABE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6C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0731D">
            <w:pPr>
              <w:jc w:val="center"/>
            </w:pPr>
          </w:p>
        </w:tc>
      </w:tr>
      <w:tr w14:paraId="28128F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9E3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9CF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015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BD0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42C8">
            <w:pPr>
              <w:jc w:val="center"/>
            </w:pPr>
            <w:r>
              <w:rPr>
                <w:rFonts w:ascii="宋体" w:hAnsi="宋体" w:eastAsia="宋体"/>
                <w:sz w:val="16"/>
              </w:rPr>
              <w:t>=2024年12月1日前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F03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D8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D7F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AEF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7FF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E21BC">
            <w:pPr>
              <w:jc w:val="center"/>
            </w:pPr>
            <w:r>
              <w:rPr>
                <w:rFonts w:ascii="宋体" w:hAnsi="宋体" w:eastAsia="宋体"/>
                <w:sz w:val="16"/>
              </w:rPr>
              <w:t>=2024年8月27日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33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2F9ED">
            <w:pPr>
              <w:jc w:val="center"/>
            </w:pPr>
          </w:p>
        </w:tc>
      </w:tr>
      <w:tr w14:paraId="084CF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980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231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0A6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8AEDB">
            <w:pPr>
              <w:jc w:val="center"/>
            </w:pPr>
            <w:r>
              <w:rPr>
                <w:rFonts w:ascii="宋体" w:hAnsi="宋体" w:eastAsia="宋体"/>
                <w:sz w:val="16"/>
              </w:rPr>
              <w:t>异地干部交流人均成本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7D84">
            <w:pPr>
              <w:jc w:val="center"/>
            </w:pPr>
            <w:r>
              <w:rPr>
                <w:rFonts w:ascii="宋体" w:hAnsi="宋体" w:eastAsia="宋体"/>
                <w:sz w:val="16"/>
              </w:rPr>
              <w:t>&lt;=1.80万元/人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A5D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83C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DE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27F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A67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2F53">
            <w:pPr>
              <w:jc w:val="center"/>
            </w:pPr>
            <w:r>
              <w:rPr>
                <w:rFonts w:ascii="宋体" w:hAnsi="宋体" w:eastAsia="宋体"/>
                <w:sz w:val="16"/>
              </w:rPr>
              <w:t>=1.8万元/人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7272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EE8E4">
            <w:pPr>
              <w:jc w:val="center"/>
            </w:pPr>
          </w:p>
        </w:tc>
      </w:tr>
      <w:tr w14:paraId="54348B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5F6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4A8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9B6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02E1A">
            <w:pPr>
              <w:jc w:val="center"/>
            </w:pPr>
            <w:r>
              <w:rPr>
                <w:rFonts w:ascii="宋体" w:hAnsi="宋体" w:eastAsia="宋体"/>
                <w:sz w:val="16"/>
              </w:rPr>
              <w:t>提高单位工作人员生活水平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CB0F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B66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C7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93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602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AD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D5EB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7F5C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0FC2E">
            <w:pPr>
              <w:jc w:val="center"/>
            </w:pPr>
          </w:p>
        </w:tc>
      </w:tr>
      <w:tr w14:paraId="5DBE72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39B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287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301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0B375">
            <w:pPr>
              <w:jc w:val="center"/>
            </w:pPr>
            <w:r>
              <w:rPr>
                <w:rFonts w:ascii="宋体" w:hAnsi="宋体" w:eastAsia="宋体"/>
                <w:sz w:val="16"/>
              </w:rPr>
              <w:t>异地干部满意度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502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60E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111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27E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FDC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230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85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4D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D2972">
            <w:pPr>
              <w:jc w:val="center"/>
            </w:pPr>
          </w:p>
        </w:tc>
      </w:tr>
      <w:tr w14:paraId="1C15607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175F5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D51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11A5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E2D3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B53144"/>
        </w:tc>
      </w:tr>
    </w:tbl>
    <w:p w14:paraId="7A6A852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34F6D3E">
        <w:tblPrEx>
          <w:tblCellMar>
            <w:top w:w="0" w:type="dxa"/>
            <w:left w:w="108" w:type="dxa"/>
            <w:bottom w:w="0" w:type="dxa"/>
            <w:right w:w="108" w:type="dxa"/>
          </w:tblCellMar>
        </w:tblPrEx>
        <w:tc>
          <w:tcPr>
            <w:tcW w:w="8848" w:type="dxa"/>
            <w:gridSpan w:val="14"/>
            <w:vAlign w:val="center"/>
          </w:tcPr>
          <w:p w14:paraId="26AE0CA1">
            <w:pPr>
              <w:jc w:val="center"/>
            </w:pPr>
            <w:r>
              <w:rPr>
                <w:rFonts w:ascii="宋体" w:hAnsi="宋体" w:eastAsia="宋体"/>
                <w:sz w:val="24"/>
              </w:rPr>
              <w:t>项目支出绩效自评表</w:t>
            </w:r>
          </w:p>
        </w:tc>
      </w:tr>
      <w:tr w14:paraId="6D107022">
        <w:tblPrEx>
          <w:tblCellMar>
            <w:top w:w="0" w:type="dxa"/>
            <w:left w:w="108" w:type="dxa"/>
            <w:bottom w:w="0" w:type="dxa"/>
            <w:right w:w="108" w:type="dxa"/>
          </w:tblCellMar>
        </w:tblPrEx>
        <w:tc>
          <w:tcPr>
            <w:tcW w:w="8848" w:type="dxa"/>
            <w:gridSpan w:val="14"/>
            <w:vAlign w:val="center"/>
          </w:tcPr>
          <w:p w14:paraId="595E33EF">
            <w:pPr>
              <w:jc w:val="center"/>
            </w:pPr>
            <w:r>
              <w:rPr>
                <w:rFonts w:ascii="宋体" w:hAnsi="宋体" w:eastAsia="宋体"/>
                <w:sz w:val="24"/>
              </w:rPr>
              <w:t>(2024年度)</w:t>
            </w:r>
          </w:p>
        </w:tc>
      </w:tr>
      <w:tr w14:paraId="11C9E2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87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AE64D9">
            <w:pPr>
              <w:jc w:val="center"/>
            </w:pPr>
            <w:r>
              <w:rPr>
                <w:rFonts w:ascii="宋体" w:hAnsi="宋体" w:eastAsia="宋体"/>
                <w:sz w:val="16"/>
              </w:rPr>
              <w:t>法律顾问聘请项目</w:t>
            </w:r>
          </w:p>
        </w:tc>
      </w:tr>
      <w:tr w14:paraId="71AB0F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DB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C36344">
            <w:pPr>
              <w:jc w:val="center"/>
            </w:pPr>
            <w:r>
              <w:rPr>
                <w:rFonts w:ascii="宋体" w:hAnsi="宋体" w:eastAsia="宋体"/>
                <w:sz w:val="16"/>
              </w:rPr>
              <w:t>喀什地区红十字会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48F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DCA690">
            <w:pPr>
              <w:jc w:val="center"/>
            </w:pPr>
            <w:r>
              <w:rPr>
                <w:rFonts w:ascii="宋体" w:hAnsi="宋体" w:eastAsia="宋体"/>
                <w:sz w:val="16"/>
              </w:rPr>
              <w:t>新疆维吾尔自治区喀什地区红十字会</w:t>
            </w:r>
          </w:p>
        </w:tc>
      </w:tr>
      <w:tr w14:paraId="608E56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C5B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1C0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38B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768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6CE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239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F5B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CBBC5">
            <w:pPr>
              <w:jc w:val="center"/>
            </w:pPr>
            <w:r>
              <w:rPr>
                <w:rFonts w:ascii="宋体" w:hAnsi="宋体" w:eastAsia="宋体"/>
                <w:sz w:val="16"/>
              </w:rPr>
              <w:t>得分</w:t>
            </w:r>
          </w:p>
        </w:tc>
      </w:tr>
      <w:tr w14:paraId="216106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E12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690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F086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8F67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BC9B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85D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A533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0146">
            <w:pPr>
              <w:jc w:val="center"/>
            </w:pPr>
            <w:r>
              <w:rPr>
                <w:rFonts w:ascii="宋体" w:hAnsi="宋体" w:eastAsia="宋体"/>
                <w:sz w:val="16"/>
              </w:rPr>
              <w:t>10.00分</w:t>
            </w:r>
          </w:p>
        </w:tc>
      </w:tr>
      <w:tr w14:paraId="4A1EC6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01C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E11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07D0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15BC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36E7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3DF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35D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3E8E">
            <w:pPr>
              <w:jc w:val="center"/>
            </w:pPr>
            <w:r>
              <w:rPr>
                <w:rFonts w:ascii="宋体" w:hAnsi="宋体" w:eastAsia="宋体"/>
                <w:sz w:val="16"/>
              </w:rPr>
              <w:t>—</w:t>
            </w:r>
          </w:p>
        </w:tc>
      </w:tr>
      <w:tr w14:paraId="531F8D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15F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B762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E78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B8F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859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531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F0E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D60B0">
            <w:pPr>
              <w:jc w:val="center"/>
            </w:pPr>
            <w:r>
              <w:rPr>
                <w:rFonts w:ascii="宋体" w:hAnsi="宋体" w:eastAsia="宋体"/>
                <w:sz w:val="16"/>
              </w:rPr>
              <w:t>—</w:t>
            </w:r>
          </w:p>
        </w:tc>
      </w:tr>
      <w:tr w14:paraId="5EC253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AF08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D2C0D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CEC8BD">
            <w:pPr>
              <w:jc w:val="center"/>
            </w:pPr>
            <w:r>
              <w:rPr>
                <w:rFonts w:ascii="宋体" w:hAnsi="宋体" w:eastAsia="宋体"/>
                <w:sz w:val="16"/>
              </w:rPr>
              <w:t>实际完成情况</w:t>
            </w:r>
          </w:p>
        </w:tc>
      </w:tr>
      <w:tr w14:paraId="5FD86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FD3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41BADB">
            <w:pPr>
              <w:jc w:val="both"/>
            </w:pPr>
            <w:r>
              <w:rPr>
                <w:rFonts w:ascii="宋体" w:hAnsi="宋体" w:eastAsia="宋体"/>
                <w:sz w:val="16"/>
              </w:rPr>
              <w:t>根据《关于加快公职律师工作的实施意见》，《自治区关于推行法律顾问制度和公职律师制度的实施意见》（新依委办发</w:t>
            </w:r>
            <w:r>
              <w:rPr>
                <w:rFonts w:hint="eastAsia" w:ascii="宋体" w:hAnsi="宋体"/>
                <w:sz w:val="16"/>
                <w:lang w:eastAsia="zh-CN"/>
              </w:rPr>
              <w:t>〔2021〕11号</w:t>
            </w:r>
            <w:r>
              <w:rPr>
                <w:rFonts w:ascii="宋体" w:hAnsi="宋体" w:eastAsia="宋体"/>
                <w:sz w:val="16"/>
              </w:rPr>
              <w:t>）、印发《关于深化政府法律顾问工作的意见》的通知（新政办发</w:t>
            </w:r>
            <w:r>
              <w:rPr>
                <w:rFonts w:hint="eastAsia" w:ascii="宋体" w:hAnsi="宋体"/>
                <w:sz w:val="16"/>
                <w:lang w:eastAsia="zh-CN"/>
              </w:rPr>
              <w:t>〔2022〕72号</w:t>
            </w:r>
            <w:r>
              <w:rPr>
                <w:rFonts w:ascii="宋体" w:hAnsi="宋体" w:eastAsia="宋体"/>
                <w:sz w:val="16"/>
              </w:rPr>
              <w:t>）两个文件</w:t>
            </w:r>
            <w:r>
              <w:rPr>
                <w:rFonts w:hint="eastAsia" w:ascii="宋体" w:hAnsi="宋体"/>
                <w:sz w:val="16"/>
                <w:lang w:eastAsia="zh-CN"/>
              </w:rPr>
              <w:t>指示批示精神</w:t>
            </w:r>
            <w:r>
              <w:rPr>
                <w:rFonts w:ascii="宋体" w:hAnsi="宋体" w:eastAsia="宋体"/>
                <w:sz w:val="16"/>
              </w:rPr>
              <w:t>，聘请一名法律顾问经费2万元，进一步提高</w:t>
            </w:r>
            <w:r>
              <w:rPr>
                <w:rFonts w:hint="eastAsia" w:ascii="宋体" w:hAnsi="宋体"/>
                <w:sz w:val="16"/>
                <w:lang w:eastAsia="zh-CN"/>
              </w:rPr>
              <w:t>本部门</w:t>
            </w:r>
            <w:r>
              <w:rPr>
                <w:rFonts w:ascii="宋体" w:hAnsi="宋体" w:eastAsia="宋体"/>
                <w:sz w:val="16"/>
              </w:rPr>
              <w:t>依法行政的水平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183720">
            <w:pPr>
              <w:jc w:val="both"/>
            </w:pPr>
            <w:r>
              <w:rPr>
                <w:rFonts w:ascii="宋体" w:hAnsi="宋体" w:eastAsia="宋体"/>
                <w:sz w:val="16"/>
              </w:rPr>
              <w:t>该项目已完成。</w:t>
            </w:r>
            <w:r>
              <w:rPr>
                <w:rFonts w:hint="eastAsia" w:ascii="宋体" w:hAnsi="宋体"/>
                <w:sz w:val="16"/>
                <w:lang w:eastAsia="zh-CN"/>
              </w:rPr>
              <w:t>本部门</w:t>
            </w:r>
            <w:r>
              <w:rPr>
                <w:rFonts w:ascii="宋体" w:hAnsi="宋体" w:eastAsia="宋体"/>
                <w:sz w:val="16"/>
              </w:rPr>
              <w:t>安排专人负责，积极对接律师事务所，截至目前已开展2次法律咨询服务，合同审查建议1次，法律服务建议采纳率为100%。同时开展培训，并在现场进行答疑和法律问题咨询，提高红十字会工作者服务职能。</w:t>
            </w:r>
          </w:p>
        </w:tc>
      </w:tr>
      <w:tr w14:paraId="19CC0C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AE2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2B0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442D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9B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5BB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272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7BD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50DE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4D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E58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F32D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D6A6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27A65">
            <w:pPr>
              <w:jc w:val="center"/>
            </w:pPr>
            <w:r>
              <w:rPr>
                <w:rFonts w:ascii="宋体" w:hAnsi="宋体" w:eastAsia="宋体"/>
                <w:sz w:val="16"/>
              </w:rPr>
              <w:t>偏差原因分析及改进措施</w:t>
            </w:r>
          </w:p>
        </w:tc>
      </w:tr>
      <w:tr w14:paraId="25F749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B4FF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0253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E86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D308">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AC1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33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AF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81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07CF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17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B19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7D5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16592">
            <w:pPr>
              <w:jc w:val="center"/>
            </w:pPr>
          </w:p>
        </w:tc>
      </w:tr>
      <w:tr w14:paraId="6DA711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0D9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FB4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675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7237">
            <w:pPr>
              <w:jc w:val="center"/>
            </w:pPr>
            <w:r>
              <w:rPr>
                <w:rFonts w:ascii="宋体" w:hAnsi="宋体" w:eastAsia="宋体"/>
                <w:sz w:val="16"/>
              </w:rPr>
              <w:t>资金支付保障率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71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350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46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76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2DF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D0C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FC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81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497B3">
            <w:pPr>
              <w:jc w:val="center"/>
            </w:pPr>
          </w:p>
        </w:tc>
      </w:tr>
      <w:tr w14:paraId="51561D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7B1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59B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6BD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2A120">
            <w:pPr>
              <w:jc w:val="center"/>
            </w:pPr>
            <w:r>
              <w:rPr>
                <w:rFonts w:ascii="宋体" w:hAnsi="宋体" w:eastAsia="宋体"/>
                <w:sz w:val="16"/>
              </w:rPr>
              <w:t>政府采购验收合格率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4B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BD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0D7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6CA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B6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C21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CD3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5FD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020B3">
            <w:pPr>
              <w:jc w:val="center"/>
            </w:pPr>
          </w:p>
        </w:tc>
      </w:tr>
      <w:tr w14:paraId="3B4CD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66F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886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E19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3BE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45A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851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17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76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1AF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279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BAB4">
            <w:pPr>
              <w:jc w:val="center"/>
            </w:pPr>
            <w:r>
              <w:rPr>
                <w:rFonts w:ascii="宋体" w:hAnsi="宋体" w:eastAsia="宋体"/>
                <w:sz w:val="16"/>
              </w:rPr>
              <w:t>=2024年</w:t>
            </w:r>
            <w:r>
              <w:rPr>
                <w:rFonts w:hint="eastAsia" w:ascii="宋体" w:hAnsi="宋体"/>
                <w:sz w:val="16"/>
                <w:lang w:val="en-US" w:eastAsia="zh-CN"/>
              </w:rPr>
              <w:t>12</w:t>
            </w:r>
            <w:r>
              <w:rPr>
                <w:rFonts w:ascii="宋体" w:hAnsi="宋体" w:eastAsia="宋体"/>
                <w:sz w:val="16"/>
              </w:rPr>
              <w:t>月21日前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EB5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95572">
            <w:pPr>
              <w:jc w:val="center"/>
            </w:pPr>
          </w:p>
        </w:tc>
      </w:tr>
      <w:tr w14:paraId="2D75C2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BD2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B1B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2682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F0162">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3ABC">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76A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20E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0F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2E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6B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4A5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C48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887EB">
            <w:pPr>
              <w:jc w:val="center"/>
            </w:pPr>
          </w:p>
        </w:tc>
      </w:tr>
      <w:tr w14:paraId="411102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E8A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481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6B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7487">
            <w:pPr>
              <w:jc w:val="center"/>
            </w:pPr>
            <w:r>
              <w:rPr>
                <w:rFonts w:ascii="宋体" w:hAnsi="宋体" w:eastAsia="宋体"/>
                <w:sz w:val="16"/>
              </w:rPr>
              <w:t>进一步提高依法行政水平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22F0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DBE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17D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2C1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D90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78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12C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7CF7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DA685">
            <w:pPr>
              <w:jc w:val="center"/>
            </w:pPr>
          </w:p>
        </w:tc>
      </w:tr>
      <w:tr w14:paraId="28EAC6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CC1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3E6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78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C4978">
            <w:pPr>
              <w:jc w:val="center"/>
            </w:pPr>
            <w:r>
              <w:rPr>
                <w:rFonts w:ascii="宋体" w:hAnsi="宋体" w:eastAsia="宋体"/>
                <w:sz w:val="16"/>
              </w:rPr>
              <w:t>接受法律服务的工作人员满意度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BB0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598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8B1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21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58A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300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8E2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D3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1D974">
            <w:pPr>
              <w:jc w:val="center"/>
            </w:pPr>
          </w:p>
        </w:tc>
      </w:tr>
      <w:tr w14:paraId="107203F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C5A3B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4139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22F4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4F22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1DA1A84"/>
        </w:tc>
      </w:tr>
    </w:tbl>
    <w:p w14:paraId="7D40CF74">
      <w:r>
        <w:br w:type="page"/>
      </w:r>
    </w:p>
    <w:tbl>
      <w:tblPr>
        <w:tblStyle w:val="9"/>
        <w:tblW w:w="0" w:type="auto"/>
        <w:tblInd w:w="0" w:type="dxa"/>
        <w:tblLayout w:type="autofit"/>
        <w:tblCellMar>
          <w:top w:w="0" w:type="dxa"/>
          <w:left w:w="108" w:type="dxa"/>
          <w:bottom w:w="0" w:type="dxa"/>
          <w:right w:w="108" w:type="dxa"/>
        </w:tblCellMar>
      </w:tblPr>
      <w:tblGrid>
        <w:gridCol w:w="629"/>
        <w:gridCol w:w="626"/>
        <w:gridCol w:w="626"/>
        <w:gridCol w:w="696"/>
        <w:gridCol w:w="776"/>
        <w:gridCol w:w="626"/>
        <w:gridCol w:w="626"/>
        <w:gridCol w:w="628"/>
        <w:gridCol w:w="626"/>
        <w:gridCol w:w="626"/>
        <w:gridCol w:w="696"/>
        <w:gridCol w:w="632"/>
        <w:gridCol w:w="617"/>
        <w:gridCol w:w="630"/>
      </w:tblGrid>
      <w:tr w14:paraId="2DB329E0">
        <w:tblPrEx>
          <w:tblCellMar>
            <w:top w:w="0" w:type="dxa"/>
            <w:left w:w="108" w:type="dxa"/>
            <w:bottom w:w="0" w:type="dxa"/>
            <w:right w:w="108" w:type="dxa"/>
          </w:tblCellMar>
        </w:tblPrEx>
        <w:tc>
          <w:tcPr>
            <w:tcW w:w="8848" w:type="dxa"/>
            <w:gridSpan w:val="14"/>
            <w:vAlign w:val="center"/>
          </w:tcPr>
          <w:p w14:paraId="71D621D8">
            <w:pPr>
              <w:jc w:val="center"/>
            </w:pPr>
            <w:r>
              <w:rPr>
                <w:rFonts w:ascii="宋体" w:hAnsi="宋体" w:eastAsia="宋体"/>
                <w:sz w:val="24"/>
              </w:rPr>
              <w:t>项目支出绩效自评表</w:t>
            </w:r>
          </w:p>
        </w:tc>
      </w:tr>
      <w:tr w14:paraId="5630D7C3">
        <w:tblPrEx>
          <w:tblCellMar>
            <w:top w:w="0" w:type="dxa"/>
            <w:left w:w="108" w:type="dxa"/>
            <w:bottom w:w="0" w:type="dxa"/>
            <w:right w:w="108" w:type="dxa"/>
          </w:tblCellMar>
        </w:tblPrEx>
        <w:tc>
          <w:tcPr>
            <w:tcW w:w="8848" w:type="dxa"/>
            <w:gridSpan w:val="14"/>
            <w:vAlign w:val="center"/>
          </w:tcPr>
          <w:p w14:paraId="5E7B0EE1">
            <w:pPr>
              <w:jc w:val="center"/>
            </w:pPr>
            <w:r>
              <w:rPr>
                <w:rFonts w:ascii="宋体" w:hAnsi="宋体" w:eastAsia="宋体"/>
                <w:sz w:val="24"/>
              </w:rPr>
              <w:t>(2024年度)</w:t>
            </w:r>
          </w:p>
        </w:tc>
      </w:tr>
      <w:tr w14:paraId="63ACF4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1DB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248780">
            <w:pPr>
              <w:jc w:val="center"/>
            </w:pPr>
            <w:r>
              <w:rPr>
                <w:rFonts w:ascii="宋体" w:hAnsi="宋体" w:eastAsia="宋体"/>
                <w:sz w:val="16"/>
              </w:rPr>
              <w:t>红十字会干部能力提升培训项目</w:t>
            </w:r>
          </w:p>
        </w:tc>
      </w:tr>
      <w:tr w14:paraId="7A6164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B7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24B751">
            <w:pPr>
              <w:jc w:val="center"/>
            </w:pPr>
            <w:r>
              <w:rPr>
                <w:rFonts w:ascii="宋体" w:hAnsi="宋体" w:eastAsia="宋体"/>
                <w:sz w:val="16"/>
              </w:rPr>
              <w:t>喀什地区红十字会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84F0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EA2899">
            <w:pPr>
              <w:jc w:val="center"/>
            </w:pPr>
            <w:r>
              <w:rPr>
                <w:rFonts w:ascii="宋体" w:hAnsi="宋体" w:eastAsia="宋体"/>
                <w:sz w:val="16"/>
              </w:rPr>
              <w:t>新疆维吾尔自治区喀什地区红十字会</w:t>
            </w:r>
          </w:p>
        </w:tc>
      </w:tr>
      <w:tr w14:paraId="30CE84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811A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E955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A6C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F9CC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7D8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6A6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BCA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7E99B">
            <w:pPr>
              <w:jc w:val="center"/>
            </w:pPr>
            <w:r>
              <w:rPr>
                <w:rFonts w:ascii="宋体" w:hAnsi="宋体" w:eastAsia="宋体"/>
                <w:sz w:val="16"/>
              </w:rPr>
              <w:t>得分</w:t>
            </w:r>
          </w:p>
        </w:tc>
      </w:tr>
      <w:tr w14:paraId="29FB2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3EF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832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C2E5F">
            <w:pPr>
              <w:jc w:val="center"/>
            </w:pPr>
            <w:r>
              <w:rPr>
                <w:rFonts w:ascii="宋体" w:hAnsi="宋体" w:eastAsia="宋体"/>
                <w:sz w:val="16"/>
              </w:rPr>
              <w:t>58.50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B6ACF">
            <w:pPr>
              <w:jc w:val="center"/>
            </w:pPr>
            <w:r>
              <w:rPr>
                <w:rFonts w:ascii="宋体" w:hAnsi="宋体" w:eastAsia="宋体"/>
                <w:sz w:val="16"/>
              </w:rPr>
              <w:t>58.50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8EA25">
            <w:pPr>
              <w:jc w:val="center"/>
            </w:pPr>
            <w:r>
              <w:rPr>
                <w:rFonts w:ascii="宋体" w:hAnsi="宋体" w:eastAsia="宋体"/>
                <w:sz w:val="16"/>
              </w:rPr>
              <w:t>52.58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1F5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8E728">
            <w:pPr>
              <w:jc w:val="center"/>
            </w:pPr>
            <w:r>
              <w:rPr>
                <w:rFonts w:ascii="宋体" w:hAnsi="宋体" w:eastAsia="宋体"/>
                <w:sz w:val="16"/>
              </w:rPr>
              <w:t>89.9%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1F55C">
            <w:pPr>
              <w:jc w:val="center"/>
            </w:pPr>
            <w:r>
              <w:rPr>
                <w:rFonts w:ascii="宋体" w:hAnsi="宋体" w:eastAsia="宋体"/>
                <w:sz w:val="16"/>
              </w:rPr>
              <w:t>7.47分</w:t>
            </w:r>
          </w:p>
        </w:tc>
      </w:tr>
      <w:tr w14:paraId="38C243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162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86C6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2A6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CAF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AD8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6BF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C8E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B22F4">
            <w:pPr>
              <w:jc w:val="center"/>
            </w:pPr>
            <w:r>
              <w:rPr>
                <w:rFonts w:ascii="宋体" w:hAnsi="宋体" w:eastAsia="宋体"/>
                <w:sz w:val="16"/>
              </w:rPr>
              <w:t>—</w:t>
            </w:r>
          </w:p>
        </w:tc>
      </w:tr>
      <w:tr w14:paraId="4347AE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379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A4B9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5C252">
            <w:pPr>
              <w:jc w:val="center"/>
            </w:pPr>
            <w:r>
              <w:rPr>
                <w:rFonts w:ascii="宋体" w:hAnsi="宋体" w:eastAsia="宋体"/>
                <w:sz w:val="16"/>
              </w:rPr>
              <w:t>58.50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90F40">
            <w:pPr>
              <w:jc w:val="center"/>
            </w:pPr>
            <w:r>
              <w:rPr>
                <w:rFonts w:ascii="宋体" w:hAnsi="宋体" w:eastAsia="宋体"/>
                <w:sz w:val="16"/>
              </w:rPr>
              <w:t>58.50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3CAA6">
            <w:pPr>
              <w:jc w:val="center"/>
            </w:pPr>
            <w:r>
              <w:rPr>
                <w:rFonts w:ascii="宋体" w:hAnsi="宋体" w:eastAsia="宋体"/>
                <w:sz w:val="16"/>
              </w:rPr>
              <w:t>52.58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2B0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E78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BF57">
            <w:pPr>
              <w:jc w:val="center"/>
            </w:pPr>
            <w:r>
              <w:rPr>
                <w:rFonts w:ascii="宋体" w:hAnsi="宋体" w:eastAsia="宋体"/>
                <w:sz w:val="16"/>
              </w:rPr>
              <w:t>—</w:t>
            </w:r>
          </w:p>
        </w:tc>
      </w:tr>
      <w:tr w14:paraId="594799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824B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45DD6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92EC90">
            <w:pPr>
              <w:jc w:val="center"/>
            </w:pPr>
            <w:r>
              <w:rPr>
                <w:rFonts w:ascii="宋体" w:hAnsi="宋体" w:eastAsia="宋体"/>
                <w:sz w:val="16"/>
              </w:rPr>
              <w:t>实际完成情况</w:t>
            </w:r>
          </w:p>
        </w:tc>
      </w:tr>
      <w:tr w14:paraId="316E03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2FF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E3750D">
            <w:pPr>
              <w:jc w:val="both"/>
            </w:pPr>
            <w:r>
              <w:rPr>
                <w:rFonts w:ascii="宋体" w:hAnsi="宋体" w:eastAsia="宋体"/>
                <w:sz w:val="16"/>
              </w:rPr>
              <w:t>为加快</w:t>
            </w:r>
            <w:bookmarkStart w:id="0" w:name="_GoBack"/>
            <w:r>
              <w:rPr>
                <w:rFonts w:ascii="宋体" w:hAnsi="宋体" w:eastAsia="宋体"/>
                <w:sz w:val="16"/>
              </w:rPr>
              <w:t>红十字</w:t>
            </w:r>
            <w:bookmarkEnd w:id="0"/>
            <w:r>
              <w:rPr>
                <w:rFonts w:ascii="宋体" w:hAnsi="宋体" w:eastAsia="宋体"/>
                <w:sz w:val="16"/>
              </w:rPr>
              <w:t>事业发展，全面提升红十字干部队伍专业能力，充分发挥好党和政府在人道领域联系群众的桥梁和纽带作用，开展2期培训，赴山东及疆内，参加培训人员78人，达到红十字会工作人员综合素质和专业水平提升程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F616D5">
            <w:pPr>
              <w:jc w:val="both"/>
            </w:pPr>
            <w:r>
              <w:rPr>
                <w:rFonts w:hint="eastAsia" w:ascii="宋体" w:hAnsi="宋体"/>
                <w:sz w:val="16"/>
                <w:lang w:eastAsia="zh-CN"/>
              </w:rPr>
              <w:t>实际</w:t>
            </w:r>
            <w:r>
              <w:rPr>
                <w:rFonts w:ascii="宋体" w:hAnsi="宋体" w:eastAsia="宋体"/>
                <w:sz w:val="16"/>
              </w:rPr>
              <w:t>完成：培训人员78人，培训30天。展培训2期，了解了内地以及兄弟地州的工作模式，改进工作作风，提升了红十字会工作人员综合素质和专业水平。</w:t>
            </w:r>
          </w:p>
        </w:tc>
      </w:tr>
      <w:tr w14:paraId="1F84DD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4FE4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E5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CAA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C54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A4E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59C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581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DF1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10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4530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375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07F0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51027">
            <w:pPr>
              <w:jc w:val="center"/>
            </w:pPr>
            <w:r>
              <w:rPr>
                <w:rFonts w:ascii="宋体" w:hAnsi="宋体" w:eastAsia="宋体"/>
                <w:sz w:val="16"/>
              </w:rPr>
              <w:t>偏差原因分析及改进措施</w:t>
            </w:r>
          </w:p>
        </w:tc>
      </w:tr>
      <w:tr w14:paraId="315317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B8A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FC6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DDD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F2D3">
            <w:pPr>
              <w:jc w:val="center"/>
            </w:pPr>
            <w:r>
              <w:rPr>
                <w:rFonts w:ascii="宋体" w:hAnsi="宋体" w:eastAsia="宋体"/>
                <w:sz w:val="16"/>
              </w:rPr>
              <w:t>培训人员数量（名）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E2D6C">
            <w:pPr>
              <w:jc w:val="center"/>
            </w:pPr>
            <w:r>
              <w:rPr>
                <w:rFonts w:ascii="宋体" w:hAnsi="宋体" w:eastAsia="宋体"/>
                <w:sz w:val="16"/>
              </w:rPr>
              <w:t>&gt;=78人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69F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065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296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31B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82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BDDB">
            <w:pPr>
              <w:jc w:val="center"/>
            </w:pPr>
            <w:r>
              <w:rPr>
                <w:rFonts w:ascii="宋体" w:hAnsi="宋体" w:eastAsia="宋体"/>
                <w:sz w:val="16"/>
              </w:rPr>
              <w:t>=78人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E1F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A0499">
            <w:pPr>
              <w:jc w:val="center"/>
            </w:pPr>
          </w:p>
        </w:tc>
      </w:tr>
      <w:tr w14:paraId="58091D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B6F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213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061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C49BA">
            <w:pPr>
              <w:jc w:val="center"/>
            </w:pPr>
            <w:r>
              <w:rPr>
                <w:rFonts w:ascii="宋体" w:hAnsi="宋体" w:eastAsia="宋体"/>
                <w:sz w:val="16"/>
              </w:rPr>
              <w:t>培训天数（天）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DED1">
            <w:pPr>
              <w:jc w:val="center"/>
            </w:pPr>
            <w:r>
              <w:rPr>
                <w:rFonts w:ascii="宋体" w:hAnsi="宋体" w:eastAsia="宋体"/>
                <w:sz w:val="16"/>
              </w:rPr>
              <w:t>&gt;=30天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27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B9D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1A7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2FE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6D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3038">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7CB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61D3E">
            <w:pPr>
              <w:jc w:val="center"/>
            </w:pPr>
          </w:p>
        </w:tc>
      </w:tr>
      <w:tr w14:paraId="0617F5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320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3B1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B6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939AA">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78C8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A1C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DBD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293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E5D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13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E20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560B">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DCACC">
            <w:pPr>
              <w:jc w:val="center"/>
            </w:pPr>
            <w:r>
              <w:rPr>
                <w:rFonts w:ascii="宋体" w:hAnsi="宋体" w:eastAsia="宋体"/>
                <w:sz w:val="16"/>
              </w:rPr>
              <w:t>偏差原因：该项目部分子项目实施效果较好，为正向偏差。整改措施：设置完成值设计合适。</w:t>
            </w:r>
          </w:p>
        </w:tc>
      </w:tr>
      <w:tr w14:paraId="2EFC26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87F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86A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5E7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24D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525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70E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F4B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542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109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01A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8C3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A5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8C52F">
            <w:pPr>
              <w:jc w:val="center"/>
            </w:pPr>
          </w:p>
        </w:tc>
      </w:tr>
      <w:tr w14:paraId="68B4E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940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9F45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FE2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A25CA">
            <w:pPr>
              <w:jc w:val="center"/>
            </w:pPr>
            <w:r>
              <w:rPr>
                <w:rFonts w:ascii="宋体" w:hAnsi="宋体" w:eastAsia="宋体"/>
                <w:sz w:val="16"/>
              </w:rPr>
              <w:t>培训考察费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B4ADF">
            <w:pPr>
              <w:jc w:val="center"/>
            </w:pPr>
            <w:r>
              <w:rPr>
                <w:rFonts w:ascii="宋体" w:hAnsi="宋体" w:eastAsia="宋体"/>
                <w:sz w:val="16"/>
              </w:rPr>
              <w:t>&lt;=53.50万元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87A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9D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F04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98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7D7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F179F">
            <w:pPr>
              <w:jc w:val="center"/>
            </w:pPr>
            <w:r>
              <w:rPr>
                <w:rFonts w:ascii="宋体" w:hAnsi="宋体" w:eastAsia="宋体"/>
                <w:sz w:val="16"/>
              </w:rPr>
              <w:t>=47.58万元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7F05">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4CB98">
            <w:pPr>
              <w:jc w:val="center"/>
            </w:pPr>
            <w:r>
              <w:rPr>
                <w:rFonts w:ascii="宋体" w:hAnsi="宋体" w:eastAsia="宋体"/>
                <w:sz w:val="16"/>
              </w:rPr>
              <w:t>偏差原因：因项目设计考察费计算过多，执行时并没有支出很多；整改措施：项目执行之前各科室相互沟通，确保绩效如期完成。</w:t>
            </w:r>
          </w:p>
        </w:tc>
      </w:tr>
      <w:tr w14:paraId="222C50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B34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627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E97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B2136">
            <w:pPr>
              <w:jc w:val="center"/>
            </w:pPr>
            <w:r>
              <w:rPr>
                <w:rFonts w:ascii="宋体" w:hAnsi="宋体" w:eastAsia="宋体"/>
                <w:sz w:val="16"/>
              </w:rPr>
              <w:t>资料印刷费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F356F">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64F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71A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D7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C1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062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73B18">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DD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2BD6C">
            <w:pPr>
              <w:jc w:val="center"/>
            </w:pPr>
          </w:p>
        </w:tc>
      </w:tr>
      <w:tr w14:paraId="7D1AFB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0D2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73A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AE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40053">
            <w:pPr>
              <w:jc w:val="center"/>
            </w:pPr>
            <w:r>
              <w:rPr>
                <w:rFonts w:ascii="宋体" w:hAnsi="宋体" w:eastAsia="宋体"/>
                <w:sz w:val="16"/>
              </w:rPr>
              <w:t>提高红十字影响力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D065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6AB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33F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08D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00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6BC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05E9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E5E3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5AA59">
            <w:pPr>
              <w:jc w:val="center"/>
            </w:pPr>
          </w:p>
        </w:tc>
      </w:tr>
      <w:tr w14:paraId="5B16B6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A10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B8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1BD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13361">
            <w:pPr>
              <w:jc w:val="center"/>
            </w:pPr>
            <w:r>
              <w:rPr>
                <w:rFonts w:ascii="宋体" w:hAnsi="宋体" w:eastAsia="宋体"/>
                <w:sz w:val="16"/>
              </w:rPr>
              <w:t>参加培训人员满意度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E76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1CF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D6E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61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257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78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776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7B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36C40">
            <w:pPr>
              <w:jc w:val="center"/>
            </w:pPr>
            <w:r>
              <w:rPr>
                <w:rFonts w:ascii="宋体" w:hAnsi="宋体" w:eastAsia="宋体"/>
                <w:sz w:val="16"/>
              </w:rPr>
              <w:t>偏差原因：该项目部分子项目实施效果较好，为正向偏差。整改措施：设置完成值设计合适。</w:t>
            </w:r>
          </w:p>
        </w:tc>
      </w:tr>
      <w:tr w14:paraId="08C61C2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9A76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E5F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93D8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50D64">
            <w:pPr>
              <w:jc w:val="center"/>
            </w:pPr>
            <w:r>
              <w:rPr>
                <w:rFonts w:ascii="宋体" w:hAnsi="宋体" w:eastAsia="宋体"/>
                <w:sz w:val="16"/>
              </w:rPr>
              <w:t>94.19分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5CC635"/>
        </w:tc>
      </w:tr>
    </w:tbl>
    <w:p w14:paraId="6038A9E6">
      <w:r>
        <w:br w:type="page"/>
      </w:r>
    </w:p>
    <w:p w14:paraId="4A61CA2B">
      <w:pPr>
        <w:spacing w:line="640" w:lineRule="exact"/>
        <w:ind w:firstLine="640"/>
        <w:jc w:val="both"/>
        <w:outlineLvl w:val="2"/>
      </w:pPr>
      <w:r>
        <w:rPr>
          <w:rFonts w:ascii="黑体" w:hAnsi="黑体" w:eastAsia="黑体"/>
          <w:sz w:val="32"/>
        </w:rPr>
        <w:t>十二、其他需说明的事项</w:t>
      </w:r>
    </w:p>
    <w:p w14:paraId="4D6C99E6">
      <w:pPr>
        <w:spacing w:line="580" w:lineRule="exact"/>
        <w:ind w:firstLine="640"/>
        <w:jc w:val="both"/>
      </w:pPr>
      <w:r>
        <w:rPr>
          <w:rFonts w:ascii="仿宋_GB2312" w:hAnsi="仿宋_GB2312" w:eastAsia="仿宋_GB2312"/>
          <w:b w:val="0"/>
          <w:sz w:val="32"/>
        </w:rPr>
        <w:t>本部门无其他需说明的事项。</w:t>
      </w:r>
    </w:p>
    <w:p w14:paraId="162A32DF">
      <w:r>
        <w:br w:type="page"/>
      </w:r>
    </w:p>
    <w:p w14:paraId="3761D6FC">
      <w:pPr>
        <w:spacing w:line="240" w:lineRule="auto"/>
        <w:jc w:val="center"/>
        <w:outlineLvl w:val="1"/>
      </w:pPr>
      <w:r>
        <w:rPr>
          <w:rFonts w:ascii="黑体" w:hAnsi="黑体" w:eastAsia="黑体"/>
          <w:sz w:val="32"/>
        </w:rPr>
        <w:t>第三部分 专业名词解释</w:t>
      </w:r>
    </w:p>
    <w:p w14:paraId="6AABAA3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B51837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2E1C71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25323F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F73F83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BAC9C9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32A245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F3601A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76FA8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ADC1C1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DC6B0D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21F77A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575416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4F99BC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4185B09">
      <w:r>
        <w:br w:type="page"/>
      </w:r>
    </w:p>
    <w:p w14:paraId="13A14E1F">
      <w:pPr>
        <w:spacing w:line="240" w:lineRule="auto"/>
        <w:jc w:val="center"/>
        <w:outlineLvl w:val="1"/>
      </w:pPr>
      <w:r>
        <w:rPr>
          <w:rFonts w:ascii="黑体" w:hAnsi="黑体" w:eastAsia="黑体"/>
          <w:sz w:val="32"/>
        </w:rPr>
        <w:t>第四部分 部门决算报表（见附表）</w:t>
      </w:r>
    </w:p>
    <w:p w14:paraId="6D5055DD">
      <w:pPr>
        <w:spacing w:line="240" w:lineRule="auto"/>
        <w:ind w:firstLine="640"/>
        <w:jc w:val="both"/>
      </w:pPr>
      <w:r>
        <w:rPr>
          <w:rFonts w:ascii="仿宋_GB2312" w:hAnsi="仿宋_GB2312" w:eastAsia="仿宋_GB2312"/>
          <w:b w:val="0"/>
          <w:sz w:val="32"/>
        </w:rPr>
        <w:t>一、《收入支出决算总表》</w:t>
      </w:r>
    </w:p>
    <w:p w14:paraId="7B53101D">
      <w:pPr>
        <w:spacing w:line="240" w:lineRule="auto"/>
        <w:ind w:firstLine="640"/>
        <w:jc w:val="both"/>
      </w:pPr>
      <w:r>
        <w:rPr>
          <w:rFonts w:ascii="仿宋_GB2312" w:hAnsi="仿宋_GB2312" w:eastAsia="仿宋_GB2312"/>
          <w:b w:val="0"/>
          <w:sz w:val="32"/>
        </w:rPr>
        <w:t>二、《收入决算表》</w:t>
      </w:r>
    </w:p>
    <w:p w14:paraId="549F6B16">
      <w:pPr>
        <w:spacing w:line="240" w:lineRule="auto"/>
        <w:ind w:firstLine="640"/>
        <w:jc w:val="both"/>
      </w:pPr>
      <w:r>
        <w:rPr>
          <w:rFonts w:ascii="仿宋_GB2312" w:hAnsi="仿宋_GB2312" w:eastAsia="仿宋_GB2312"/>
          <w:b w:val="0"/>
          <w:sz w:val="32"/>
        </w:rPr>
        <w:t>三、《支出决算表》</w:t>
      </w:r>
    </w:p>
    <w:p w14:paraId="5B0EE97A">
      <w:pPr>
        <w:spacing w:line="240" w:lineRule="auto"/>
        <w:ind w:firstLine="640"/>
        <w:jc w:val="both"/>
      </w:pPr>
      <w:r>
        <w:rPr>
          <w:rFonts w:ascii="仿宋_GB2312" w:hAnsi="仿宋_GB2312" w:eastAsia="仿宋_GB2312"/>
          <w:b w:val="0"/>
          <w:sz w:val="32"/>
        </w:rPr>
        <w:t>四、《财政拨款收入支出决算总表》</w:t>
      </w:r>
    </w:p>
    <w:p w14:paraId="2706DC8F">
      <w:pPr>
        <w:spacing w:line="240" w:lineRule="auto"/>
        <w:ind w:firstLine="640"/>
        <w:jc w:val="both"/>
      </w:pPr>
      <w:r>
        <w:rPr>
          <w:rFonts w:ascii="仿宋_GB2312" w:hAnsi="仿宋_GB2312" w:eastAsia="仿宋_GB2312"/>
          <w:b w:val="0"/>
          <w:sz w:val="32"/>
        </w:rPr>
        <w:t>五、《一般公共预算财政拨款支出决算表》</w:t>
      </w:r>
    </w:p>
    <w:p w14:paraId="45005F77">
      <w:pPr>
        <w:spacing w:line="240" w:lineRule="auto"/>
        <w:ind w:firstLine="640"/>
        <w:jc w:val="both"/>
      </w:pPr>
      <w:r>
        <w:rPr>
          <w:rFonts w:ascii="仿宋_GB2312" w:hAnsi="仿宋_GB2312" w:eastAsia="仿宋_GB2312"/>
          <w:b w:val="0"/>
          <w:sz w:val="32"/>
        </w:rPr>
        <w:t>六、《一般公共预算财政拨款基本支出决算表》</w:t>
      </w:r>
    </w:p>
    <w:p w14:paraId="41B1E2C9">
      <w:pPr>
        <w:spacing w:line="240" w:lineRule="auto"/>
        <w:ind w:firstLine="640"/>
        <w:jc w:val="both"/>
      </w:pPr>
      <w:r>
        <w:rPr>
          <w:rFonts w:ascii="仿宋_GB2312" w:hAnsi="仿宋_GB2312" w:eastAsia="仿宋_GB2312"/>
          <w:b w:val="0"/>
          <w:sz w:val="32"/>
        </w:rPr>
        <w:t>七、《政府性基金预算财政拨款收入支出决算表》</w:t>
      </w:r>
    </w:p>
    <w:p w14:paraId="1DA83C6E">
      <w:pPr>
        <w:spacing w:line="240" w:lineRule="auto"/>
        <w:ind w:firstLine="640"/>
        <w:jc w:val="both"/>
      </w:pPr>
      <w:r>
        <w:rPr>
          <w:rFonts w:ascii="仿宋_GB2312" w:hAnsi="仿宋_GB2312" w:eastAsia="仿宋_GB2312"/>
          <w:b w:val="0"/>
          <w:sz w:val="32"/>
        </w:rPr>
        <w:t>八、《国有资本经营预算财政拨款收入支出决算表》</w:t>
      </w:r>
    </w:p>
    <w:p w14:paraId="4ED7081D">
      <w:pPr>
        <w:spacing w:line="240" w:lineRule="auto"/>
        <w:ind w:firstLine="640"/>
        <w:jc w:val="both"/>
      </w:pPr>
      <w:r>
        <w:rPr>
          <w:rFonts w:ascii="仿宋_GB2312" w:hAnsi="仿宋_GB2312" w:eastAsia="仿宋_GB2312"/>
          <w:b w:val="0"/>
          <w:sz w:val="32"/>
        </w:rPr>
        <w:t>九、《财政拨款“三公”经费支出决算表》</w:t>
      </w:r>
    </w:p>
    <w:p w14:paraId="5F5F9C27">
      <w:pPr>
        <w:spacing w:line="240" w:lineRule="auto"/>
        <w:ind w:firstLine="640"/>
        <w:jc w:val="both"/>
      </w:pPr>
    </w:p>
    <w:p w14:paraId="10F0A8FE">
      <w:pPr>
        <w:spacing w:line="240" w:lineRule="auto"/>
        <w:ind w:firstLine="640"/>
        <w:jc w:val="both"/>
      </w:pPr>
    </w:p>
    <w:p w14:paraId="35D34ACD">
      <w:pPr>
        <w:spacing w:line="240" w:lineRule="auto"/>
        <w:ind w:firstLine="640"/>
        <w:jc w:val="both"/>
      </w:pPr>
    </w:p>
    <w:p w14:paraId="1010D055">
      <w:pPr>
        <w:spacing w:line="240" w:lineRule="auto"/>
        <w:ind w:firstLine="640"/>
        <w:jc w:val="both"/>
      </w:pPr>
    </w:p>
    <w:p w14:paraId="61FBB94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9280202-D170-4041-B8C4-FD9B33FB695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ABB0389-725C-49C6-8286-719C9B530546}"/>
  </w:font>
  <w:font w:name="仿宋_GB2312">
    <w:panose1 w:val="02010609030101010101"/>
    <w:charset w:val="86"/>
    <w:family w:val="modern"/>
    <w:pitch w:val="default"/>
    <w:sig w:usb0="00000001" w:usb1="080E0000" w:usb2="00000000" w:usb3="00000000" w:csb0="00040000" w:csb1="00000000"/>
    <w:embedRegular r:id="rId3" w:fontKey="{DF08DE0D-5776-464C-B0D1-D9547CDC21D4}"/>
  </w:font>
  <w:font w:name="楷体_GB2312">
    <w:panose1 w:val="02010609030101010101"/>
    <w:charset w:val="86"/>
    <w:family w:val="auto"/>
    <w:pitch w:val="default"/>
    <w:sig w:usb0="00000001" w:usb1="080E0000" w:usb2="00000000" w:usb3="00000000" w:csb0="00040000" w:csb1="00000000"/>
    <w:embedRegular r:id="rId4" w:fontKey="{5DD5E22C-6B6C-484C-AFD9-883B95569176}"/>
  </w:font>
  <w:font w:name="WPSEMBED13">
    <w:panose1 w:val="02010609030101010101"/>
    <w:charset w:val="86"/>
    <w:family w:val="auto"/>
    <w:pitch w:val="default"/>
    <w:sig w:usb0="00000001" w:usb1="080E0000" w:usb2="00000000" w:usb3="00000000" w:csb0="00040000" w:csb1="00000000"/>
  </w:font>
  <w:font w:name="WPSEMBED14">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88A06EE"/>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6E1273"/>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5B1281"/>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5450</Words>
  <Characters>6265</Characters>
  <Lines>0</Lines>
  <Paragraphs>0</Paragraphs>
  <TotalTime>3</TotalTime>
  <ScaleCrop>false</ScaleCrop>
  <LinksUpToDate>false</LinksUpToDate>
  <CharactersWithSpaces>6275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别忘记小婷_</cp:lastModifiedBy>
  <cp:lastPrinted>2024-07-22T11:58:00Z</cp:lastPrinted>
  <dcterms:modified xsi:type="dcterms:W3CDTF">2025-09-05T01:56:40Z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eyJoZGlkIjoiODcwM2IwZTUyMTZkNzUwMjBkODQ1YzM3NzM1MTVlMjIiLCJ1c2VySWQiOiIxMDY0NzI0MTYxIn0=</vt:lpwstr>
  </property>
</Properties>
</file>