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34705D">
      <w:r>
        <w:br w:type="page"/>
      </w:r>
    </w:p>
    <w:p w14:paraId="77744FC2">
      <w:pPr>
        <w:spacing w:line="640" w:lineRule="exact"/>
        <w:jc w:val="center"/>
        <w:outlineLvl w:val="1"/>
      </w:pPr>
      <w:r>
        <w:rPr>
          <w:rFonts w:ascii="黑体" w:hAnsi="黑体" w:eastAsia="黑体"/>
          <w:sz w:val="32"/>
        </w:rPr>
        <w:t>第一部分 部门概况</w:t>
      </w:r>
    </w:p>
    <w:p w14:paraId="51B837EC">
      <w:pPr>
        <w:spacing w:line="640" w:lineRule="exact"/>
        <w:ind w:firstLine="640"/>
        <w:jc w:val="both"/>
        <w:outlineLvl w:val="2"/>
      </w:pPr>
      <w:r>
        <w:rPr>
          <w:rFonts w:ascii="黑体" w:hAnsi="黑体" w:eastAsia="黑体"/>
          <w:sz w:val="32"/>
        </w:rPr>
        <w:t>一、主要职能</w:t>
      </w:r>
    </w:p>
    <w:p w14:paraId="1006CC95">
      <w:pPr>
        <w:spacing w:line="580" w:lineRule="exact"/>
        <w:ind w:firstLine="640"/>
        <w:jc w:val="both"/>
        <w:rPr>
          <w:rFonts w:ascii="仿宋_GB2312" w:hAnsi="仿宋_GB2312" w:eastAsia="仿宋_GB2312"/>
          <w:sz w:val="32"/>
        </w:rPr>
      </w:pPr>
      <w:r>
        <w:rPr>
          <w:rFonts w:ascii="仿宋_GB2312" w:hAnsi="仿宋_GB2312" w:eastAsia="仿宋_GB2312"/>
          <w:sz w:val="32"/>
        </w:rPr>
        <w:t>1、拟定地区关于退役军人的思想政治、管理保障等规范性文件并组织实施。</w:t>
      </w:r>
    </w:p>
    <w:p w14:paraId="42D6D260">
      <w:pPr>
        <w:spacing w:line="580" w:lineRule="exact"/>
        <w:ind w:firstLine="640"/>
        <w:jc w:val="both"/>
        <w:rPr>
          <w:rFonts w:hint="eastAsia" w:ascii="仿宋_GB2312" w:hAnsi="仿宋_GB2312" w:eastAsia="仿宋_GB2312"/>
          <w:sz w:val="32"/>
          <w:lang w:eastAsia="zh-CN"/>
        </w:rPr>
      </w:pPr>
      <w:r>
        <w:rPr>
          <w:rFonts w:ascii="仿宋_GB2312" w:hAnsi="仿宋_GB2312" w:eastAsia="仿宋_GB2312"/>
          <w:sz w:val="32"/>
        </w:rPr>
        <w:t>2、负责军队转业干部、</w:t>
      </w:r>
      <w:r>
        <w:rPr>
          <w:rFonts w:hint="eastAsia" w:ascii="仿宋_GB2312" w:hAnsi="仿宋_GB2312" w:eastAsia="仿宋_GB2312"/>
          <w:sz w:val="32"/>
          <w:lang w:eastAsia="zh-CN"/>
        </w:rPr>
        <w:t>复员</w:t>
      </w:r>
      <w:r>
        <w:rPr>
          <w:rFonts w:ascii="仿宋_GB2312" w:hAnsi="仿宋_GB2312" w:eastAsia="仿宋_GB2312"/>
          <w:sz w:val="32"/>
        </w:rPr>
        <w:t>干部、离休退休干部（士官）的审核接收工作和军队自主择业、就业退役军人服务管理工作</w:t>
      </w:r>
      <w:r>
        <w:rPr>
          <w:rFonts w:hint="eastAsia" w:ascii="仿宋_GB2312" w:hAnsi="仿宋_GB2312" w:eastAsia="仿宋_GB2312"/>
          <w:sz w:val="32"/>
          <w:lang w:eastAsia="zh-CN"/>
        </w:rPr>
        <w:t>。</w:t>
      </w:r>
    </w:p>
    <w:p w14:paraId="1EC29B70">
      <w:pPr>
        <w:spacing w:line="580" w:lineRule="exact"/>
        <w:ind w:firstLine="640"/>
        <w:jc w:val="both"/>
        <w:rPr>
          <w:rFonts w:ascii="仿宋_GB2312" w:hAnsi="仿宋_GB2312" w:eastAsia="仿宋_GB2312"/>
          <w:sz w:val="32"/>
        </w:rPr>
      </w:pPr>
      <w:r>
        <w:rPr>
          <w:rFonts w:ascii="仿宋_GB2312" w:hAnsi="仿宋_GB2312" w:eastAsia="仿宋_GB2312"/>
          <w:sz w:val="32"/>
        </w:rPr>
        <w:t>3、组织指导退役军人教育培训工作。</w:t>
      </w:r>
    </w:p>
    <w:p w14:paraId="41A16C5D">
      <w:pPr>
        <w:spacing w:line="580" w:lineRule="exact"/>
        <w:ind w:firstLine="640"/>
        <w:jc w:val="both"/>
        <w:rPr>
          <w:rFonts w:ascii="仿宋_GB2312" w:hAnsi="仿宋_GB2312" w:eastAsia="仿宋_GB2312"/>
          <w:sz w:val="32"/>
        </w:rPr>
      </w:pPr>
      <w:r>
        <w:rPr>
          <w:rFonts w:ascii="仿宋_GB2312" w:hAnsi="仿宋_GB2312" w:eastAsia="仿宋_GB2312"/>
          <w:sz w:val="32"/>
        </w:rPr>
        <w:t>4、组织指导伤病残退役军人服务管理和抚恤工作，拟定有关退役军人地方性医疗、养老等细则并组织实施。</w:t>
      </w:r>
    </w:p>
    <w:p w14:paraId="34B9C9E9">
      <w:pPr>
        <w:spacing w:line="580" w:lineRule="exact"/>
        <w:ind w:firstLine="640"/>
        <w:jc w:val="both"/>
        <w:rPr>
          <w:rFonts w:ascii="仿宋_GB2312" w:hAnsi="仿宋_GB2312" w:eastAsia="仿宋_GB2312"/>
          <w:sz w:val="32"/>
        </w:rPr>
      </w:pPr>
      <w:r>
        <w:rPr>
          <w:rFonts w:ascii="仿宋_GB2312" w:hAnsi="仿宋_GB2312" w:eastAsia="仿宋_GB2312"/>
          <w:sz w:val="32"/>
        </w:rPr>
        <w:t>5、组织指导各县市拥军优属工作。</w:t>
      </w:r>
    </w:p>
    <w:p w14:paraId="59965AE6">
      <w:pPr>
        <w:spacing w:line="580" w:lineRule="exact"/>
        <w:ind w:firstLine="640"/>
        <w:jc w:val="both"/>
        <w:rPr>
          <w:rFonts w:ascii="仿宋_GB2312" w:hAnsi="仿宋_GB2312" w:eastAsia="仿宋_GB2312"/>
          <w:sz w:val="32"/>
        </w:rPr>
      </w:pPr>
      <w:r>
        <w:rPr>
          <w:rFonts w:ascii="仿宋_GB2312" w:hAnsi="仿宋_GB2312" w:eastAsia="仿宋_GB2312"/>
          <w:sz w:val="32"/>
        </w:rPr>
        <w:t>6、负责地区范围内烈士及退役军人荣誉奖励。</w:t>
      </w:r>
    </w:p>
    <w:p w14:paraId="683EA854">
      <w:pPr>
        <w:spacing w:line="580" w:lineRule="exact"/>
        <w:ind w:firstLine="640"/>
        <w:jc w:val="both"/>
        <w:rPr>
          <w:rFonts w:ascii="仿宋_GB2312" w:hAnsi="仿宋_GB2312" w:eastAsia="仿宋_GB2312"/>
          <w:sz w:val="32"/>
        </w:rPr>
      </w:pPr>
      <w:r>
        <w:rPr>
          <w:rFonts w:ascii="仿宋_GB2312" w:hAnsi="仿宋_GB2312" w:eastAsia="仿宋_GB2312"/>
          <w:sz w:val="32"/>
        </w:rPr>
        <w:t>7、指导并监督检查退役军人相关法律、法规和政策措施的落实。</w:t>
      </w:r>
    </w:p>
    <w:p w14:paraId="0C729B5D">
      <w:pPr>
        <w:spacing w:line="580" w:lineRule="exact"/>
        <w:ind w:firstLine="640"/>
        <w:jc w:val="both"/>
        <w:rPr>
          <w:rFonts w:ascii="仿宋_GB2312" w:hAnsi="仿宋_GB2312" w:eastAsia="仿宋_GB2312"/>
          <w:sz w:val="32"/>
        </w:rPr>
      </w:pPr>
      <w:r>
        <w:rPr>
          <w:rFonts w:ascii="仿宋_GB2312" w:hAnsi="仿宋_GB2312" w:eastAsia="仿宋_GB2312"/>
          <w:sz w:val="32"/>
        </w:rPr>
        <w:t>8、承担地区退役军人工作领导小组办公室日常工作；承担地区双拥领导小组办公室的日常工作。</w:t>
      </w:r>
    </w:p>
    <w:p w14:paraId="040A298D">
      <w:pPr>
        <w:spacing w:line="580" w:lineRule="exact"/>
        <w:ind w:firstLine="640"/>
        <w:jc w:val="both"/>
      </w:pPr>
      <w:r>
        <w:rPr>
          <w:rFonts w:ascii="仿宋_GB2312" w:hAnsi="仿宋_GB2312" w:eastAsia="仿宋_GB2312"/>
          <w:sz w:val="32"/>
        </w:rPr>
        <w:t>9、完成地委、行署交办的其他任务。</w:t>
      </w:r>
    </w:p>
    <w:p w14:paraId="2F55F8F8">
      <w:pPr>
        <w:spacing w:line="640" w:lineRule="exact"/>
        <w:ind w:firstLine="640"/>
        <w:jc w:val="both"/>
        <w:outlineLvl w:val="2"/>
      </w:pPr>
      <w:r>
        <w:rPr>
          <w:rFonts w:ascii="黑体" w:hAnsi="黑体" w:eastAsia="黑体"/>
          <w:sz w:val="32"/>
        </w:rPr>
        <w:t>二、机构设置及人员情况</w:t>
      </w:r>
    </w:p>
    <w:p w14:paraId="7FA92BE1">
      <w:pPr>
        <w:spacing w:line="580" w:lineRule="exact"/>
        <w:ind w:firstLine="640"/>
        <w:jc w:val="both"/>
      </w:pPr>
      <w:r>
        <w:rPr>
          <w:rFonts w:ascii="仿宋_GB2312" w:hAnsi="仿宋_GB2312" w:eastAsia="仿宋_GB2312"/>
          <w:sz w:val="32"/>
        </w:rPr>
        <w:t>新疆维吾尔自治区喀什地区退役军人事务局2024年度，实有人数24人，其中：在职人员19人，增加1人；离休人员0人，增加0人；退休人员5人,增加1人。</w:t>
      </w:r>
    </w:p>
    <w:p w14:paraId="69F04816">
      <w:pPr>
        <w:spacing w:line="580" w:lineRule="exact"/>
        <w:ind w:firstLine="640"/>
        <w:jc w:val="both"/>
      </w:pPr>
      <w:r>
        <w:rPr>
          <w:rFonts w:ascii="仿宋_GB2312" w:hAnsi="仿宋_GB2312" w:eastAsia="仿宋_GB2312"/>
          <w:sz w:val="32"/>
        </w:rPr>
        <w:t>新疆维吾尔自治区喀什地区退役军人事务局无下属预算单位，下设3个科室，分别是：办公室、优抚褒扬科、移交安置培训科。</w:t>
      </w:r>
    </w:p>
    <w:p w14:paraId="316DE1FD">
      <w:r>
        <w:br w:type="page"/>
      </w:r>
    </w:p>
    <w:p w14:paraId="7CF82A96">
      <w:pPr>
        <w:spacing w:line="240" w:lineRule="auto"/>
        <w:jc w:val="center"/>
        <w:outlineLvl w:val="1"/>
      </w:pPr>
      <w:r>
        <w:rPr>
          <w:rFonts w:ascii="黑体" w:hAnsi="黑体" w:eastAsia="黑体"/>
          <w:sz w:val="32"/>
        </w:rPr>
        <w:t>第二部分 部门决算情况说明</w:t>
      </w:r>
    </w:p>
    <w:p w14:paraId="7BF84983">
      <w:pPr>
        <w:spacing w:line="640" w:lineRule="exact"/>
        <w:ind w:firstLine="640"/>
        <w:jc w:val="both"/>
        <w:outlineLvl w:val="2"/>
      </w:pPr>
      <w:r>
        <w:rPr>
          <w:rFonts w:ascii="黑体" w:hAnsi="黑体" w:eastAsia="黑体"/>
          <w:sz w:val="32"/>
        </w:rPr>
        <w:t>一、收入支出决算总体情况说明</w:t>
      </w:r>
    </w:p>
    <w:p w14:paraId="713453DB">
      <w:pPr>
        <w:spacing w:line="580" w:lineRule="exact"/>
        <w:ind w:firstLine="640"/>
        <w:jc w:val="both"/>
      </w:pPr>
      <w:r>
        <w:rPr>
          <w:rFonts w:ascii="仿宋_GB2312" w:hAnsi="仿宋_GB2312" w:eastAsia="仿宋_GB2312"/>
          <w:b/>
          <w:sz w:val="32"/>
        </w:rPr>
        <w:t>2024年度收入总计457.96万元，</w:t>
      </w:r>
      <w:r>
        <w:rPr>
          <w:rFonts w:ascii="仿宋_GB2312" w:hAnsi="仿宋_GB2312" w:eastAsia="仿宋_GB2312"/>
          <w:b w:val="0"/>
          <w:sz w:val="32"/>
        </w:rPr>
        <w:t>其中：本年收入合计457.96万元，使用非财政拨款结余（含专用结余）0.00万元，年初结转和结余0.00万元。</w:t>
      </w:r>
    </w:p>
    <w:p w14:paraId="404401E7">
      <w:pPr>
        <w:spacing w:line="580" w:lineRule="exact"/>
        <w:ind w:firstLine="640"/>
        <w:jc w:val="both"/>
      </w:pPr>
      <w:r>
        <w:rPr>
          <w:rFonts w:ascii="仿宋_GB2312" w:hAnsi="仿宋_GB2312" w:eastAsia="仿宋_GB2312"/>
          <w:b/>
          <w:sz w:val="32"/>
        </w:rPr>
        <w:t>2024年度支出总计457.96万元，</w:t>
      </w:r>
      <w:r>
        <w:rPr>
          <w:rFonts w:ascii="仿宋_GB2312" w:hAnsi="仿宋_GB2312" w:eastAsia="仿宋_GB2312"/>
          <w:b w:val="0"/>
          <w:sz w:val="32"/>
        </w:rPr>
        <w:t>其中：本年支出合计457.96万元，结余分配0.00万元，年末结转和结余0.00万元。</w:t>
      </w:r>
    </w:p>
    <w:p w14:paraId="3E198C7F">
      <w:pPr>
        <w:spacing w:line="580" w:lineRule="exact"/>
        <w:ind w:firstLine="640"/>
        <w:jc w:val="both"/>
      </w:pPr>
      <w:r>
        <w:rPr>
          <w:rFonts w:ascii="仿宋_GB2312" w:hAnsi="仿宋_GB2312" w:eastAsia="仿宋_GB2312"/>
          <w:b w:val="0"/>
          <w:sz w:val="32"/>
        </w:rPr>
        <w:t>收入支出总体与上年相比，减少31.71万元，下降6.48%，主要原因是：本年减少专项项目经费、广东援疆退役军人服务中心（站）建设、上海援疆喀什地区退役军人事务系统交往交流交融等项目。</w:t>
      </w:r>
    </w:p>
    <w:p w14:paraId="01ED5366">
      <w:pPr>
        <w:spacing w:line="640" w:lineRule="exact"/>
        <w:ind w:firstLine="640"/>
        <w:jc w:val="both"/>
        <w:outlineLvl w:val="2"/>
      </w:pPr>
      <w:r>
        <w:rPr>
          <w:rFonts w:ascii="黑体" w:hAnsi="黑体" w:eastAsia="黑体"/>
          <w:sz w:val="32"/>
        </w:rPr>
        <w:t>二、收入决算情况说明</w:t>
      </w:r>
    </w:p>
    <w:p w14:paraId="6953E713">
      <w:pPr>
        <w:spacing w:line="580" w:lineRule="exact"/>
        <w:ind w:firstLine="640"/>
        <w:jc w:val="both"/>
      </w:pPr>
      <w:r>
        <w:rPr>
          <w:rFonts w:ascii="仿宋_GB2312" w:hAnsi="仿宋_GB2312" w:eastAsia="仿宋_GB2312"/>
          <w:b/>
          <w:sz w:val="32"/>
        </w:rPr>
        <w:t>本年收入457.96万元，</w:t>
      </w:r>
      <w:r>
        <w:rPr>
          <w:rFonts w:ascii="仿宋_GB2312" w:hAnsi="仿宋_GB2312" w:eastAsia="仿宋_GB2312"/>
          <w:b w:val="0"/>
          <w:sz w:val="32"/>
        </w:rPr>
        <w:t>其中：财政拨款收入437.96万元，占95.63%；上级补助收入0.00万元，占0.00%；事业收入0.00万元，占0.00%；经营收入0.00万元，占0.00%；附属单位上缴收入0.00万元，占0.00%；其他收入20.00万元，占4.37%。</w:t>
      </w:r>
    </w:p>
    <w:p w14:paraId="2CD6D16B">
      <w:pPr>
        <w:spacing w:line="640" w:lineRule="exact"/>
        <w:ind w:firstLine="640"/>
        <w:jc w:val="both"/>
        <w:outlineLvl w:val="2"/>
      </w:pPr>
      <w:r>
        <w:rPr>
          <w:rFonts w:ascii="黑体" w:hAnsi="黑体" w:eastAsia="黑体"/>
          <w:sz w:val="32"/>
        </w:rPr>
        <w:t>三、支出决算情况说明</w:t>
      </w:r>
    </w:p>
    <w:p w14:paraId="1896C8A9">
      <w:pPr>
        <w:spacing w:line="580" w:lineRule="exact"/>
        <w:ind w:firstLine="640"/>
        <w:jc w:val="both"/>
      </w:pPr>
      <w:r>
        <w:rPr>
          <w:rFonts w:ascii="仿宋_GB2312" w:hAnsi="仿宋_GB2312" w:eastAsia="仿宋_GB2312"/>
          <w:b/>
          <w:sz w:val="32"/>
        </w:rPr>
        <w:t>本年支出457.96万元，</w:t>
      </w:r>
      <w:r>
        <w:rPr>
          <w:rFonts w:ascii="仿宋_GB2312" w:hAnsi="仿宋_GB2312" w:eastAsia="仿宋_GB2312"/>
          <w:b w:val="0"/>
          <w:sz w:val="32"/>
        </w:rPr>
        <w:t>其中：基本支出364.26万元，占79.54%；项目支出93.70万元，占20.46%；上缴上级支出0.00万元，占0.00%；经营支出0.00万元，占0.00%；对附属单位补助支出0.00万元，占0.00%。</w:t>
      </w:r>
    </w:p>
    <w:p w14:paraId="0D6DE678">
      <w:pPr>
        <w:spacing w:line="640" w:lineRule="exact"/>
        <w:ind w:firstLine="640"/>
        <w:jc w:val="both"/>
        <w:outlineLvl w:val="2"/>
      </w:pPr>
      <w:r>
        <w:rPr>
          <w:rFonts w:ascii="黑体" w:hAnsi="黑体" w:eastAsia="黑体"/>
          <w:sz w:val="32"/>
        </w:rPr>
        <w:t>四、财政拨款收入支出决算总体情况说明</w:t>
      </w:r>
    </w:p>
    <w:p w14:paraId="59862697">
      <w:pPr>
        <w:spacing w:line="580" w:lineRule="exact"/>
        <w:ind w:firstLine="640"/>
        <w:jc w:val="both"/>
      </w:pPr>
      <w:r>
        <w:rPr>
          <w:rFonts w:ascii="仿宋_GB2312" w:hAnsi="仿宋_GB2312" w:eastAsia="仿宋_GB2312"/>
          <w:b/>
          <w:sz w:val="32"/>
        </w:rPr>
        <w:t>2024年度财政拨款收入总计437.96万元，</w:t>
      </w:r>
      <w:r>
        <w:rPr>
          <w:rFonts w:ascii="仿宋_GB2312" w:hAnsi="仿宋_GB2312" w:eastAsia="仿宋_GB2312"/>
          <w:b w:val="0"/>
          <w:sz w:val="32"/>
        </w:rPr>
        <w:t>其中：年初财政拨款结转和结余0.00万元，本年财政拨款收入437.96万元。</w:t>
      </w:r>
      <w:r>
        <w:rPr>
          <w:rFonts w:ascii="仿宋_GB2312" w:hAnsi="仿宋_GB2312" w:eastAsia="仿宋_GB2312"/>
          <w:b/>
          <w:sz w:val="32"/>
        </w:rPr>
        <w:t>财政拨款支出总计437.96万元，</w:t>
      </w:r>
      <w:r>
        <w:rPr>
          <w:rFonts w:ascii="仿宋_GB2312" w:hAnsi="仿宋_GB2312" w:eastAsia="仿宋_GB2312"/>
          <w:b w:val="0"/>
          <w:sz w:val="32"/>
        </w:rPr>
        <w:t>其中：年末财政拨款结转和结余0.00万元，本年财政拨款支出437.96万元。</w:t>
      </w:r>
    </w:p>
    <w:p w14:paraId="277460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减少6.71万元，下降1.51%，主要原因是：本年减少中央财政退役安置项目经费。</w:t>
      </w:r>
      <w:r>
        <w:rPr>
          <w:rFonts w:ascii="仿宋_GB2312" w:hAnsi="仿宋_GB2312" w:eastAsia="仿宋_GB2312"/>
          <w:b/>
          <w:sz w:val="32"/>
        </w:rPr>
        <w:t>与年初预算相比，</w:t>
      </w:r>
      <w:r>
        <w:rPr>
          <w:rFonts w:ascii="仿宋_GB2312" w:hAnsi="仿宋_GB2312" w:eastAsia="仿宋_GB2312"/>
          <w:b w:val="0"/>
          <w:sz w:val="32"/>
        </w:rPr>
        <w:t>年初预算数423.45万元，决算数437.96万元，预决算差异率3.43%，主要原因是：本年在职人员增加，年中追加人员经费及人员工资、社保、公积金基数调增部分资金，导致预决算存在差异。</w:t>
      </w:r>
    </w:p>
    <w:p w14:paraId="47C81B5D">
      <w:pPr>
        <w:spacing w:line="640" w:lineRule="exact"/>
        <w:ind w:firstLine="640"/>
        <w:jc w:val="both"/>
        <w:outlineLvl w:val="2"/>
      </w:pPr>
      <w:r>
        <w:rPr>
          <w:rFonts w:ascii="黑体" w:hAnsi="黑体" w:eastAsia="黑体"/>
          <w:sz w:val="32"/>
        </w:rPr>
        <w:t>五、一般公共预算财政拨款支出决算情况说明</w:t>
      </w:r>
    </w:p>
    <w:p w14:paraId="7C4B6326">
      <w:pPr>
        <w:spacing w:line="640" w:lineRule="exact"/>
        <w:ind w:firstLine="640"/>
        <w:jc w:val="both"/>
        <w:outlineLvl w:val="3"/>
      </w:pPr>
      <w:r>
        <w:rPr>
          <w:rFonts w:ascii="楷体_GB2312" w:hAnsi="楷体_GB2312" w:eastAsia="楷体_GB2312"/>
          <w:b/>
          <w:sz w:val="32"/>
        </w:rPr>
        <w:t>（一）一般公共预算财政拨款支出决算总体情况</w:t>
      </w:r>
    </w:p>
    <w:p w14:paraId="4EAA52EF">
      <w:pPr>
        <w:spacing w:line="580" w:lineRule="exact"/>
        <w:ind w:firstLine="640"/>
        <w:jc w:val="both"/>
      </w:pPr>
      <w:r>
        <w:rPr>
          <w:rFonts w:ascii="仿宋_GB2312" w:hAnsi="仿宋_GB2312" w:eastAsia="仿宋_GB2312"/>
          <w:b/>
          <w:sz w:val="32"/>
        </w:rPr>
        <w:t>2024年度一般公共预算财政拨款支出437.96万元，</w:t>
      </w:r>
      <w:r>
        <w:rPr>
          <w:rFonts w:ascii="仿宋_GB2312" w:hAnsi="仿宋_GB2312" w:eastAsia="仿宋_GB2312"/>
          <w:b w:val="0"/>
          <w:sz w:val="32"/>
        </w:rPr>
        <w:t>占本年支出合计的95.63%。</w:t>
      </w:r>
      <w:r>
        <w:rPr>
          <w:rFonts w:ascii="仿宋_GB2312" w:hAnsi="仿宋_GB2312" w:eastAsia="仿宋_GB2312"/>
          <w:b/>
          <w:sz w:val="32"/>
        </w:rPr>
        <w:t>与上年相比，</w:t>
      </w:r>
      <w:r>
        <w:rPr>
          <w:rFonts w:ascii="仿宋_GB2312" w:hAnsi="仿宋_GB2312" w:eastAsia="仿宋_GB2312"/>
          <w:b w:val="0"/>
          <w:sz w:val="32"/>
        </w:rPr>
        <w:t>减少6.71万元，下降1.51%，主要原因是：本年减少中央财政退役安置项目经费。</w:t>
      </w:r>
      <w:r>
        <w:rPr>
          <w:rFonts w:ascii="仿宋_GB2312" w:hAnsi="仿宋_GB2312" w:eastAsia="仿宋_GB2312"/>
          <w:b/>
          <w:sz w:val="32"/>
        </w:rPr>
        <w:t>与年初预算相比,</w:t>
      </w:r>
      <w:r>
        <w:rPr>
          <w:rFonts w:ascii="仿宋_GB2312" w:hAnsi="仿宋_GB2312" w:eastAsia="仿宋_GB2312"/>
          <w:b w:val="0"/>
          <w:sz w:val="32"/>
        </w:rPr>
        <w:t>年初预算数423.45万元，决算数437.96万元，预决算差异率3.43%，主要原因是：本年在职人员增加，年中追加人员经费及人员工资、社保、公积金基数调增部分资金，导致预决算存在差异。</w:t>
      </w:r>
    </w:p>
    <w:p w14:paraId="713F1D85">
      <w:pPr>
        <w:spacing w:line="640" w:lineRule="exact"/>
        <w:ind w:firstLine="640"/>
        <w:jc w:val="both"/>
        <w:outlineLvl w:val="3"/>
      </w:pPr>
      <w:r>
        <w:rPr>
          <w:rFonts w:ascii="楷体_GB2312" w:hAnsi="楷体_GB2312" w:eastAsia="楷体_GB2312"/>
          <w:b/>
          <w:sz w:val="32"/>
        </w:rPr>
        <w:t>（二）一般公共预算财政拨款支出决算结构情况</w:t>
      </w:r>
    </w:p>
    <w:p w14:paraId="226CB013">
      <w:pPr>
        <w:spacing w:line="580" w:lineRule="exact"/>
        <w:ind w:firstLine="640"/>
        <w:jc w:val="both"/>
      </w:pPr>
      <w:r>
        <w:rPr>
          <w:rFonts w:ascii="仿宋_GB2312" w:hAnsi="仿宋_GB2312" w:eastAsia="仿宋_GB2312"/>
          <w:b w:val="0"/>
          <w:sz w:val="32"/>
        </w:rPr>
        <w:t>1.社会保障和就业支出(类)395.77万元,占90.37%。</w:t>
      </w:r>
    </w:p>
    <w:p w14:paraId="3269D63A">
      <w:pPr>
        <w:spacing w:line="580" w:lineRule="exact"/>
        <w:ind w:firstLine="640"/>
        <w:jc w:val="both"/>
      </w:pPr>
      <w:r>
        <w:rPr>
          <w:rFonts w:ascii="仿宋_GB2312" w:hAnsi="仿宋_GB2312" w:eastAsia="仿宋_GB2312"/>
          <w:b w:val="0"/>
          <w:sz w:val="32"/>
        </w:rPr>
        <w:t>2.卫生健康支出(类)15.38万元,占3.51%。</w:t>
      </w:r>
    </w:p>
    <w:p w14:paraId="5B854211">
      <w:pPr>
        <w:spacing w:line="580" w:lineRule="exact"/>
        <w:ind w:firstLine="640"/>
        <w:jc w:val="both"/>
      </w:pPr>
      <w:r>
        <w:rPr>
          <w:rFonts w:ascii="仿宋_GB2312" w:hAnsi="仿宋_GB2312" w:eastAsia="仿宋_GB2312"/>
          <w:b w:val="0"/>
          <w:sz w:val="32"/>
        </w:rPr>
        <w:t>3.住房保障支出(类)26.81万元,占6.12%。</w:t>
      </w:r>
    </w:p>
    <w:p w14:paraId="46A244FB">
      <w:pPr>
        <w:spacing w:line="640" w:lineRule="exact"/>
        <w:ind w:firstLine="640"/>
        <w:jc w:val="both"/>
        <w:outlineLvl w:val="3"/>
      </w:pPr>
      <w:r>
        <w:rPr>
          <w:rFonts w:ascii="楷体_GB2312" w:hAnsi="楷体_GB2312" w:eastAsia="楷体_GB2312"/>
          <w:b/>
          <w:sz w:val="32"/>
        </w:rPr>
        <w:t>（三）一般公共预算财政拨款支出决算具体情况</w:t>
      </w:r>
    </w:p>
    <w:p w14:paraId="351247D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1.社会保障和就业支出(类)行政事业单位养老支出(款)行政单位离退休(项):支出决算数为7.83万元，比上年决算增加3.67万元，增长88.22%,主要原因是：本年退休人员增加，增加退休人员基础绩效奖，退休费支出增加。</w:t>
      </w:r>
    </w:p>
    <w:p w14:paraId="6DEAD1D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31.99万元，比上年决算减少3.31万元，下降9.38%,主要原因是：本年在职人员调入调出，人员职级不同，缴费基数不同，导致养老保险缴费较上年减少。</w:t>
      </w:r>
    </w:p>
    <w:p w14:paraId="147FCF4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11.66万元，比上年决算减少6.29万元，下降35.04%,主要原因是：本年新增退休人员较上年减少，职业年金缴费较上年减少。</w:t>
      </w:r>
    </w:p>
    <w:p w14:paraId="5BBE7B43">
      <w:pPr>
        <w:spacing w:line="580" w:lineRule="exact"/>
        <w:ind w:firstLine="640"/>
        <w:jc w:val="both"/>
      </w:pPr>
      <w:r>
        <w:rPr>
          <w:rFonts w:ascii="仿宋_GB2312" w:hAnsi="仿宋_GB2312" w:eastAsia="仿宋_GB2312"/>
          <w:b w:val="0"/>
          <w:sz w:val="32"/>
        </w:rPr>
        <w:t>4.社会保障和就业支出(类)退役安置(款)军队移交政府离退休干部管理机构(项):支出决算数为29.59万元，比上年决算减少6.27万元，下降17.48%,主要原因是：本年退役安置补助项目资金减少，导致此科目经费较上年减少。</w:t>
      </w:r>
    </w:p>
    <w:p w14:paraId="389EDC51">
      <w:pPr>
        <w:spacing w:line="580" w:lineRule="exact"/>
        <w:ind w:firstLine="640"/>
        <w:jc w:val="both"/>
      </w:pPr>
      <w:r>
        <w:rPr>
          <w:rFonts w:ascii="仿宋_GB2312" w:hAnsi="仿宋_GB2312" w:eastAsia="仿宋_GB2312"/>
          <w:b w:val="0"/>
          <w:sz w:val="32"/>
        </w:rPr>
        <w:t>5.社会保障和就业支出(类)退役安置(款)其他退役安置支出(项):支出决算数为3.15万元，比上年决算减少3.59万元，下降53.26%,主要原因是：本年参与退役士兵社保、医保接续项目的退役士兵减少，导致支出减少。</w:t>
      </w:r>
    </w:p>
    <w:p w14:paraId="7F05B6F0">
      <w:pPr>
        <w:spacing w:line="580" w:lineRule="exact"/>
        <w:ind w:firstLine="640"/>
        <w:jc w:val="both"/>
      </w:pPr>
      <w:r>
        <w:rPr>
          <w:rFonts w:ascii="仿宋_GB2312" w:hAnsi="仿宋_GB2312" w:eastAsia="仿宋_GB2312"/>
          <w:b w:val="0"/>
          <w:sz w:val="32"/>
        </w:rPr>
        <w:t>6.社会保障和就业支出(类)退役军人管理事务(款)行政运行(项):支出决算数为271.97万元，比上年决算减少2.71万元，下降0.99%,主要原因是：本年在职人员调入调出，人员职级不同，工资基数不同，导致人员经费较上年减少。</w:t>
      </w:r>
    </w:p>
    <w:p w14:paraId="1DA300B3">
      <w:pPr>
        <w:spacing w:line="580" w:lineRule="exact"/>
        <w:ind w:firstLine="640"/>
        <w:jc w:val="both"/>
      </w:pPr>
      <w:r>
        <w:rPr>
          <w:rFonts w:ascii="仿宋_GB2312" w:hAnsi="仿宋_GB2312" w:eastAsia="仿宋_GB2312"/>
          <w:b w:val="0"/>
          <w:sz w:val="32"/>
        </w:rPr>
        <w:t>7.社会保障和就业支出(类)退役军人管理事务(款)一般行政管理事务(项):支出决算数为33.62万元，比上年决算增加5.04万元，增长17.63%,主要原因是：本年科目调整，为民办实事经费上年在其他支出科目列支，本年在一般行政管理事务科目列支，导致较上年决算增加。</w:t>
      </w:r>
    </w:p>
    <w:p w14:paraId="5AA855A9">
      <w:pPr>
        <w:spacing w:line="580" w:lineRule="exact"/>
        <w:ind w:firstLine="640"/>
        <w:jc w:val="both"/>
      </w:pPr>
      <w:r>
        <w:rPr>
          <w:rFonts w:ascii="仿宋_GB2312" w:hAnsi="仿宋_GB2312" w:eastAsia="仿宋_GB2312"/>
          <w:b w:val="0"/>
          <w:sz w:val="32"/>
        </w:rPr>
        <w:t>8.社会保障和就业支出(类)退役军人管理事务(款)拥军优属(项):支出决算数为5.91万元，比上年决算增加5.91万元，增长100.00%,主要原因是：本年增加英烈事迹宣讲“四进”等项目。</w:t>
      </w:r>
    </w:p>
    <w:p w14:paraId="2C85A0C4">
      <w:pPr>
        <w:spacing w:line="580" w:lineRule="exact"/>
        <w:ind w:firstLine="640"/>
        <w:jc w:val="both"/>
      </w:pPr>
      <w:r>
        <w:rPr>
          <w:rFonts w:ascii="仿宋_GB2312" w:hAnsi="仿宋_GB2312" w:eastAsia="仿宋_GB2312"/>
          <w:b w:val="0"/>
          <w:sz w:val="32"/>
        </w:rPr>
        <w:t>9.社会保障和就业支出(类)退役军人管理事务(款)其他退役军人事务管理支出(项):支出决算数为0.03万元，比上年决算增加0.03万元，增长100.00%,主要原因是：本年新增工程建设项目经费。</w:t>
      </w:r>
    </w:p>
    <w:p w14:paraId="0810A5B7">
      <w:pPr>
        <w:spacing w:line="580" w:lineRule="exact"/>
        <w:ind w:firstLine="640"/>
        <w:jc w:val="both"/>
      </w:pPr>
      <w:r>
        <w:rPr>
          <w:rFonts w:ascii="仿宋_GB2312" w:hAnsi="仿宋_GB2312" w:eastAsia="仿宋_GB2312"/>
          <w:b w:val="0"/>
          <w:sz w:val="32"/>
        </w:rPr>
        <w:t>10.卫生健康支出(类)行政事业单位医疗(款)行政单位医疗(项):支出决算数为13.00万元，比上年决算减少0.16万元，下降1.22%,主要原因是：本年在职人员调入调出，人员职级不同，缴费基数不同，导致行政单位医疗较上年减少。</w:t>
      </w:r>
    </w:p>
    <w:p w14:paraId="6BA1EBD7">
      <w:pPr>
        <w:spacing w:line="580" w:lineRule="exact"/>
        <w:ind w:firstLine="640"/>
        <w:jc w:val="both"/>
      </w:pPr>
      <w:r>
        <w:rPr>
          <w:rFonts w:ascii="仿宋_GB2312" w:hAnsi="仿宋_GB2312" w:eastAsia="仿宋_GB2312"/>
          <w:b w:val="0"/>
          <w:sz w:val="32"/>
        </w:rPr>
        <w:t>11.卫生健康支出(类)行政事业单位医疗(款)公务员医疗补助(项):支出决算数为2.38万元，比上年决算减少0.29万元，下降10.86%,主要原因是：本年在职人员调入调出，人员职级不同，缴费基数不同，导致公务员医疗补助较上年减少。</w:t>
      </w:r>
    </w:p>
    <w:p w14:paraId="4D2946AC">
      <w:pPr>
        <w:spacing w:line="580" w:lineRule="exact"/>
        <w:ind w:firstLine="640"/>
        <w:jc w:val="both"/>
      </w:pPr>
      <w:r>
        <w:rPr>
          <w:rFonts w:ascii="仿宋_GB2312" w:hAnsi="仿宋_GB2312" w:eastAsia="仿宋_GB2312"/>
          <w:b w:val="0"/>
          <w:sz w:val="32"/>
        </w:rPr>
        <w:t>12.住房保障支出(类)住房改革支出(款)住房公积金(项):支出决算数为26.81万元，比上年决算增加2.12万元，增长8.59%,主要原因是：本年在职人员增加，在职人员工资基数调增，公积金缴费基数上涨，相应支出增加。</w:t>
      </w:r>
    </w:p>
    <w:p w14:paraId="439FB222">
      <w:pPr>
        <w:spacing w:line="580" w:lineRule="exact"/>
        <w:ind w:firstLine="640"/>
        <w:jc w:val="both"/>
      </w:pPr>
      <w:r>
        <w:rPr>
          <w:rFonts w:ascii="仿宋_GB2312" w:hAnsi="仿宋_GB2312" w:eastAsia="仿宋_GB2312"/>
          <w:b w:val="0"/>
          <w:sz w:val="32"/>
        </w:rPr>
        <w:t>13.其他支出(类)其他支出(款)其他支出(项):支出决算数为0.00万元，比上年决算减少0.88万元，下降100.00%,主要原因是：本年科目调整，为民办实事经费上年在其他支出科目列支，本年在一般行政管理事务科目列支，导致较上年决算减少。</w:t>
      </w:r>
    </w:p>
    <w:p w14:paraId="23E5CE70">
      <w:pPr>
        <w:spacing w:line="640" w:lineRule="exact"/>
        <w:ind w:firstLine="640"/>
        <w:jc w:val="both"/>
        <w:outlineLvl w:val="2"/>
      </w:pPr>
      <w:r>
        <w:rPr>
          <w:rFonts w:ascii="黑体" w:hAnsi="黑体" w:eastAsia="黑体"/>
          <w:sz w:val="32"/>
        </w:rPr>
        <w:t>六、一般公共预算财政拨款基本支出决算情况说明</w:t>
      </w:r>
    </w:p>
    <w:p w14:paraId="1AB8F827">
      <w:pPr>
        <w:spacing w:line="580" w:lineRule="exact"/>
        <w:ind w:firstLine="640"/>
        <w:jc w:val="both"/>
      </w:pPr>
      <w:r>
        <w:rPr>
          <w:rFonts w:ascii="仿宋_GB2312" w:hAnsi="仿宋_GB2312" w:eastAsia="仿宋_GB2312"/>
          <w:b w:val="0"/>
          <w:sz w:val="32"/>
        </w:rPr>
        <w:t>2024年度一般公共预算财政拨款基本支出364.26万元，其中：</w:t>
      </w:r>
      <w:r>
        <w:rPr>
          <w:rFonts w:ascii="仿宋_GB2312" w:hAnsi="仿宋_GB2312" w:eastAsia="仿宋_GB2312"/>
          <w:b/>
          <w:sz w:val="32"/>
        </w:rPr>
        <w:t>人员经费348.35万元，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2A482612">
      <w:pPr>
        <w:spacing w:line="580" w:lineRule="exact"/>
        <w:ind w:firstLine="640"/>
        <w:jc w:val="both"/>
      </w:pPr>
      <w:r>
        <w:rPr>
          <w:rFonts w:ascii="仿宋_GB2312" w:hAnsi="仿宋_GB2312" w:eastAsia="仿宋_GB2312"/>
          <w:b/>
          <w:sz w:val="32"/>
        </w:rPr>
        <w:t>公用经费15.91万元，</w:t>
      </w:r>
      <w:r>
        <w:rPr>
          <w:rFonts w:ascii="仿宋_GB2312" w:hAnsi="仿宋_GB2312" w:eastAsia="仿宋_GB2312"/>
          <w:b w:val="0"/>
          <w:sz w:val="32"/>
        </w:rPr>
        <w:t>包括：办公费、水费、电费、邮电费、差旅费、维修（护）费、专用材料费、工会经费、公务用车运行维护费、其他交通费用、其他商品和服务支出。</w:t>
      </w:r>
    </w:p>
    <w:p w14:paraId="0F9A4604">
      <w:pPr>
        <w:spacing w:line="640" w:lineRule="exact"/>
        <w:ind w:firstLine="640"/>
        <w:jc w:val="both"/>
        <w:outlineLvl w:val="2"/>
      </w:pPr>
      <w:r>
        <w:rPr>
          <w:rFonts w:ascii="黑体" w:hAnsi="黑体" w:eastAsia="黑体"/>
          <w:sz w:val="32"/>
        </w:rPr>
        <w:t>七、政府性基金预算财政拨款收入支出决算情况说明</w:t>
      </w:r>
    </w:p>
    <w:p w14:paraId="7EF242C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B99D070">
      <w:pPr>
        <w:spacing w:line="640" w:lineRule="exact"/>
        <w:ind w:firstLine="640"/>
        <w:jc w:val="both"/>
        <w:outlineLvl w:val="2"/>
      </w:pPr>
      <w:r>
        <w:rPr>
          <w:rFonts w:ascii="黑体" w:hAnsi="黑体" w:eastAsia="黑体"/>
          <w:sz w:val="32"/>
        </w:rPr>
        <w:t>八、国有资本经营预算财政拨款收入支出决算情况说明</w:t>
      </w:r>
    </w:p>
    <w:p w14:paraId="2B39765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EB27BEC">
      <w:pPr>
        <w:spacing w:line="640" w:lineRule="exact"/>
        <w:ind w:firstLine="640"/>
        <w:jc w:val="both"/>
        <w:outlineLvl w:val="2"/>
      </w:pPr>
      <w:r>
        <w:rPr>
          <w:rFonts w:ascii="黑体" w:hAnsi="黑体" w:eastAsia="黑体"/>
          <w:sz w:val="32"/>
        </w:rPr>
        <w:t>九、财政拨款“三公”经费支出决算情况说明</w:t>
      </w:r>
    </w:p>
    <w:p w14:paraId="373FD51A">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0.04万元，增长1.94%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2.10万元，占100.00%，比上年增加0.04万元，增长1.94%，主要原因是：本年因业务需求，用车次数增加，燃油费增加，导致公务用车运行维护费较上年增加。公务接待费支出0.00万元，占0.00%，比上年增加0.00万元，增长0.00%，主要原因是：2023年与2024年均未安排公务接待费支出。</w:t>
      </w:r>
    </w:p>
    <w:p w14:paraId="2D4567E9">
      <w:pPr>
        <w:spacing w:line="580" w:lineRule="exact"/>
        <w:ind w:firstLine="640"/>
        <w:jc w:val="both"/>
      </w:pPr>
      <w:r>
        <w:rPr>
          <w:rFonts w:ascii="仿宋_GB2312" w:hAnsi="仿宋_GB2312" w:eastAsia="仿宋_GB2312"/>
          <w:b/>
          <w:sz w:val="32"/>
        </w:rPr>
        <w:t>具体情况如下：</w:t>
      </w:r>
    </w:p>
    <w:p w14:paraId="01F74DE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EE117E8">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1DD1FC1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5E584E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2.10万元，决算数2.10万元，预决算差异率0.00%，主要原因是：严格按照预算执行，预决算无差异。公务接待费全年预算数0.00万元，决算数0.00万元，预决算差异率0.00%，主要原因是：本部门无公务接待费。</w:t>
      </w:r>
    </w:p>
    <w:p w14:paraId="61DE0284">
      <w:pPr>
        <w:spacing w:line="640" w:lineRule="exact"/>
        <w:ind w:firstLine="640"/>
        <w:jc w:val="both"/>
        <w:outlineLvl w:val="2"/>
      </w:pPr>
      <w:r>
        <w:rPr>
          <w:rFonts w:ascii="黑体" w:hAnsi="黑体" w:eastAsia="黑体"/>
          <w:sz w:val="32"/>
        </w:rPr>
        <w:t>十、其他重要事项的情况说明</w:t>
      </w:r>
    </w:p>
    <w:p w14:paraId="4200B7A2">
      <w:pPr>
        <w:spacing w:line="640" w:lineRule="exact"/>
        <w:ind w:firstLine="640"/>
        <w:jc w:val="both"/>
        <w:outlineLvl w:val="3"/>
      </w:pPr>
      <w:r>
        <w:rPr>
          <w:rFonts w:ascii="楷体_GB2312" w:hAnsi="楷体_GB2312" w:eastAsia="楷体_GB2312"/>
          <w:b/>
          <w:sz w:val="32"/>
        </w:rPr>
        <w:t>（一）机关运行经费及公用经费支出情况</w:t>
      </w:r>
    </w:p>
    <w:p w14:paraId="2FC3D7D1">
      <w:pPr>
        <w:spacing w:line="580" w:lineRule="exact"/>
        <w:ind w:firstLine="640"/>
        <w:jc w:val="both"/>
      </w:pPr>
      <w:r>
        <w:rPr>
          <w:rFonts w:ascii="仿宋_GB2312" w:hAnsi="仿宋_GB2312" w:eastAsia="仿宋_GB2312"/>
          <w:b w:val="0"/>
          <w:sz w:val="32"/>
        </w:rPr>
        <w:t>2024年度新疆维吾尔自治区喀什地区退役军人事务局（行政单位和参照公务员法管理事业单位）机关运行经费支出15.91万元，比上年增加0.46万元，增长2.98%，主要原因是：本年在职人员增加，办公费用增加。</w:t>
      </w:r>
    </w:p>
    <w:p w14:paraId="5139D09C">
      <w:pPr>
        <w:spacing w:line="640" w:lineRule="exact"/>
        <w:ind w:firstLine="640"/>
        <w:jc w:val="both"/>
        <w:outlineLvl w:val="3"/>
      </w:pPr>
      <w:r>
        <w:rPr>
          <w:rFonts w:ascii="楷体_GB2312" w:hAnsi="楷体_GB2312" w:eastAsia="楷体_GB2312"/>
          <w:b/>
          <w:sz w:val="32"/>
        </w:rPr>
        <w:t>（二）政府采购情况</w:t>
      </w:r>
    </w:p>
    <w:p w14:paraId="066891BF">
      <w:pPr>
        <w:spacing w:line="580" w:lineRule="exact"/>
        <w:ind w:firstLine="640"/>
        <w:jc w:val="both"/>
      </w:pPr>
      <w:r>
        <w:rPr>
          <w:rFonts w:ascii="仿宋_GB2312" w:hAnsi="仿宋_GB2312" w:eastAsia="仿宋_GB2312"/>
          <w:b w:val="0"/>
          <w:sz w:val="32"/>
        </w:rPr>
        <w:t>2024年度政府采购支出总额23.80万元，其中：政府采购货物支出14.57万元、政府采购工程支出4.00万元、政府采购服务支出5.23万元。</w:t>
      </w:r>
    </w:p>
    <w:p w14:paraId="5567C0E7">
      <w:pPr>
        <w:spacing w:line="580" w:lineRule="exact"/>
        <w:ind w:firstLine="640"/>
        <w:jc w:val="both"/>
      </w:pPr>
      <w:r>
        <w:rPr>
          <w:rFonts w:ascii="仿宋_GB2312" w:hAnsi="仿宋_GB2312" w:eastAsia="仿宋_GB2312"/>
          <w:b w:val="0"/>
          <w:sz w:val="32"/>
        </w:rPr>
        <w:t>授予中小企业合同金额23.80万元，占政府采购支出总额的100.00%，其中：授予小微企业合同金额23.80万元，占政府采购支出总额的100.00%。</w:t>
      </w:r>
    </w:p>
    <w:p w14:paraId="3743F12B">
      <w:pPr>
        <w:spacing w:line="640" w:lineRule="exact"/>
        <w:ind w:firstLine="640"/>
        <w:jc w:val="both"/>
        <w:outlineLvl w:val="3"/>
      </w:pPr>
      <w:r>
        <w:rPr>
          <w:rFonts w:ascii="楷体_GB2312" w:hAnsi="楷体_GB2312" w:eastAsia="楷体_GB2312"/>
          <w:b/>
          <w:sz w:val="32"/>
        </w:rPr>
        <w:t>（三）国有资产占用情况说明</w:t>
      </w:r>
    </w:p>
    <w:p w14:paraId="0598D28B">
      <w:pPr>
        <w:spacing w:line="580" w:lineRule="exact"/>
        <w:ind w:firstLine="640"/>
        <w:jc w:val="both"/>
      </w:pPr>
      <w:r>
        <w:rPr>
          <w:rFonts w:ascii="仿宋_GB2312" w:hAnsi="仿宋_GB2312" w:eastAsia="仿宋_GB2312"/>
          <w:b w:val="0"/>
          <w:sz w:val="32"/>
        </w:rPr>
        <w:t>截至2024年12月31日，房屋0.00平方米，价值0.00万元。车辆1辆，价值14.98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498C8D1">
      <w:pPr>
        <w:spacing w:line="640" w:lineRule="exact"/>
        <w:ind w:firstLine="640"/>
        <w:jc w:val="both"/>
        <w:outlineLvl w:val="2"/>
      </w:pPr>
      <w:r>
        <w:rPr>
          <w:rFonts w:ascii="黑体" w:hAnsi="黑体" w:eastAsia="黑体"/>
          <w:sz w:val="32"/>
        </w:rPr>
        <w:t>十一、预算绩效的情况说明</w:t>
      </w:r>
    </w:p>
    <w:p w14:paraId="4C5E5E2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根据预算绩效管理要求，本部门2024年度预算绩效管理形成整体支出绩效自评表1个，全年预算总额469.24万元，实际执行总额457.96万元；预算绩效评价项目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w:t>
      </w:r>
      <w:r>
        <w:rPr>
          <w:rFonts w:hint="eastAsia" w:ascii="仿宋_GB2312" w:hAnsi="仿宋_GB2312" w:eastAsia="仿宋_GB2312"/>
          <w:b w:val="0"/>
          <w:sz w:val="32"/>
        </w:rPr>
        <w:t>97.09</w:t>
      </w:r>
      <w:r>
        <w:rPr>
          <w:rFonts w:ascii="仿宋_GB2312" w:hAnsi="仿宋_GB2312" w:eastAsia="仿宋_GB2312"/>
          <w:b w:val="0"/>
          <w:sz w:val="32"/>
        </w:rPr>
        <w:t>万元，全年执行数</w:t>
      </w:r>
      <w:r>
        <w:rPr>
          <w:rFonts w:hint="eastAsia" w:ascii="仿宋_GB2312" w:hAnsi="仿宋_GB2312" w:eastAsia="仿宋_GB2312"/>
          <w:b w:val="0"/>
          <w:sz w:val="32"/>
        </w:rPr>
        <w:t>95.7</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万元。预算绩效管理取得的成效：从源头加强了预算绩效管理，提高绩效管理的科学性、规范性和有效性，做细做好做实“事前绩效评估、事中绩效监督、事后绩效评价”三项工作，采取三项</w:t>
      </w:r>
      <w:r>
        <w:rPr>
          <w:rFonts w:hint="eastAsia" w:ascii="仿宋_GB2312" w:hAnsi="仿宋_GB2312" w:eastAsia="仿宋_GB2312"/>
          <w:b w:val="0"/>
          <w:sz w:val="32"/>
          <w:lang w:eastAsia="zh-CN"/>
        </w:rPr>
        <w:t>举措</w:t>
      </w:r>
      <w:r>
        <w:rPr>
          <w:rFonts w:ascii="仿宋_GB2312" w:hAnsi="仿宋_GB2312" w:eastAsia="仿宋_GB2312"/>
          <w:b w:val="0"/>
          <w:sz w:val="32"/>
        </w:rPr>
        <w:t>把源头管理、绩效监督、反馈整改、结果运用作为推动绩效管理工作新成效。发现的问题及原因：一是绩效目标设置质量待进一步提高。二是绩效评价结果运用不好。下一步改进措施：一是提高项目绩效目标设置质量，严格落实审核流程，科学、合理、全面设置核心指标，去除无用指标，将预算指标设置与实际执行内容、部门经济分类科目相衔接。二是做“真”绩效评价，做“深”重点评价，做“好”结果应用，树牢“过紧日子”思想，进一步抓好各项绩效管理工作，充分发挥财政资金效益，确保资金精准高效使用。具体附部门整体支出绩效自评表，项目支出绩效自评表。</w:t>
      </w:r>
    </w:p>
    <w:p w14:paraId="62BC00B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50FB8A">
        <w:tblPrEx>
          <w:tblCellMar>
            <w:top w:w="0" w:type="dxa"/>
            <w:left w:w="108" w:type="dxa"/>
            <w:bottom w:w="0" w:type="dxa"/>
            <w:right w:w="108" w:type="dxa"/>
          </w:tblCellMar>
        </w:tblPrEx>
        <w:tc>
          <w:tcPr>
            <w:tcW w:w="8847" w:type="dxa"/>
            <w:gridSpan w:val="9"/>
            <w:vAlign w:val="center"/>
          </w:tcPr>
          <w:p w14:paraId="443FA034">
            <w:pPr>
              <w:jc w:val="center"/>
            </w:pPr>
            <w:r>
              <w:rPr>
                <w:rFonts w:ascii="宋体" w:hAnsi="宋体" w:eastAsia="宋体"/>
                <w:sz w:val="24"/>
              </w:rPr>
              <w:t>部门整体支出绩效自评表</w:t>
            </w:r>
          </w:p>
        </w:tc>
      </w:tr>
      <w:tr w14:paraId="0954BEDD">
        <w:tblPrEx>
          <w:tblCellMar>
            <w:top w:w="0" w:type="dxa"/>
            <w:left w:w="108" w:type="dxa"/>
            <w:bottom w:w="0" w:type="dxa"/>
            <w:right w:w="108" w:type="dxa"/>
          </w:tblCellMar>
        </w:tblPrEx>
        <w:tc>
          <w:tcPr>
            <w:tcW w:w="8847" w:type="dxa"/>
            <w:gridSpan w:val="9"/>
            <w:vAlign w:val="center"/>
          </w:tcPr>
          <w:p w14:paraId="5C59A684">
            <w:pPr>
              <w:jc w:val="center"/>
            </w:pPr>
            <w:r>
              <w:rPr>
                <w:rFonts w:ascii="宋体" w:hAnsi="宋体" w:eastAsia="宋体"/>
                <w:sz w:val="24"/>
              </w:rPr>
              <w:t>（2024年度）</w:t>
            </w:r>
          </w:p>
        </w:tc>
      </w:tr>
      <w:tr w14:paraId="2984EB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0C5A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FFE675">
            <w:pPr>
              <w:jc w:val="center"/>
            </w:pPr>
            <w:r>
              <w:rPr>
                <w:rFonts w:ascii="宋体" w:hAnsi="宋体" w:eastAsia="宋体"/>
                <w:sz w:val="16"/>
              </w:rPr>
              <w:t>新疆维吾尔自治区喀什地区退役军人事务局</w:t>
            </w:r>
          </w:p>
        </w:tc>
      </w:tr>
      <w:tr w14:paraId="4634F8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47DD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109A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433D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2349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D116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3357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6FFF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B025">
            <w:pPr>
              <w:jc w:val="center"/>
            </w:pPr>
            <w:r>
              <w:rPr>
                <w:rFonts w:ascii="宋体" w:hAnsi="宋体" w:eastAsia="宋体"/>
                <w:sz w:val="16"/>
              </w:rPr>
              <w:t>得分</w:t>
            </w:r>
          </w:p>
        </w:tc>
      </w:tr>
      <w:tr w14:paraId="568A6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F0B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DA2C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9631A">
            <w:pPr>
              <w:jc w:val="center"/>
            </w:pPr>
            <w:r>
              <w:rPr>
                <w:rFonts w:ascii="宋体" w:hAnsi="宋体" w:eastAsia="宋体"/>
                <w:sz w:val="16"/>
              </w:rPr>
              <w:t>423.44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6BC7F">
            <w:pPr>
              <w:jc w:val="center"/>
            </w:pPr>
            <w:r>
              <w:rPr>
                <w:rFonts w:ascii="宋体" w:hAnsi="宋体" w:eastAsia="宋体"/>
                <w:sz w:val="16"/>
              </w:rPr>
              <w:t>469.24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927E8">
            <w:pPr>
              <w:jc w:val="center"/>
            </w:pPr>
            <w:r>
              <w:rPr>
                <w:rFonts w:ascii="宋体" w:hAnsi="宋体" w:eastAsia="宋体"/>
                <w:sz w:val="16"/>
              </w:rPr>
              <w:t>457.96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03B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56D1F">
            <w:pPr>
              <w:jc w:val="center"/>
            </w:pPr>
            <w:r>
              <w:rPr>
                <w:rFonts w:ascii="宋体" w:hAnsi="宋体" w:eastAsia="宋体"/>
                <w:sz w:val="16"/>
              </w:rPr>
              <w:t>97.60%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64A8C">
            <w:pPr>
              <w:jc w:val="center"/>
            </w:pPr>
            <w:r>
              <w:rPr>
                <w:rFonts w:ascii="宋体" w:hAnsi="宋体" w:eastAsia="宋体"/>
                <w:sz w:val="16"/>
              </w:rPr>
              <w:t>9.76</w:t>
            </w:r>
          </w:p>
        </w:tc>
      </w:tr>
      <w:tr w14:paraId="7D6EAA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BEA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2E93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99781">
            <w:pPr>
              <w:jc w:val="center"/>
            </w:pPr>
            <w:r>
              <w:rPr>
                <w:rFonts w:ascii="宋体" w:hAnsi="宋体" w:eastAsia="宋体"/>
                <w:sz w:val="16"/>
              </w:rPr>
              <w:t>32.20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30F1A">
            <w:pPr>
              <w:jc w:val="center"/>
            </w:pPr>
            <w:r>
              <w:rPr>
                <w:rFonts w:ascii="宋体" w:hAnsi="宋体" w:eastAsia="宋体"/>
                <w:sz w:val="16"/>
              </w:rPr>
              <w:t>43.00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E4D5F">
            <w:pPr>
              <w:jc w:val="center"/>
            </w:pPr>
            <w:r>
              <w:rPr>
                <w:rFonts w:ascii="宋体" w:hAnsi="宋体" w:eastAsia="宋体"/>
                <w:sz w:val="16"/>
              </w:rPr>
              <w:t>44.20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22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6884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6EBC">
            <w:pPr>
              <w:jc w:val="center"/>
            </w:pPr>
            <w:r>
              <w:rPr>
                <w:rFonts w:ascii="宋体" w:hAnsi="宋体" w:eastAsia="宋体"/>
                <w:sz w:val="16"/>
              </w:rPr>
              <w:t>—</w:t>
            </w:r>
          </w:p>
        </w:tc>
      </w:tr>
      <w:tr w14:paraId="4297EC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DCE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E5F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CFB30">
            <w:pPr>
              <w:jc w:val="center"/>
            </w:pPr>
            <w:r>
              <w:rPr>
                <w:rFonts w:ascii="宋体" w:hAnsi="宋体" w:eastAsia="宋体"/>
                <w:sz w:val="16"/>
              </w:rPr>
              <w:t>391.24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EB2B8">
            <w:pPr>
              <w:jc w:val="center"/>
            </w:pPr>
            <w:r>
              <w:rPr>
                <w:rFonts w:ascii="宋体" w:hAnsi="宋体" w:eastAsia="宋体"/>
                <w:sz w:val="16"/>
              </w:rPr>
              <w:t>406.24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FBAC1">
            <w:pPr>
              <w:jc w:val="center"/>
            </w:pPr>
            <w:r>
              <w:rPr>
                <w:rFonts w:ascii="宋体" w:hAnsi="宋体" w:eastAsia="宋体"/>
                <w:sz w:val="16"/>
              </w:rPr>
              <w:t>393.76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0B3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CA7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36589">
            <w:pPr>
              <w:jc w:val="center"/>
            </w:pPr>
            <w:r>
              <w:rPr>
                <w:rFonts w:ascii="宋体" w:hAnsi="宋体" w:eastAsia="宋体"/>
                <w:sz w:val="16"/>
              </w:rPr>
              <w:t>—</w:t>
            </w:r>
          </w:p>
        </w:tc>
      </w:tr>
      <w:tr w14:paraId="5F1078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93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C61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4E0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3BA71">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42CEF">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69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E8C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F56F">
            <w:pPr>
              <w:jc w:val="center"/>
            </w:pPr>
            <w:r>
              <w:rPr>
                <w:rFonts w:ascii="宋体" w:hAnsi="宋体" w:eastAsia="宋体"/>
                <w:sz w:val="16"/>
              </w:rPr>
              <w:t>—</w:t>
            </w:r>
          </w:p>
        </w:tc>
      </w:tr>
      <w:tr w14:paraId="43C92F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D50A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59176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E37737">
            <w:pPr>
              <w:jc w:val="center"/>
            </w:pPr>
            <w:r>
              <w:rPr>
                <w:rFonts w:ascii="宋体" w:hAnsi="宋体" w:eastAsia="宋体"/>
                <w:sz w:val="16"/>
              </w:rPr>
              <w:t>实际完成情况</w:t>
            </w:r>
          </w:p>
        </w:tc>
      </w:tr>
      <w:tr w14:paraId="1A8BEB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2F20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D08798">
            <w:pPr>
              <w:jc w:val="both"/>
            </w:pPr>
            <w:r>
              <w:rPr>
                <w:rFonts w:hint="eastAsia" w:ascii="宋体" w:hAnsi="宋体"/>
                <w:sz w:val="16"/>
                <w:lang w:eastAsia="zh-CN"/>
              </w:rPr>
              <w:t>坚持以习近平新时代中国特色社会</w:t>
            </w:r>
            <w:r>
              <w:rPr>
                <w:rFonts w:ascii="宋体" w:hAnsi="宋体" w:eastAsia="宋体"/>
                <w:sz w:val="16"/>
              </w:rPr>
              <w:t>主义思想为指导，全面贯彻党的二十大和</w:t>
            </w:r>
            <w:r>
              <w:rPr>
                <w:rFonts w:hint="eastAsia" w:ascii="宋体" w:hAnsi="宋体"/>
                <w:sz w:val="16"/>
                <w:lang w:eastAsia="zh-CN"/>
              </w:rPr>
              <w:t>党的二十届二中全会精神</w:t>
            </w:r>
            <w:r>
              <w:rPr>
                <w:rFonts w:ascii="宋体" w:hAnsi="宋体" w:eastAsia="宋体"/>
                <w:sz w:val="16"/>
              </w:rPr>
              <w:t>、贯彻落实</w:t>
            </w:r>
            <w:r>
              <w:rPr>
                <w:rFonts w:hint="eastAsia" w:ascii="宋体" w:hAnsi="宋体"/>
                <w:sz w:val="16"/>
                <w:lang w:eastAsia="zh-CN"/>
              </w:rPr>
              <w:t>习近平总书记关于退役军人工作的重要论述</w:t>
            </w:r>
            <w:r>
              <w:rPr>
                <w:rFonts w:ascii="宋体" w:hAnsi="宋体" w:eastAsia="宋体"/>
                <w:sz w:val="16"/>
              </w:rPr>
              <w:t>，认真学习贯彻习近平总书记关于新疆工</w:t>
            </w:r>
            <w:r>
              <w:rPr>
                <w:rFonts w:hint="eastAsia" w:ascii="宋体" w:hAnsi="宋体"/>
                <w:sz w:val="16"/>
                <w:lang w:eastAsia="zh-CN"/>
              </w:rPr>
              <w:t>作的</w:t>
            </w:r>
            <w:r>
              <w:rPr>
                <w:rFonts w:ascii="宋体" w:hAnsi="宋体" w:eastAsia="宋体"/>
                <w:sz w:val="16"/>
              </w:rPr>
              <w:t>重要讲话和重要指示批示精神，完整准确全面贯彻新时代党的治疆方略，对标对表自治区党委十届十次全会、地委扩大会议和全国退役军人事务厅（局）长会议、自治区退役军人事务工作会议部署要求，聚焦高质量发展首要任务，坚持稳字当头、稳中求进，真抓实干、锐意进取，更好发挥党的全面领导政治优势、更好凝聚团结奋进力量、更好助力改革强军事业、</w:t>
            </w:r>
            <w:r>
              <w:rPr>
                <w:rFonts w:hint="eastAsia" w:ascii="宋体" w:hAnsi="宋体"/>
                <w:sz w:val="16"/>
                <w:lang w:eastAsia="zh-CN"/>
              </w:rPr>
              <w:t>更好地服务</w:t>
            </w:r>
            <w:r>
              <w:rPr>
                <w:rFonts w:ascii="宋体" w:hAnsi="宋体" w:eastAsia="宋体"/>
                <w:sz w:val="16"/>
              </w:rPr>
              <w:t>经济社会发展、更好满足退役军人</w:t>
            </w:r>
            <w:r>
              <w:rPr>
                <w:rFonts w:hint="eastAsia" w:ascii="宋体" w:hAnsi="宋体"/>
                <w:sz w:val="16"/>
                <w:lang w:eastAsia="zh-CN"/>
              </w:rPr>
              <w:t>美好生活需要</w:t>
            </w:r>
            <w:r>
              <w:rPr>
                <w:rFonts w:ascii="宋体" w:hAnsi="宋体" w:eastAsia="宋体"/>
                <w:sz w:val="16"/>
              </w:rPr>
              <w:t>、更好维护社会大局</w:t>
            </w:r>
            <w:r>
              <w:rPr>
                <w:rFonts w:hint="eastAsia" w:ascii="宋体" w:hAnsi="宋体"/>
                <w:sz w:val="16"/>
                <w:lang w:eastAsia="zh-CN"/>
              </w:rPr>
              <w:t>安定</w:t>
            </w:r>
            <w:r>
              <w:rPr>
                <w:rFonts w:ascii="宋体" w:hAnsi="宋体" w:eastAsia="宋体"/>
                <w:sz w:val="16"/>
              </w:rPr>
              <w:t>、更好健全退役军人事务治理体系，推动喀什地区退役军人事务工作取得新进展、新成效，展现新气象、新作为。主要内容：一是严格执行全年基本支出预算，保障部门正常运转。二是严格执行项目资金预算支出，充分履行喀什地区退役军人事务局部门职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16CBF">
            <w:pPr>
              <w:jc w:val="both"/>
            </w:pPr>
            <w:r>
              <w:rPr>
                <w:rFonts w:ascii="宋体" w:hAnsi="宋体" w:eastAsia="宋体"/>
                <w:sz w:val="16"/>
              </w:rPr>
              <w:t>提升服务管理保障水平，推进退役军人工作高质量取得新成效、实现新跨越，较好</w:t>
            </w:r>
            <w:r>
              <w:rPr>
                <w:rFonts w:hint="eastAsia" w:ascii="宋体" w:hAnsi="宋体"/>
                <w:sz w:val="16"/>
                <w:lang w:eastAsia="zh-CN"/>
              </w:rPr>
              <w:t>地</w:t>
            </w:r>
            <w:r>
              <w:rPr>
                <w:rFonts w:ascii="宋体" w:hAnsi="宋体" w:eastAsia="宋体"/>
                <w:sz w:val="16"/>
              </w:rPr>
              <w:t>完成了退役安置补助经费项目、保障退役军人事务权益项目、双拥共建及为立功受奖现役军人</w:t>
            </w:r>
            <w:r>
              <w:rPr>
                <w:rFonts w:hint="eastAsia" w:ascii="宋体" w:hAnsi="宋体"/>
                <w:sz w:val="16"/>
                <w:lang w:eastAsia="zh-CN"/>
              </w:rPr>
              <w:t>家庭</w:t>
            </w:r>
            <w:r>
              <w:rPr>
                <w:rFonts w:ascii="宋体" w:hAnsi="宋体" w:eastAsia="宋体"/>
                <w:sz w:val="16"/>
              </w:rPr>
              <w:t>送喜报工作项目、法务工作项目，保障了军休机构的正常运转，</w:t>
            </w:r>
            <w:r>
              <w:rPr>
                <w:rFonts w:hint="eastAsia" w:ascii="宋体" w:hAnsi="宋体"/>
                <w:sz w:val="16"/>
                <w:lang w:val="en-US" w:eastAsia="zh-CN"/>
              </w:rPr>
              <w:t>解决</w:t>
            </w:r>
            <w:r>
              <w:rPr>
                <w:rFonts w:ascii="宋体" w:hAnsi="宋体" w:eastAsia="宋体"/>
                <w:sz w:val="16"/>
              </w:rPr>
              <w:t>了信访矛盾，圆满完成军队转业干部、</w:t>
            </w:r>
            <w:r>
              <w:rPr>
                <w:rFonts w:hint="eastAsia" w:ascii="宋体" w:hAnsi="宋体"/>
                <w:sz w:val="16"/>
                <w:lang w:eastAsia="zh-CN"/>
              </w:rPr>
              <w:t>复员</w:t>
            </w:r>
            <w:r>
              <w:rPr>
                <w:rFonts w:ascii="宋体" w:hAnsi="宋体" w:eastAsia="宋体"/>
                <w:sz w:val="16"/>
              </w:rPr>
              <w:t>干部、离休退休干部（士官）的审核接收工作，优抚对象各项待遇得到落实，为5名符合条件的退役士兵完成社保、医保接续，维护退役士兵的合法权益，召开28场次专场</w:t>
            </w:r>
            <w:r>
              <w:rPr>
                <w:rFonts w:hint="eastAsia" w:ascii="宋体" w:hAnsi="宋体"/>
                <w:sz w:val="16"/>
                <w:lang w:eastAsia="zh-CN"/>
              </w:rPr>
              <w:t>聘请</w:t>
            </w:r>
            <w:r>
              <w:rPr>
                <w:rFonts w:ascii="宋体" w:hAnsi="宋体" w:eastAsia="宋体"/>
                <w:sz w:val="16"/>
              </w:rPr>
              <w:t>会为退役军人就业提供岗位，就业创业培训指导覆盖率达100%。</w:t>
            </w:r>
          </w:p>
        </w:tc>
      </w:tr>
      <w:tr w14:paraId="29B8B2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BBFF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869E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4C28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B4C9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D691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9EF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62EA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6EA3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7F84B">
            <w:pPr>
              <w:jc w:val="center"/>
            </w:pPr>
            <w:r>
              <w:rPr>
                <w:rFonts w:ascii="宋体" w:hAnsi="宋体" w:eastAsia="宋体"/>
                <w:sz w:val="16"/>
              </w:rPr>
              <w:t>得分</w:t>
            </w:r>
          </w:p>
        </w:tc>
      </w:tr>
      <w:tr w14:paraId="3913C4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2CEB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2E7B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D6D09">
            <w:pPr>
              <w:jc w:val="center"/>
            </w:pPr>
            <w:r>
              <w:rPr>
                <w:rFonts w:ascii="宋体" w:hAnsi="宋体" w:eastAsia="宋体"/>
                <w:sz w:val="16"/>
              </w:rPr>
              <w:t>退役军人安置计划落实率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D34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8E04E">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CDB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3B5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513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1FB0D">
            <w:pPr>
              <w:jc w:val="center"/>
            </w:pPr>
            <w:r>
              <w:rPr>
                <w:rFonts w:ascii="宋体" w:hAnsi="宋体" w:eastAsia="宋体"/>
                <w:sz w:val="16"/>
              </w:rPr>
              <w:t>20</w:t>
            </w:r>
          </w:p>
        </w:tc>
      </w:tr>
      <w:tr w14:paraId="2188B2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45F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BB7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AC3DD">
            <w:pPr>
              <w:jc w:val="center"/>
            </w:pPr>
            <w:r>
              <w:rPr>
                <w:rFonts w:ascii="宋体" w:hAnsi="宋体" w:eastAsia="宋体"/>
                <w:sz w:val="16"/>
              </w:rPr>
              <w:t>优抚对象抚恤补助足额兑现率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D8C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1284E">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7A09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CAC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B32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ED5BA">
            <w:pPr>
              <w:jc w:val="center"/>
            </w:pPr>
            <w:r>
              <w:rPr>
                <w:rFonts w:ascii="宋体" w:hAnsi="宋体" w:eastAsia="宋体"/>
                <w:sz w:val="16"/>
              </w:rPr>
              <w:t>20</w:t>
            </w:r>
          </w:p>
        </w:tc>
      </w:tr>
      <w:tr w14:paraId="31391D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6AB1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296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1B969">
            <w:pPr>
              <w:jc w:val="center"/>
            </w:pPr>
            <w:r>
              <w:rPr>
                <w:rFonts w:ascii="宋体" w:hAnsi="宋体" w:eastAsia="宋体"/>
                <w:sz w:val="16"/>
              </w:rPr>
              <w:t>军队离退休人员医疗保障覆盖率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0F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0EB59">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5B4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A0D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7D7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2AEE7">
            <w:pPr>
              <w:jc w:val="center"/>
            </w:pPr>
            <w:r>
              <w:rPr>
                <w:rFonts w:ascii="宋体" w:hAnsi="宋体" w:eastAsia="宋体"/>
                <w:sz w:val="16"/>
              </w:rPr>
              <w:t>20</w:t>
            </w:r>
          </w:p>
        </w:tc>
      </w:tr>
      <w:tr w14:paraId="27DD27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356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0D0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D1D71">
            <w:pPr>
              <w:jc w:val="center"/>
            </w:pPr>
            <w:r>
              <w:rPr>
                <w:rFonts w:ascii="宋体" w:hAnsi="宋体" w:eastAsia="宋体"/>
                <w:sz w:val="16"/>
              </w:rPr>
              <w:t>退役军人建档立卡覆盖率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387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E9D54">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D11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7F8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EBD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E4EC6">
            <w:pPr>
              <w:jc w:val="center"/>
            </w:pPr>
            <w:r>
              <w:rPr>
                <w:rFonts w:ascii="宋体" w:hAnsi="宋体" w:eastAsia="宋体"/>
                <w:sz w:val="16"/>
              </w:rPr>
              <w:t>20</w:t>
            </w:r>
          </w:p>
        </w:tc>
      </w:tr>
      <w:tr w14:paraId="17DAF9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018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C4B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3B645">
            <w:pPr>
              <w:jc w:val="center"/>
            </w:pPr>
            <w:r>
              <w:rPr>
                <w:rFonts w:ascii="宋体" w:hAnsi="宋体" w:eastAsia="宋体"/>
                <w:sz w:val="16"/>
              </w:rPr>
              <w:t>就业创业培训指导覆盖率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D00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1B410">
            <w:pPr>
              <w:jc w:val="center"/>
            </w:pPr>
            <w:r>
              <w:rPr>
                <w:rFonts w:ascii="宋体" w:hAnsi="宋体" w:eastAsia="宋体"/>
                <w:sz w:val="16"/>
              </w:rPr>
              <w:t>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CFF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EF7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87B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B7E80">
            <w:pPr>
              <w:jc w:val="center"/>
            </w:pPr>
            <w:r>
              <w:rPr>
                <w:rFonts w:ascii="宋体" w:hAnsi="宋体" w:eastAsia="宋体"/>
                <w:sz w:val="16"/>
              </w:rPr>
              <w:t>10</w:t>
            </w:r>
          </w:p>
        </w:tc>
      </w:tr>
    </w:tbl>
    <w:p w14:paraId="499184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1DFF5A">
        <w:tblPrEx>
          <w:tblCellMar>
            <w:top w:w="0" w:type="dxa"/>
            <w:left w:w="108" w:type="dxa"/>
            <w:bottom w:w="0" w:type="dxa"/>
            <w:right w:w="108" w:type="dxa"/>
          </w:tblCellMar>
        </w:tblPrEx>
        <w:tc>
          <w:tcPr>
            <w:tcW w:w="8848" w:type="dxa"/>
            <w:gridSpan w:val="14"/>
            <w:vAlign w:val="center"/>
          </w:tcPr>
          <w:p w14:paraId="778B2559">
            <w:pPr>
              <w:jc w:val="center"/>
            </w:pPr>
            <w:r>
              <w:rPr>
                <w:rFonts w:ascii="宋体" w:hAnsi="宋体" w:eastAsia="宋体"/>
                <w:sz w:val="24"/>
              </w:rPr>
              <w:t>项目支出绩效自评表</w:t>
            </w:r>
          </w:p>
        </w:tc>
      </w:tr>
      <w:tr w14:paraId="7A7E6FD1">
        <w:tblPrEx>
          <w:tblCellMar>
            <w:top w:w="0" w:type="dxa"/>
            <w:left w:w="108" w:type="dxa"/>
            <w:bottom w:w="0" w:type="dxa"/>
            <w:right w:w="108" w:type="dxa"/>
          </w:tblCellMar>
        </w:tblPrEx>
        <w:tc>
          <w:tcPr>
            <w:tcW w:w="8848" w:type="dxa"/>
            <w:gridSpan w:val="14"/>
            <w:vAlign w:val="center"/>
          </w:tcPr>
          <w:p w14:paraId="4F1298BA">
            <w:pPr>
              <w:jc w:val="center"/>
            </w:pPr>
            <w:r>
              <w:rPr>
                <w:rFonts w:ascii="宋体" w:hAnsi="宋体" w:eastAsia="宋体"/>
                <w:sz w:val="24"/>
              </w:rPr>
              <w:t>(2024年度)</w:t>
            </w:r>
          </w:p>
        </w:tc>
      </w:tr>
      <w:tr w14:paraId="26599F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53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3BD57C">
            <w:pPr>
              <w:jc w:val="center"/>
            </w:pPr>
            <w:r>
              <w:rPr>
                <w:rFonts w:ascii="宋体" w:hAnsi="宋体" w:eastAsia="宋体"/>
                <w:sz w:val="16"/>
              </w:rPr>
              <w:t>聘请法律顾问项目</w:t>
            </w:r>
          </w:p>
        </w:tc>
      </w:tr>
      <w:tr w14:paraId="71B45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1C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EC8D8F">
            <w:pPr>
              <w:jc w:val="center"/>
            </w:pPr>
            <w:r>
              <w:rPr>
                <w:rFonts w:ascii="宋体" w:hAnsi="宋体" w:eastAsia="宋体"/>
                <w:sz w:val="16"/>
              </w:rPr>
              <w:t>新疆维吾尔自治区喀什地区退役军人事务局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6D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7D6F0">
            <w:pPr>
              <w:jc w:val="center"/>
            </w:pPr>
            <w:r>
              <w:rPr>
                <w:rFonts w:ascii="宋体" w:hAnsi="宋体" w:eastAsia="宋体"/>
                <w:sz w:val="16"/>
              </w:rPr>
              <w:t>新疆维吾尔自治区喀什地区退役军人事务局</w:t>
            </w:r>
          </w:p>
        </w:tc>
      </w:tr>
      <w:tr w14:paraId="2F249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CC9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56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BD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10F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6F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A66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725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902B">
            <w:pPr>
              <w:jc w:val="center"/>
            </w:pPr>
            <w:r>
              <w:rPr>
                <w:rFonts w:ascii="宋体" w:hAnsi="宋体" w:eastAsia="宋体"/>
                <w:sz w:val="16"/>
              </w:rPr>
              <w:t>得分</w:t>
            </w:r>
          </w:p>
        </w:tc>
      </w:tr>
      <w:tr w14:paraId="5E92F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223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25B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C7E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A8F7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2E5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81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7A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19A3">
            <w:pPr>
              <w:jc w:val="center"/>
            </w:pPr>
            <w:r>
              <w:rPr>
                <w:rFonts w:ascii="宋体" w:hAnsi="宋体" w:eastAsia="宋体"/>
                <w:sz w:val="16"/>
              </w:rPr>
              <w:t>10.00分</w:t>
            </w:r>
          </w:p>
        </w:tc>
      </w:tr>
      <w:tr w14:paraId="7BDE3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282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56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A438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CF6F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C7F0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28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E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92BD">
            <w:pPr>
              <w:jc w:val="center"/>
            </w:pPr>
            <w:r>
              <w:rPr>
                <w:rFonts w:ascii="宋体" w:hAnsi="宋体" w:eastAsia="宋体"/>
                <w:sz w:val="16"/>
              </w:rPr>
              <w:t>—</w:t>
            </w:r>
          </w:p>
        </w:tc>
      </w:tr>
      <w:tr w14:paraId="73439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732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78C1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F1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00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35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4AF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23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9090">
            <w:pPr>
              <w:jc w:val="center"/>
            </w:pPr>
            <w:r>
              <w:rPr>
                <w:rFonts w:ascii="宋体" w:hAnsi="宋体" w:eastAsia="宋体"/>
                <w:sz w:val="16"/>
              </w:rPr>
              <w:t>—</w:t>
            </w:r>
          </w:p>
        </w:tc>
      </w:tr>
      <w:tr w14:paraId="561FEBD8">
        <w:tblPrEx>
          <w:tblCellMar>
            <w:top w:w="0" w:type="dxa"/>
            <w:left w:w="108" w:type="dxa"/>
            <w:bottom w:w="0" w:type="dxa"/>
            <w:right w:w="108" w:type="dxa"/>
          </w:tblCellMar>
        </w:tblPrEx>
        <w:trPr>
          <w:trHeight w:val="273"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AA3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331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1763C">
            <w:pPr>
              <w:jc w:val="center"/>
            </w:pPr>
            <w:r>
              <w:rPr>
                <w:rFonts w:ascii="宋体" w:hAnsi="宋体" w:eastAsia="宋体"/>
                <w:sz w:val="16"/>
              </w:rPr>
              <w:t>实际完成情况</w:t>
            </w:r>
          </w:p>
        </w:tc>
      </w:tr>
      <w:tr w14:paraId="33370C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B8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6DAE5">
            <w:pPr>
              <w:jc w:val="both"/>
            </w:pPr>
            <w:r>
              <w:rPr>
                <w:rFonts w:ascii="宋体" w:hAnsi="宋体" w:eastAsia="宋体"/>
                <w:sz w:val="16"/>
              </w:rPr>
              <w:t>根据《关于加快公职律师工作的实施意见》《自治区关于推行法律顾问制度和公职律师制度的实施意见》（新依委办发</w:t>
            </w:r>
            <w:r>
              <w:rPr>
                <w:rFonts w:hint="eastAsia" w:ascii="宋体" w:hAnsi="宋体"/>
                <w:sz w:val="16"/>
                <w:lang w:eastAsia="zh-CN"/>
              </w:rPr>
              <w:t>〔2021〕11号</w:t>
            </w:r>
            <w:r>
              <w:rPr>
                <w:rFonts w:ascii="宋体" w:hAnsi="宋体" w:eastAsia="宋体"/>
                <w:sz w:val="16"/>
              </w:rPr>
              <w:t>）、印发《关于深化政府法律顾问工作的意见》的通知（新政办发</w:t>
            </w:r>
            <w:r>
              <w:rPr>
                <w:rFonts w:hint="eastAsia" w:ascii="宋体" w:hAnsi="宋体"/>
                <w:sz w:val="16"/>
                <w:lang w:eastAsia="zh-CN"/>
              </w:rPr>
              <w:t>〔2022〕72号</w:t>
            </w:r>
            <w:r>
              <w:rPr>
                <w:rFonts w:ascii="宋体" w:hAnsi="宋体" w:eastAsia="宋体"/>
                <w:sz w:val="16"/>
              </w:rPr>
              <w:t>）两个文件</w:t>
            </w:r>
            <w:r>
              <w:rPr>
                <w:rFonts w:hint="eastAsia" w:ascii="宋体" w:hAnsi="宋体"/>
                <w:sz w:val="16"/>
                <w:lang w:eastAsia="zh-CN"/>
              </w:rPr>
              <w:t>指示批示精神</w:t>
            </w:r>
            <w:r>
              <w:rPr>
                <w:rFonts w:ascii="宋体" w:hAnsi="宋体" w:eastAsia="宋体"/>
                <w:sz w:val="16"/>
              </w:rPr>
              <w:t>，聘请一名法律顾问。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4F4AC9">
            <w:pPr>
              <w:jc w:val="both"/>
            </w:pPr>
            <w:r>
              <w:rPr>
                <w:rFonts w:ascii="宋体" w:hAnsi="宋体" w:eastAsia="宋体"/>
                <w:sz w:val="16"/>
              </w:rPr>
              <w:t>该项目已完成。聘请一名法律顾问，项目资金已支付，通过聘请法律顾问，我单位的合同规范性大大提升。</w:t>
            </w:r>
          </w:p>
        </w:tc>
      </w:tr>
      <w:tr w14:paraId="3053D7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6DB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21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EF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88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23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57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35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5E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77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F8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C4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95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C31F7">
            <w:pPr>
              <w:jc w:val="center"/>
            </w:pPr>
            <w:r>
              <w:rPr>
                <w:rFonts w:ascii="宋体" w:hAnsi="宋体" w:eastAsia="宋体"/>
                <w:sz w:val="16"/>
              </w:rPr>
              <w:t>偏差原因分析及改进措施</w:t>
            </w:r>
          </w:p>
        </w:tc>
      </w:tr>
      <w:tr w14:paraId="2E607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354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52E2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87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3277">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869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E70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E0F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75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2D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8C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5E0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48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BFD5B">
            <w:pPr>
              <w:jc w:val="center"/>
            </w:pPr>
          </w:p>
        </w:tc>
      </w:tr>
      <w:tr w14:paraId="351A9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94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916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F04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4F6B">
            <w:pPr>
              <w:jc w:val="center"/>
            </w:pPr>
            <w:r>
              <w:rPr>
                <w:rFonts w:ascii="宋体" w:hAnsi="宋体" w:eastAsia="宋体"/>
                <w:sz w:val="16"/>
              </w:rPr>
              <w:t>资金支付保障率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7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982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06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F4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FB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BC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7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4E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58D7">
            <w:pPr>
              <w:jc w:val="center"/>
            </w:pPr>
          </w:p>
        </w:tc>
      </w:tr>
      <w:tr w14:paraId="789D2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7C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E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6C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CA16">
            <w:pPr>
              <w:jc w:val="center"/>
            </w:pPr>
            <w:r>
              <w:rPr>
                <w:rFonts w:ascii="宋体" w:hAnsi="宋体" w:eastAsia="宋体"/>
                <w:sz w:val="16"/>
              </w:rPr>
              <w:t>政府采购验收合格率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D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C37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D1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B6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CD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08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4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F4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F2FA">
            <w:pPr>
              <w:jc w:val="center"/>
            </w:pPr>
          </w:p>
        </w:tc>
      </w:tr>
      <w:tr w14:paraId="7BED0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4A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81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BA2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580C">
            <w:pPr>
              <w:jc w:val="center"/>
            </w:pPr>
            <w:r>
              <w:rPr>
                <w:rFonts w:ascii="宋体" w:hAnsi="宋体" w:eastAsia="宋体"/>
                <w:sz w:val="16"/>
              </w:rPr>
              <w:t>工作开展及时率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B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1DF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C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8B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E2C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F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5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7A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7544E">
            <w:pPr>
              <w:jc w:val="center"/>
            </w:pPr>
          </w:p>
        </w:tc>
      </w:tr>
      <w:tr w14:paraId="78713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31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64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8E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F7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F84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2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BD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BD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8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7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95D8">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535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48283">
            <w:pPr>
              <w:jc w:val="center"/>
            </w:pPr>
          </w:p>
        </w:tc>
      </w:tr>
      <w:tr w14:paraId="4002F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F6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B52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AA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A8C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8A3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06A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4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E2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5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D4B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EC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CC5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79DFF">
            <w:pPr>
              <w:jc w:val="center"/>
            </w:pPr>
          </w:p>
        </w:tc>
      </w:tr>
      <w:tr w14:paraId="2BD37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3F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BC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F9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57CE">
            <w:pPr>
              <w:jc w:val="center"/>
            </w:pPr>
            <w:r>
              <w:rPr>
                <w:rFonts w:ascii="宋体" w:hAnsi="宋体" w:eastAsia="宋体"/>
                <w:sz w:val="16"/>
              </w:rPr>
              <w:t>提升合同规范化程度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13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0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35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F8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FED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DE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84C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93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4486B">
            <w:pPr>
              <w:jc w:val="center"/>
            </w:pPr>
          </w:p>
        </w:tc>
      </w:tr>
      <w:tr w14:paraId="5C6E1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29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55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19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5C9D">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F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F7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C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1A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4D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6A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1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58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0B4D">
            <w:pPr>
              <w:jc w:val="center"/>
            </w:pPr>
          </w:p>
        </w:tc>
      </w:tr>
      <w:tr w14:paraId="50A1D78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5129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271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3BF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5051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BD02BA"/>
        </w:tc>
      </w:tr>
    </w:tbl>
    <w:p w14:paraId="296B04F4">
      <w:r>
        <w:br w:type="page"/>
      </w:r>
    </w:p>
    <w:p w14:paraId="1FE4EA25">
      <w:pPr>
        <w:spacing w:line="640" w:lineRule="exact"/>
        <w:ind w:firstLine="640"/>
        <w:jc w:val="both"/>
        <w:outlineLvl w:val="2"/>
      </w:pPr>
      <w:r>
        <w:rPr>
          <w:rFonts w:ascii="黑体" w:hAnsi="黑体" w:eastAsia="黑体"/>
          <w:sz w:val="32"/>
        </w:rPr>
        <w:t>十二、其他需说明的事项</w:t>
      </w:r>
    </w:p>
    <w:p w14:paraId="3DA24A6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项目13个</w:t>
      </w:r>
      <w:bookmarkStart w:id="0" w:name="_GoBack"/>
      <w:bookmarkEnd w:id="0"/>
      <w:r>
        <w:rPr>
          <w:rFonts w:ascii="仿宋_GB2312" w:hAnsi="仿宋_GB2312" w:eastAsia="仿宋_GB2312"/>
          <w:b w:val="0"/>
          <w:sz w:val="32"/>
        </w:rPr>
        <w:t>，全年预算数95.09万元，全年执行数93.7</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14:paraId="00B6E901">
      <w:r>
        <w:br w:type="page"/>
      </w:r>
    </w:p>
    <w:p w14:paraId="46527A59">
      <w:pPr>
        <w:spacing w:line="240" w:lineRule="auto"/>
        <w:jc w:val="center"/>
        <w:outlineLvl w:val="1"/>
      </w:pPr>
      <w:r>
        <w:rPr>
          <w:rFonts w:ascii="黑体" w:hAnsi="黑体" w:eastAsia="黑体"/>
          <w:sz w:val="32"/>
        </w:rPr>
        <w:t>第三部分 专业名词解释</w:t>
      </w:r>
    </w:p>
    <w:p w14:paraId="19010A4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30E7D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7D21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8399C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16D6E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60A4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B2476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302A7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DABC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7060C3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A26E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2B81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80B0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21F4D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6CEE15">
      <w:r>
        <w:br w:type="page"/>
      </w:r>
    </w:p>
    <w:p w14:paraId="7459C2E5">
      <w:pPr>
        <w:spacing w:line="240" w:lineRule="auto"/>
        <w:jc w:val="center"/>
        <w:outlineLvl w:val="1"/>
      </w:pPr>
      <w:r>
        <w:rPr>
          <w:rFonts w:ascii="黑体" w:hAnsi="黑体" w:eastAsia="黑体"/>
          <w:sz w:val="32"/>
        </w:rPr>
        <w:t>第四部分 部门决算报表（见附表）</w:t>
      </w:r>
    </w:p>
    <w:p w14:paraId="09AB76AD">
      <w:pPr>
        <w:spacing w:line="240" w:lineRule="auto"/>
        <w:ind w:firstLine="640"/>
        <w:jc w:val="both"/>
      </w:pPr>
      <w:r>
        <w:rPr>
          <w:rFonts w:ascii="仿宋_GB2312" w:hAnsi="仿宋_GB2312" w:eastAsia="仿宋_GB2312"/>
          <w:b w:val="0"/>
          <w:sz w:val="32"/>
        </w:rPr>
        <w:t>一、《收入支出决算总表》</w:t>
      </w:r>
    </w:p>
    <w:p w14:paraId="0C878EB8">
      <w:pPr>
        <w:spacing w:line="240" w:lineRule="auto"/>
        <w:ind w:firstLine="640"/>
        <w:jc w:val="both"/>
      </w:pPr>
      <w:r>
        <w:rPr>
          <w:rFonts w:ascii="仿宋_GB2312" w:hAnsi="仿宋_GB2312" w:eastAsia="仿宋_GB2312"/>
          <w:b w:val="0"/>
          <w:sz w:val="32"/>
        </w:rPr>
        <w:t>二、《收入决算表》</w:t>
      </w:r>
    </w:p>
    <w:p w14:paraId="2B33BF8A">
      <w:pPr>
        <w:spacing w:line="240" w:lineRule="auto"/>
        <w:ind w:firstLine="640"/>
        <w:jc w:val="both"/>
      </w:pPr>
      <w:r>
        <w:rPr>
          <w:rFonts w:ascii="仿宋_GB2312" w:hAnsi="仿宋_GB2312" w:eastAsia="仿宋_GB2312"/>
          <w:b w:val="0"/>
          <w:sz w:val="32"/>
        </w:rPr>
        <w:t>三、《支出决算表》</w:t>
      </w:r>
    </w:p>
    <w:p w14:paraId="5183DDED">
      <w:pPr>
        <w:spacing w:line="240" w:lineRule="auto"/>
        <w:ind w:firstLine="640"/>
        <w:jc w:val="both"/>
      </w:pPr>
      <w:r>
        <w:rPr>
          <w:rFonts w:ascii="仿宋_GB2312" w:hAnsi="仿宋_GB2312" w:eastAsia="仿宋_GB2312"/>
          <w:b w:val="0"/>
          <w:sz w:val="32"/>
        </w:rPr>
        <w:t>四、《财政拨款收入支出决算总表》</w:t>
      </w:r>
    </w:p>
    <w:p w14:paraId="7530BA69">
      <w:pPr>
        <w:spacing w:line="240" w:lineRule="auto"/>
        <w:ind w:firstLine="640"/>
        <w:jc w:val="both"/>
      </w:pPr>
      <w:r>
        <w:rPr>
          <w:rFonts w:ascii="仿宋_GB2312" w:hAnsi="仿宋_GB2312" w:eastAsia="仿宋_GB2312"/>
          <w:b w:val="0"/>
          <w:sz w:val="32"/>
        </w:rPr>
        <w:t>五、《一般公共预算财政拨款支出决算表》</w:t>
      </w:r>
    </w:p>
    <w:p w14:paraId="624ED413">
      <w:pPr>
        <w:spacing w:line="240" w:lineRule="auto"/>
        <w:ind w:firstLine="640"/>
        <w:jc w:val="both"/>
      </w:pPr>
      <w:r>
        <w:rPr>
          <w:rFonts w:ascii="仿宋_GB2312" w:hAnsi="仿宋_GB2312" w:eastAsia="仿宋_GB2312"/>
          <w:b w:val="0"/>
          <w:sz w:val="32"/>
        </w:rPr>
        <w:t>六、《一般公共预算财政拨款基本支出决算表》</w:t>
      </w:r>
    </w:p>
    <w:p w14:paraId="24F6787C">
      <w:pPr>
        <w:spacing w:line="240" w:lineRule="auto"/>
        <w:ind w:firstLine="640"/>
        <w:jc w:val="both"/>
      </w:pPr>
      <w:r>
        <w:rPr>
          <w:rFonts w:ascii="仿宋_GB2312" w:hAnsi="仿宋_GB2312" w:eastAsia="仿宋_GB2312"/>
          <w:b w:val="0"/>
          <w:sz w:val="32"/>
        </w:rPr>
        <w:t>七、《政府性基金预算财政拨款收入支出决算表》</w:t>
      </w:r>
    </w:p>
    <w:p w14:paraId="4F72CD5B">
      <w:pPr>
        <w:spacing w:line="240" w:lineRule="auto"/>
        <w:ind w:firstLine="640"/>
        <w:jc w:val="both"/>
      </w:pPr>
      <w:r>
        <w:rPr>
          <w:rFonts w:ascii="仿宋_GB2312" w:hAnsi="仿宋_GB2312" w:eastAsia="仿宋_GB2312"/>
          <w:b w:val="0"/>
          <w:sz w:val="32"/>
        </w:rPr>
        <w:t>八、《国有资本经营预算财政拨款收入支出决算表》</w:t>
      </w:r>
    </w:p>
    <w:p w14:paraId="54F7B97A">
      <w:pPr>
        <w:spacing w:line="240" w:lineRule="auto"/>
        <w:ind w:firstLine="640"/>
        <w:jc w:val="both"/>
      </w:pPr>
      <w:r>
        <w:rPr>
          <w:rFonts w:ascii="仿宋_GB2312" w:hAnsi="仿宋_GB2312" w:eastAsia="仿宋_GB2312"/>
          <w:b w:val="0"/>
          <w:sz w:val="32"/>
        </w:rPr>
        <w:t>九、《财政拨款“三公”经费支出决算表》</w:t>
      </w:r>
    </w:p>
    <w:p w14:paraId="579B155A">
      <w:pPr>
        <w:spacing w:line="240" w:lineRule="auto"/>
        <w:ind w:firstLine="640"/>
        <w:jc w:val="both"/>
      </w:pPr>
    </w:p>
    <w:p w14:paraId="4BC2D533">
      <w:pPr>
        <w:spacing w:line="240" w:lineRule="auto"/>
        <w:ind w:firstLine="640"/>
        <w:jc w:val="both"/>
      </w:pPr>
    </w:p>
    <w:p w14:paraId="3B5B5494">
      <w:pPr>
        <w:spacing w:line="240" w:lineRule="auto"/>
        <w:ind w:firstLine="640"/>
        <w:jc w:val="both"/>
      </w:pPr>
    </w:p>
    <w:p w14:paraId="25328525">
      <w:pPr>
        <w:spacing w:line="240" w:lineRule="auto"/>
        <w:ind w:firstLine="640"/>
        <w:jc w:val="both"/>
      </w:pPr>
    </w:p>
    <w:p w14:paraId="214391E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CF3FDB-D26F-47A7-BBBF-120972D774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C1CC1F2-B55F-4E02-84D9-FF143F278639}"/>
  </w:font>
  <w:font w:name="方正小标宋_GBK">
    <w:panose1 w:val="02000000000000000000"/>
    <w:charset w:val="86"/>
    <w:family w:val="script"/>
    <w:pitch w:val="default"/>
    <w:sig w:usb0="A00002BF" w:usb1="38CF7CFA" w:usb2="00082016" w:usb3="00000000" w:csb0="00040001" w:csb1="00000000"/>
    <w:embedRegular r:id="rId3" w:fontKey="{DB0149CC-D710-4DEC-8A2C-1B6CADBD59AE}"/>
  </w:font>
  <w:font w:name="楷体_GB2312">
    <w:altName w:val="楷体"/>
    <w:panose1 w:val="02010609030101010101"/>
    <w:charset w:val="86"/>
    <w:family w:val="auto"/>
    <w:pitch w:val="default"/>
    <w:sig w:usb0="00000000" w:usb1="00000000" w:usb2="00000000" w:usb3="00000000" w:csb0="00040000" w:csb1="00000000"/>
    <w:embedRegular r:id="rId4" w:fontKey="{24402014-6DA9-45BD-82BE-F9333BFAC425}"/>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2FE2042"/>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5A783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8B3770"/>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6135</Words>
  <Characters>6978</Characters>
  <Lines>0</Lines>
  <Paragraphs>0</Paragraphs>
  <TotalTime>4</TotalTime>
  <ScaleCrop>false</ScaleCrop>
  <LinksUpToDate>false</LinksUpToDate>
  <CharactersWithSpaces>6986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