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ascii="方正小标宋_GBK" w:hAnsi="方正小标宋_GBK" w:eastAsia="方正小标宋_GBK" w:cs="方正小标宋_GBK"/>
          <w:sz w:val="44"/>
        </w:rPr>
        <w:t>新疆喀什地区农机安全监理所2019年度部门决算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pPr>
        <w:pStyle w:val="4"/>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部门单位概况</w:t>
      </w:r>
      <w:r>
        <w:rPr>
          <w:rFonts w:hint="eastAsia" w:ascii="仿宋_GB2312" w:hAnsi="仿宋_GB2312" w:eastAsia="仿宋_GB2312" w:cs="仿宋_GB2312"/>
          <w:b/>
          <w:bCs/>
          <w:sz w:val="32"/>
          <w:szCs w:val="32"/>
        </w:rPr>
        <w:fldChar w:fldCharType="end"/>
      </w:r>
    </w:p>
    <w:p>
      <w:pPr>
        <w:pStyle w:val="5"/>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5"/>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4"/>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5"/>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5"/>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5"/>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5"/>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5"/>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5"/>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5"/>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5"/>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5"/>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2"/>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2"/>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2"/>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5"/>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4"/>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4"/>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5"/>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5"/>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5"/>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5"/>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5"/>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5"/>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5"/>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5"/>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0" w:name="_Toc24028"/>
      <w:bookmarkStart w:id="1" w:name="_Toc32314"/>
      <w:r>
        <w:rPr>
          <w:rFonts w:hint="eastAsia" w:ascii="黑体" w:hAnsi="黑体" w:eastAsia="黑体"/>
          <w:sz w:val="32"/>
          <w:szCs w:val="32"/>
        </w:rPr>
        <w:t>第一部分 部门单位概况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rPr>
          <w:rFonts w:ascii="仿宋_GB2312" w:eastAsia="仿宋_GB2312"/>
          <w:sz w:val="32"/>
          <w:szCs w:val="32"/>
        </w:rPr>
      </w:pPr>
      <w:r>
        <w:rPr>
          <w:rFonts w:ascii="仿宋_GB2312" w:hAnsi="仿宋_GB2312" w:eastAsia="仿宋_GB2312" w:cs="仿宋_GB2312"/>
          <w:sz w:val="32"/>
        </w:rPr>
        <w:t xml:space="preserve">    指导并组织实施全地区农机安全监理工作；负责组织实施农业机械登记、核发牌证、定期安全技术检验，对农业机械驾驶人员进行考试，核发驾驶证，定期审验；负责农机销售市场、维修市场、作业市场安全监管；开展农机监理人员培训与业务交流活动；组织农机</w:t>
      </w:r>
      <w:r>
        <w:rPr>
          <w:rFonts w:hint="eastAsia" w:ascii="仿宋_GB2312" w:hAnsi="仿宋_GB2312" w:eastAsia="仿宋_GB2312" w:cs="仿宋_GB2312"/>
          <w:sz w:val="32"/>
          <w:lang w:eastAsia="zh-CN"/>
        </w:rPr>
        <w:t>生产</w:t>
      </w:r>
      <w:r>
        <w:rPr>
          <w:rFonts w:ascii="仿宋_GB2312" w:hAnsi="仿宋_GB2312" w:eastAsia="仿宋_GB2312" w:cs="仿宋_GB2312"/>
          <w:sz w:val="32"/>
        </w:rPr>
        <w:t>检查；承担农机事故统计、分析、上报工作，并提出防范措施；负责处理重特大农机事故及对农机事故责任重新认定的复议工作；负责对农业机械参加机动车交通事故责任强制保险的情况实施监督检查，与公安、保险等部门交流农机事故信息；组织开展农机</w:t>
      </w:r>
      <w:r>
        <w:rPr>
          <w:rFonts w:hint="eastAsia" w:ascii="仿宋_GB2312" w:hAnsi="仿宋_GB2312" w:eastAsia="仿宋_GB2312" w:cs="仿宋_GB2312"/>
          <w:sz w:val="32"/>
          <w:lang w:eastAsia="zh-CN"/>
        </w:rPr>
        <w:t>生产</w:t>
      </w:r>
      <w:r>
        <w:rPr>
          <w:rFonts w:ascii="仿宋_GB2312" w:hAnsi="仿宋_GB2312" w:eastAsia="仿宋_GB2312" w:cs="仿宋_GB2312"/>
          <w:sz w:val="32"/>
        </w:rPr>
        <w:t>宣传和教育活动。</w:t>
      </w:r>
    </w:p>
    <w:p>
      <w:pPr>
        <w:ind w:firstLine="640" w:firstLineChars="200"/>
        <w:outlineLvl w:val="1"/>
        <w:rPr>
          <w:rFonts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pPr>
      <w:r>
        <w:rPr>
          <w:rFonts w:ascii="仿宋_GB2312" w:hAnsi="仿宋_GB2312" w:eastAsia="仿宋_GB2312" w:cs="仿宋_GB2312"/>
          <w:sz w:val="32"/>
        </w:rPr>
        <w:t>新疆喀什地区农机安全监理所2019年度，实有人数17人，其中：在职人员12人，离休人员0人，退休人员5人。</w:t>
      </w:r>
    </w:p>
    <w:p>
      <w:pPr>
        <w:ind w:firstLine="640" w:firstLineChars="200"/>
        <w:rPr>
          <w:rFonts w:ascii="仿宋_GB2312" w:eastAsia="仿宋_GB2312"/>
          <w:sz w:val="32"/>
          <w:szCs w:val="32"/>
        </w:rPr>
      </w:pPr>
      <w:r>
        <w:rPr>
          <w:rFonts w:ascii="仿宋_GB2312" w:hAnsi="仿宋_GB2312" w:eastAsia="仿宋_GB2312" w:cs="仿宋_GB2312"/>
          <w:sz w:val="32"/>
        </w:rPr>
        <w:t>从部门决算单位构成看，新疆喀什地区农机安全监理所部门决算包括：新疆喀什地区农机安全监理所决算。</w:t>
      </w:r>
    </w:p>
    <w:p>
      <w:pPr>
        <w:ind w:firstLine="640" w:firstLineChars="200"/>
        <w:jc w:val="center"/>
        <w:outlineLvl w:val="0"/>
        <w:rPr>
          <w:rFonts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ascii="仿宋_GB2312" w:hAnsi="仿宋_GB2312" w:eastAsia="仿宋_GB2312" w:cs="仿宋_GB2312"/>
          <w:sz w:val="32"/>
        </w:rPr>
        <w:t>2019年度本年收入210.13万元，与上年相比，减少23.12万元，下降9.91%，主要原因是：我单位2019年度较2018年减少了“农业生产支持补贴”项目、“大型工程机械设备师资培训”项目“专项业务经费”项目。本年支出210.13万元，与上年相比，减少23.12万元，下降9.91%，主要原因是：我单位2019年度较2018年减少了“农业生产支持补贴”项目、“大型工程机械设备师资培训”项目“专项业务经费”项目。</w:t>
      </w:r>
    </w:p>
    <w:p>
      <w:pPr>
        <w:ind w:firstLine="640" w:firstLineChars="200"/>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hAnsi="仿宋_GB2312" w:eastAsia="仿宋_GB2312" w:cs="仿宋_GB2312"/>
          <w:sz w:val="32"/>
        </w:rPr>
        <w:t>2019年度本年收入210.13万元，其中：财政拨款收入210.13万元，占100%；上级补助收入0万元，占0%；事业收入0万元，占0%；经营收入0万元，占0%；附属单位上缴收入0万元，占0%；其他收入0万元，占0%。</w:t>
      </w:r>
    </w:p>
    <w:p>
      <w:pPr>
        <w:ind w:firstLine="640" w:firstLineChars="200"/>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hAnsi="仿宋_GB2312" w:eastAsia="仿宋_GB2312" w:cs="仿宋_GB2312"/>
          <w:sz w:val="32"/>
        </w:rPr>
        <w:t>2019年度本年支出210.13万元，其中：基本支出199.71万元，占95.04%；项目支出10.42万元，占4.96%；上缴上级支出0万元，占0%；经营支出0万元，占0%；对附属单位补助支出0万元，占0%。</w:t>
      </w:r>
    </w:p>
    <w:p>
      <w:pPr>
        <w:ind w:firstLine="640" w:firstLineChars="200"/>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hAnsi="仿宋_GB2312" w:eastAsia="仿宋_GB2312" w:cs="仿宋_GB2312"/>
          <w:sz w:val="32"/>
        </w:rPr>
        <w:t>2019年度财政拨款收入210.13万元，与上年相比，减少23.12万元，下降9.91%，主要原因是：我单位2019年度较2018年减少了“农业生产支持补贴”项目、“大型工程机械设备师资培训”项目“专项业务经费”项目。财政拨款支出210.13万元，与上年相比，减少23.12万元，下降9.91%，主要原因是：我单位2019年度较2018年减少了“农业生产支持补贴”项目、“大型工程机械设备师资培训”项目“专项业务经费”项目。</w:t>
      </w:r>
    </w:p>
    <w:p>
      <w:pPr>
        <w:ind w:firstLine="640" w:firstLineChars="200"/>
        <w:rPr>
          <w:rFonts w:ascii="仿宋_GB2312" w:eastAsia="仿宋_GB2312"/>
          <w:sz w:val="32"/>
          <w:szCs w:val="32"/>
        </w:rPr>
      </w:pPr>
      <w:r>
        <w:rPr>
          <w:rFonts w:ascii="仿宋_GB2312" w:hAnsi="仿宋_GB2312" w:eastAsia="仿宋_GB2312" w:cs="仿宋_GB2312"/>
          <w:sz w:val="32"/>
        </w:rPr>
        <w:t>与年初预算数相比情况：财政拨款收入年初预算数230.36万元，决算数210.13万元，预决算差异率-8.78%，主要原因是：本年度安排的“大型工程机械监管平台”项目资金未执行完毕且一人调出，一人退休。财政拨款支出年初预算数240.16万元，决算数210.13万元，预决算差异率-12.5%，主要原因是：本年度安排的“大型工程机械监管平台”项目资金未执行完毕且一人调出，一人退休。</w:t>
      </w:r>
    </w:p>
    <w:p>
      <w:pPr>
        <w:ind w:firstLine="640" w:firstLineChars="200"/>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2019年度一般公共预算财政拨款支出210.13万元。按功能分类科目项级科目公开，其中：</w:t>
      </w:r>
    </w:p>
    <w:p>
      <w:pPr>
        <w:ind w:firstLine="480"/>
      </w:pPr>
      <w:r>
        <w:rPr>
          <w:rFonts w:ascii="仿宋_GB2312" w:hAnsi="仿宋_GB2312" w:eastAsia="仿宋_GB2312" w:cs="仿宋_GB2312"/>
          <w:sz w:val="32"/>
        </w:rPr>
        <w:t xml:space="preserve">   2210201住房公积金支出13.15万元。</w:t>
      </w:r>
    </w:p>
    <w:p>
      <w:pPr>
        <w:ind w:firstLine="480"/>
      </w:pPr>
      <w:r>
        <w:rPr>
          <w:rFonts w:ascii="仿宋_GB2312" w:hAnsi="仿宋_GB2312" w:eastAsia="仿宋_GB2312" w:cs="仿宋_GB2312"/>
          <w:sz w:val="32"/>
        </w:rPr>
        <w:t xml:space="preserve">   2130199其他农业支出9.60万元；</w:t>
      </w:r>
    </w:p>
    <w:p>
      <w:pPr>
        <w:ind w:firstLine="480"/>
      </w:pPr>
      <w:r>
        <w:rPr>
          <w:rFonts w:ascii="仿宋_GB2312" w:hAnsi="仿宋_GB2312" w:eastAsia="仿宋_GB2312" w:cs="仿宋_GB2312"/>
          <w:sz w:val="32"/>
        </w:rPr>
        <w:t xml:space="preserve">   2130122农业生产支持补贴支出0.82万元；</w:t>
      </w:r>
    </w:p>
    <w:p>
      <w:pPr>
        <w:ind w:firstLine="480"/>
      </w:pPr>
      <w:r>
        <w:rPr>
          <w:rFonts w:ascii="仿宋_GB2312" w:hAnsi="仿宋_GB2312" w:eastAsia="仿宋_GB2312" w:cs="仿宋_GB2312"/>
          <w:sz w:val="32"/>
        </w:rPr>
        <w:t xml:space="preserve">   2130101行政运行支出163.76万元；</w:t>
      </w:r>
    </w:p>
    <w:p>
      <w:pPr>
        <w:ind w:firstLine="480"/>
      </w:pPr>
      <w:r>
        <w:rPr>
          <w:rFonts w:ascii="仿宋_GB2312" w:hAnsi="仿宋_GB2312" w:eastAsia="仿宋_GB2312" w:cs="仿宋_GB2312"/>
          <w:sz w:val="32"/>
        </w:rPr>
        <w:t xml:space="preserve">   2080506机关事业单位职业年金缴费支出4.96万元；</w:t>
      </w:r>
    </w:p>
    <w:p>
      <w:pPr>
        <w:ind w:firstLine="480"/>
      </w:pPr>
      <w:r>
        <w:rPr>
          <w:rFonts w:ascii="仿宋_GB2312" w:hAnsi="仿宋_GB2312" w:eastAsia="仿宋_GB2312" w:cs="仿宋_GB2312"/>
          <w:sz w:val="32"/>
        </w:rPr>
        <w:t xml:space="preserve">   2080505机关事业单位基本养老保险缴费支出17.84万元；</w:t>
      </w:r>
    </w:p>
    <w:p>
      <w:pPr>
        <w:ind w:firstLine="640" w:firstLineChars="200"/>
        <w:outlineLvl w:val="1"/>
        <w:rPr>
          <w:rFonts w:ascii="黑体" w:hAnsi="黑体" w:eastAsia="黑体" w:cs="宋体"/>
          <w:bCs/>
          <w:kern w:val="0"/>
          <w:sz w:val="32"/>
          <w:szCs w:val="32"/>
        </w:rPr>
      </w:pPr>
      <w:bookmarkStart w:id="18" w:name="_Toc11146"/>
      <w:bookmarkStart w:id="19" w:name="_Toc30870"/>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2019年度一般公共预算财政拨款基本支出199.71万元，其中：</w:t>
      </w:r>
    </w:p>
    <w:p>
      <w:pPr>
        <w:ind w:firstLine="640" w:firstLineChars="200"/>
        <w:rPr>
          <w:rFonts w:ascii="仿宋_GB2312" w:eastAsia="仿宋_GB2312"/>
          <w:sz w:val="32"/>
          <w:szCs w:val="32"/>
        </w:rPr>
      </w:pPr>
      <w:r>
        <w:rPr>
          <w:rFonts w:ascii="仿宋_GB2312" w:hAnsi="仿宋_GB2312" w:eastAsia="仿宋_GB2312" w:cs="仿宋_GB2312"/>
          <w:sz w:val="32"/>
        </w:rPr>
        <w:t>人员经费188.16万元，包括：基本工资、津贴补贴、奖金、机关事业单位基本养老保险缴费、职业年金缴费、职工基本医疗保险缴费、公务员医疗补助缴费、其他社会保障缴费、住房公积金、退休费、生活补助、奖励金。</w:t>
      </w:r>
    </w:p>
    <w:p>
      <w:pPr>
        <w:ind w:firstLine="640" w:firstLineChars="200"/>
        <w:rPr>
          <w:rFonts w:ascii="仿宋_GB2312" w:eastAsia="仿宋_GB2312"/>
          <w:sz w:val="32"/>
          <w:szCs w:val="32"/>
        </w:rPr>
      </w:pPr>
      <w:r>
        <w:rPr>
          <w:rFonts w:ascii="仿宋_GB2312" w:hAnsi="仿宋_GB2312" w:eastAsia="仿宋_GB2312" w:cs="仿宋_GB2312"/>
          <w:sz w:val="32"/>
        </w:rPr>
        <w:t>公用经费11.55万元，包括：办公费、维修（护）费、劳务费、公务用车运行维护费、其他商品和服务支出。</w:t>
      </w:r>
    </w:p>
    <w:p>
      <w:pPr>
        <w:ind w:firstLine="640" w:firstLineChars="200"/>
        <w:outlineLvl w:val="1"/>
        <w:rPr>
          <w:rFonts w:ascii="黑体" w:hAnsi="黑体" w:eastAsia="黑体" w:cs="宋体"/>
          <w:bCs/>
          <w:kern w:val="0"/>
          <w:sz w:val="32"/>
          <w:szCs w:val="32"/>
        </w:rPr>
      </w:pPr>
      <w:bookmarkStart w:id="20" w:name="_Toc21518"/>
      <w:bookmarkStart w:id="21" w:name="_Toc7190"/>
      <w:r>
        <w:rPr>
          <w:rFonts w:hint="eastAsia" w:ascii="黑体" w:hAnsi="黑体" w:eastAsia="黑体" w:cs="宋体"/>
          <w:bCs/>
          <w:kern w:val="0"/>
          <w:sz w:val="32"/>
          <w:szCs w:val="32"/>
        </w:rPr>
        <w:t>七、一般公共预算财政拨款“三公”经费支出决算情况说明</w:t>
      </w:r>
      <w:bookmarkEnd w:id="20"/>
      <w:bookmarkEnd w:id="21"/>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2019年度一般公共预算“三公”经费支出决算4.34万元，比上年减少1.06万元，降低19.63%，主要原因是我单位严格执行</w:t>
      </w:r>
      <w:r>
        <w:rPr>
          <w:rFonts w:hint="eastAsia" w:ascii="仿宋_GB2312" w:hAnsi="仿宋_GB2312" w:eastAsia="仿宋_GB2312" w:cs="仿宋_GB2312"/>
          <w:sz w:val="32"/>
          <w:lang w:eastAsia="zh-CN"/>
        </w:rPr>
        <w:t>中央八项规定</w:t>
      </w:r>
      <w:r>
        <w:rPr>
          <w:rFonts w:ascii="仿宋_GB2312" w:hAnsi="仿宋_GB2312" w:eastAsia="仿宋_GB2312" w:cs="仿宋_GB2312"/>
          <w:sz w:val="32"/>
        </w:rPr>
        <w:t>，压缩“三公”经费。其中，因公出国（境）费支出0万元，占0%，比上年增加0万元，增长0%，主要原因是与上年相比无变动，与上年一致；公务用车购置及运行维护费支出4.34万元，占100%，比上年减少1.06万元，降低19.63%，主要原因是我单位严格执行</w:t>
      </w:r>
      <w:r>
        <w:rPr>
          <w:rFonts w:hint="eastAsia" w:ascii="仿宋_GB2312" w:hAnsi="仿宋_GB2312" w:eastAsia="仿宋_GB2312" w:cs="仿宋_GB2312"/>
          <w:sz w:val="32"/>
          <w:lang w:eastAsia="zh-CN"/>
        </w:rPr>
        <w:t>中央八项规定</w:t>
      </w:r>
      <w:r>
        <w:rPr>
          <w:rFonts w:ascii="仿宋_GB2312" w:hAnsi="仿宋_GB2312" w:eastAsia="仿宋_GB2312" w:cs="仿宋_GB2312"/>
          <w:sz w:val="32"/>
        </w:rPr>
        <w:t>，压缩“三公”经费；公务接待费支出0万元，占0%，比上年增加0万元，增长0%，主要原因是与上年相比无变动，与上年一致。具体情况如下：</w:t>
      </w:r>
    </w:p>
    <w:p>
      <w:pPr>
        <w:ind w:firstLine="640" w:firstLineChars="200"/>
        <w:rPr>
          <w:rFonts w:ascii="仿宋_GB2312" w:eastAsia="仿宋_GB2312"/>
          <w:sz w:val="32"/>
          <w:szCs w:val="32"/>
        </w:rPr>
      </w:pPr>
      <w:r>
        <w:rPr>
          <w:rFonts w:ascii="仿宋_GB2312" w:hAnsi="仿宋_GB2312" w:eastAsia="仿宋_GB2312" w:cs="仿宋_GB2312"/>
          <w:sz w:val="32"/>
        </w:rPr>
        <w:t>因公出国（境）费支出0万元，开支内容包括：预算未安排，无此项支出。单位全年安排的因公出国（境）团组0个，因公出国（境）0人次。</w:t>
      </w:r>
    </w:p>
    <w:p>
      <w:pPr>
        <w:ind w:firstLine="640" w:firstLineChars="200"/>
        <w:rPr>
          <w:rFonts w:ascii="仿宋_GB2312" w:eastAsia="仿宋_GB2312"/>
          <w:sz w:val="32"/>
          <w:szCs w:val="32"/>
        </w:rPr>
      </w:pPr>
      <w:r>
        <w:rPr>
          <w:rFonts w:ascii="仿宋_GB2312" w:hAnsi="仿宋_GB2312" w:eastAsia="仿宋_GB2312" w:cs="仿宋_GB2312"/>
          <w:sz w:val="32"/>
        </w:rPr>
        <w:t>公务用车购置及运行维护费4.34万元，其中，公务用车购置费0万元，公务用车运行维护费4.34万元。公务用车运行维护费开支内容包括汽车油料、汽车修理费、车辆保险。公务用车购置数0辆，公务用车保有量0辆。</w:t>
      </w:r>
    </w:p>
    <w:p>
      <w:pPr>
        <w:ind w:firstLine="640" w:firstLineChars="200"/>
        <w:rPr>
          <w:rFonts w:ascii="仿宋_GB2312" w:eastAsia="仿宋_GB2312"/>
          <w:sz w:val="32"/>
          <w:szCs w:val="32"/>
        </w:rPr>
      </w:pPr>
      <w:r>
        <w:rPr>
          <w:rFonts w:ascii="仿宋_GB2312" w:hAnsi="仿宋_GB2312" w:eastAsia="仿宋_GB2312" w:cs="仿宋_GB2312"/>
          <w:sz w:val="32"/>
        </w:rPr>
        <w:t>公务接待费0万元，开支内容包括预算未安排，无此项支出。单位全年安排的国内公务接待0批次，0人次。</w:t>
      </w:r>
    </w:p>
    <w:p>
      <w:pPr>
        <w:ind w:firstLine="640" w:firstLineChars="200"/>
        <w:rPr>
          <w:rFonts w:ascii="仿宋_GB2312" w:eastAsia="仿宋_GB2312"/>
          <w:sz w:val="32"/>
          <w:szCs w:val="32"/>
        </w:rPr>
      </w:pPr>
      <w:r>
        <w:rPr>
          <w:rFonts w:ascii="仿宋_GB2312" w:hAnsi="仿宋_GB2312" w:eastAsia="仿宋_GB2312" w:cs="仿宋_GB2312"/>
          <w:sz w:val="32"/>
        </w:rPr>
        <w:t>与年初预算数相比情况：一般公共预算“三公”经费支出年初预算数5.40万元，决算数4.34万元，预决算差异率-19.63%，主要原因是：我单位严格执行</w:t>
      </w:r>
      <w:r>
        <w:rPr>
          <w:rFonts w:hint="eastAsia" w:ascii="仿宋_GB2312" w:hAnsi="仿宋_GB2312" w:eastAsia="仿宋_GB2312" w:cs="仿宋_GB2312"/>
          <w:sz w:val="32"/>
          <w:lang w:eastAsia="zh-CN"/>
        </w:rPr>
        <w:t>中央八项规定</w:t>
      </w:r>
      <w:r>
        <w:rPr>
          <w:rFonts w:ascii="仿宋_GB2312" w:hAnsi="仿宋_GB2312" w:eastAsia="仿宋_GB2312" w:cs="仿宋_GB2312"/>
          <w:sz w:val="32"/>
        </w:rPr>
        <w:t>，压缩“三公”经费。其中：因公出国（境）费预算数0万元，决算数0万元，预决算差异率0%，主要原因是：预算未安排，无此项支出；公务用车购置费预算数0万元，决算数0万元，预决算差异率0%，主要原因是：预算未安排，无此项支出；公务用车运行费预算数5.40万元，决算数4.34万元，预决算差异率-19.63%，主要原因是：我单位严格执行</w:t>
      </w:r>
      <w:r>
        <w:rPr>
          <w:rFonts w:hint="eastAsia" w:ascii="仿宋_GB2312" w:hAnsi="仿宋_GB2312" w:eastAsia="仿宋_GB2312" w:cs="仿宋_GB2312"/>
          <w:sz w:val="32"/>
          <w:lang w:eastAsia="zh-CN"/>
        </w:rPr>
        <w:t>中央八项规定</w:t>
      </w:r>
      <w:r>
        <w:rPr>
          <w:rFonts w:ascii="仿宋_GB2312" w:hAnsi="仿宋_GB2312" w:eastAsia="仿宋_GB2312" w:cs="仿宋_GB2312"/>
          <w:sz w:val="32"/>
        </w:rPr>
        <w:t>，压缩“三公”经费；公务接待费预算数0万元，决算数0万元，预决算差异率0%，主要原因是：预算未安排，无此项支出。</w:t>
      </w:r>
    </w:p>
    <w:p>
      <w:pPr>
        <w:ind w:firstLine="640" w:firstLineChars="200"/>
        <w:outlineLvl w:val="1"/>
        <w:rPr>
          <w:rFonts w:ascii="黑体" w:hAnsi="黑体" w:eastAsia="黑体" w:cs="宋体"/>
          <w:bCs/>
          <w:kern w:val="0"/>
          <w:sz w:val="32"/>
          <w:szCs w:val="32"/>
        </w:rPr>
      </w:pPr>
      <w:bookmarkStart w:id="22" w:name="_Toc5810"/>
      <w:bookmarkStart w:id="23" w:name="_Toc7927"/>
      <w:r>
        <w:rPr>
          <w:rFonts w:hint="eastAsia" w:ascii="黑体" w:hAnsi="黑体" w:eastAsia="黑体" w:cs="宋体"/>
          <w:bCs/>
          <w:kern w:val="0"/>
          <w:sz w:val="32"/>
          <w:szCs w:val="32"/>
        </w:rPr>
        <w:t>八、政府性基金预算收入支出决算情况说明</w:t>
      </w:r>
      <w:bookmarkEnd w:id="22"/>
      <w:bookmarkEnd w:id="23"/>
    </w:p>
    <w:p>
      <w:pPr>
        <w:ind w:firstLine="640" w:firstLineChars="200"/>
        <w:rPr>
          <w:rFonts w:ascii="仿宋_GB2312" w:eastAsia="仿宋_GB2312"/>
          <w:color w:val="000000" w:themeColor="text1"/>
          <w:sz w:val="32"/>
          <w:szCs w:val="32"/>
          <w14:textFill>
            <w14:solidFill>
              <w14:schemeClr w14:val="tx1"/>
            </w14:solidFill>
          </w14:textFill>
        </w:rPr>
      </w:pPr>
      <w:r>
        <w:rPr>
          <w:rFonts w:ascii="仿宋_GB2312" w:hAnsi="仿宋_GB2312" w:eastAsia="仿宋_GB2312" w:cs="仿宋_GB2312"/>
          <w:sz w:val="32"/>
        </w:rPr>
        <w:t>我单位本年度无政府性基金预算财政拨款收入支出，政府性基金预算财政拨款收入支出决算表为空表。</w:t>
      </w:r>
    </w:p>
    <w:p>
      <w:pPr>
        <w:ind w:firstLine="640" w:firstLineChars="200"/>
        <w:outlineLvl w:val="1"/>
        <w:rPr>
          <w:rFonts w:ascii="黑体" w:hAnsi="黑体" w:eastAsia="黑体" w:cs="宋体"/>
          <w:bCs/>
          <w:kern w:val="0"/>
          <w:sz w:val="32"/>
          <w:szCs w:val="32"/>
        </w:rPr>
      </w:pPr>
      <w:bookmarkStart w:id="24" w:name="_Toc1235"/>
      <w:bookmarkStart w:id="25" w:name="_Toc7314"/>
      <w:r>
        <w:rPr>
          <w:rFonts w:hint="eastAsia" w:ascii="黑体" w:hAnsi="黑体" w:eastAsia="黑体" w:cs="宋体"/>
          <w:bCs/>
          <w:kern w:val="0"/>
          <w:sz w:val="32"/>
          <w:szCs w:val="32"/>
        </w:rPr>
        <w:t>九、其他重要事项的情况说明</w:t>
      </w:r>
      <w:bookmarkEnd w:id="24"/>
      <w:bookmarkEnd w:id="25"/>
    </w:p>
    <w:p>
      <w:pPr>
        <w:ind w:firstLine="640" w:firstLineChars="200"/>
        <w:outlineLvl w:val="2"/>
        <w:rPr>
          <w:rFonts w:ascii="黑体" w:hAnsi="黑体" w:eastAsia="黑体"/>
          <w:sz w:val="32"/>
          <w:szCs w:val="32"/>
        </w:rPr>
      </w:pPr>
      <w:bookmarkStart w:id="26" w:name="_Toc14519"/>
      <w:bookmarkStart w:id="27" w:name="_Toc13105"/>
      <w:r>
        <w:rPr>
          <w:rFonts w:hint="eastAsia" w:ascii="黑体" w:hAnsi="黑体" w:eastAsia="黑体"/>
          <w:sz w:val="32"/>
          <w:szCs w:val="32"/>
        </w:rPr>
        <w:t>（一）机关运行经费支出情况</w:t>
      </w:r>
      <w:bookmarkEnd w:id="26"/>
      <w:bookmarkEnd w:id="27"/>
    </w:p>
    <w:p>
      <w:pPr>
        <w:ind w:firstLine="640" w:firstLineChars="200"/>
        <w:rPr>
          <w:rFonts w:ascii="仿宋_GB2312" w:eastAsia="仿宋_GB2312"/>
          <w:sz w:val="32"/>
          <w:szCs w:val="32"/>
        </w:rPr>
      </w:pPr>
      <w:r>
        <w:rPr>
          <w:rFonts w:ascii="仿宋_GB2312" w:hAnsi="仿宋_GB2312" w:eastAsia="仿宋_GB2312" w:cs="仿宋_GB2312"/>
          <w:sz w:val="32"/>
        </w:rPr>
        <w:t>2019年度新疆喀什地区农机安全监理所机关运行经费支出11.55万元，比上年增加1.80万元，增长18.46%，主要原因是民族团结工作经费增加。</w:t>
      </w:r>
    </w:p>
    <w:p>
      <w:pPr>
        <w:ind w:firstLine="640" w:firstLineChars="200"/>
        <w:outlineLvl w:val="2"/>
        <w:rPr>
          <w:rFonts w:ascii="黑体" w:hAnsi="黑体" w:eastAsia="黑体"/>
          <w:sz w:val="32"/>
          <w:szCs w:val="32"/>
        </w:rPr>
      </w:pPr>
      <w:bookmarkStart w:id="28" w:name="_Toc227"/>
      <w:bookmarkStart w:id="29" w:name="_Toc26704"/>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ascii="仿宋_GB2312" w:hAnsi="仿宋_GB2312" w:eastAsia="仿宋_GB2312" w:cs="仿宋_GB2312"/>
          <w:sz w:val="32"/>
        </w:rPr>
        <w:t>2019年度政府采购支出总额1.63万元，其中：政府采购货物支出0万元、政府采购工程支出0万元、政府采购服务支出1.63万元。</w:t>
      </w:r>
    </w:p>
    <w:p>
      <w:pPr>
        <w:ind w:firstLine="640" w:firstLineChars="200"/>
        <w:rPr>
          <w:rFonts w:ascii="仿宋_GB2312" w:eastAsia="仿宋_GB2312"/>
          <w:sz w:val="32"/>
          <w:szCs w:val="32"/>
        </w:rPr>
      </w:pPr>
      <w:r>
        <w:rPr>
          <w:rFonts w:ascii="仿宋_GB2312" w:hAnsi="仿宋_GB2312" w:eastAsia="仿宋_GB2312" w:cs="仿宋_GB2312"/>
          <w:sz w:val="32"/>
        </w:rPr>
        <w:t>授予中小企业合同金额1.63万元，占政府采购支出总额的100%，其中：授予小微企业合同金额1.63万元，占政府采购支出总额的100%。</w:t>
      </w:r>
    </w:p>
    <w:p>
      <w:pPr>
        <w:ind w:firstLine="640" w:firstLineChars="200"/>
        <w:outlineLvl w:val="2"/>
        <w:rPr>
          <w:rFonts w:ascii="黑体" w:hAnsi="黑体" w:eastAsia="黑体"/>
          <w:sz w:val="32"/>
          <w:szCs w:val="32"/>
        </w:rPr>
      </w:pPr>
      <w:bookmarkStart w:id="30" w:name="_Toc8391"/>
      <w:bookmarkStart w:id="31" w:name="_Toc45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ascii="仿宋_GB2312" w:hAnsi="仿宋_GB2312" w:eastAsia="仿宋_GB2312" w:cs="仿宋_GB2312"/>
          <w:sz w:val="32"/>
        </w:rPr>
        <w:t>截止2019年12月31日，单位共有房屋225（平方米），价值3.78万元。车辆0辆，价值0万元，其中：副部（省）级及以上领导用车0辆、主要领导干部用车0辆、机要通信用车0辆、应急保障用车0辆、执法执勤用车0辆、特种专业技术用车0辆、离退休干部用车0辆、其他用车0辆，其他用车主要是：无；单位价值50万元以上通用设备0台（套）、单位价值100万元以上专用设备0台（套）。</w:t>
      </w:r>
    </w:p>
    <w:p>
      <w:pPr>
        <w:ind w:firstLine="640" w:firstLineChars="200"/>
        <w:outlineLvl w:val="1"/>
        <w:rPr>
          <w:rFonts w:ascii="黑体" w:hAnsi="黑体" w:eastAsia="黑体" w:cs="宋体"/>
          <w:bCs/>
          <w:kern w:val="0"/>
          <w:sz w:val="32"/>
          <w:szCs w:val="32"/>
        </w:rPr>
      </w:pPr>
      <w:bookmarkStart w:id="32" w:name="_Toc11283"/>
      <w:bookmarkStart w:id="33" w:name="_Toc435"/>
      <w:r>
        <w:rPr>
          <w:rFonts w:hint="eastAsia" w:ascii="黑体" w:hAnsi="黑体" w:eastAsia="黑体" w:cs="宋体"/>
          <w:bCs/>
          <w:kern w:val="0"/>
          <w:sz w:val="32"/>
          <w:szCs w:val="32"/>
        </w:rPr>
        <w:t>十、预算绩效的情况说明</w:t>
      </w:r>
      <w:bookmarkEnd w:id="32"/>
      <w:bookmarkEnd w:id="33"/>
    </w:p>
    <w:p>
      <w:pPr>
        <w:ind w:firstLine="640" w:firstLineChars="200"/>
        <w:rPr>
          <w:rFonts w:ascii="仿宋_GB2312" w:eastAsia="仿宋_GB2312"/>
          <w:sz w:val="32"/>
          <w:szCs w:val="32"/>
        </w:rPr>
      </w:pPr>
      <w:r>
        <w:rPr>
          <w:rFonts w:ascii="仿宋_GB2312" w:hAnsi="仿宋_GB2312" w:eastAsia="仿宋_GB2312" w:cs="仿宋_GB2312"/>
          <w:sz w:val="32"/>
        </w:rPr>
        <w:t>根据预算绩效管理要求，我单位2019年度开展预算绩效评价项目2个，共涉及资金10.82万元。预算绩效管理取得的成效：一是经济性评价：部门年度任务在预算资金额度内完成，并通过规范的招投标及严格的资金管理及项目管理及其他创新的管理措施实现了资金的节约。三公经费是在预算范围内开支，开支范围较上年的变化，有节约。二是效率性评价：各项工作计划是按预期计划按时完成，效益按预期时间产生。三是效益性评价：预期的经济效益、社会效益、可持续的影响产生，相关人员的满意度达到95%。发现的问题及原因：一是通过预算绩效管理，发现了工作中存在的不足，如前期资金使用因大环境因素项目未按期开展故未按期支付，导致了资金滞缓，影响了项目的进度，造成了部分资金的浪费。下一步改进措施：一是通过预算绩效管理，发现了工作中存在的不足，如前期资金使用因大环境因素项目未按期开展故未按期支付，导致了资金滞缓，影响了项目的进度，造成了部分资金的浪费。具体项目自评情况附项目支出绩效自评表。</w:t>
      </w:r>
    </w:p>
    <w:p>
      <w:pPr>
        <w:ind w:firstLine="640" w:firstLineChars="200"/>
        <w:jc w:val="center"/>
        <w:outlineLvl w:val="0"/>
        <w:rPr>
          <w:rFonts w:ascii="黑体" w:hAnsi="黑体" w:eastAsia="黑体"/>
          <w:sz w:val="32"/>
          <w:szCs w:val="32"/>
        </w:rPr>
      </w:pPr>
      <w:bookmarkStart w:id="34" w:name="_Toc3250"/>
      <w:bookmarkStart w:id="35" w:name="_Toc24143"/>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bookmarkStart w:id="36" w:name="_Toc28903"/>
      <w:bookmarkStart w:id="37" w:name="_Toc22784"/>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2183"/>
      <w:bookmarkStart w:id="39" w:name="_Toc6062"/>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24532"/>
      <w:bookmarkStart w:id="41" w:name="_Toc30364"/>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21304"/>
      <w:bookmarkStart w:id="43" w:name="_Toc3243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28786"/>
      <w:bookmarkStart w:id="45" w:name="_Toc14238"/>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0347"/>
      <w:bookmarkStart w:id="47" w:name="_Toc14869"/>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5626"/>
      <w:bookmarkStart w:id="49" w:name="_Toc8884"/>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29106"/>
      <w:bookmarkStart w:id="51" w:name="_Toc32663"/>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7643"/>
      <w:bookmarkStart w:id="53" w:name="_Toc5453"/>
      <w:r>
        <w:rPr>
          <w:rFonts w:hint="eastAsia" w:ascii="黑体" w:hAnsi="黑体" w:eastAsia="黑体" w:cs="宋体"/>
          <w:bCs/>
          <w:kern w:val="0"/>
          <w:sz w:val="32"/>
          <w:szCs w:val="32"/>
        </w:rPr>
        <w:t>八、《政府性基金预算财政拨款收入支出决算表》</w:t>
      </w:r>
      <w:bookmarkEnd w:id="52"/>
      <w:bookmarkEnd w:id="53"/>
    </w:p>
    <w:p>
      <w:bookmarkStart w:id="54" w:name="_GoBack"/>
      <w:bookmarkEnd w:id="54"/>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pPr>
                          <w:r>
                            <w:rPr>
                              <w:rFonts w:hint="eastAsia"/>
                            </w:rPr>
                            <w:fldChar w:fldCharType="begin"/>
                          </w:r>
                          <w:r>
                            <w:rPr>
                              <w:rFonts w:hint="eastAsia"/>
                            </w:rPr>
                            <w:instrText xml:space="preserve"> PAGE  \* MERGEFORMAT </w:instrText>
                          </w:r>
                          <w:r>
                            <w:rPr>
                              <w:rFonts w:hint="eastAsia"/>
                            </w:rPr>
                            <w:fldChar w:fldCharType="separate"/>
                          </w:r>
                          <w:r>
                            <w:t>12</w:t>
                          </w:r>
                          <w:r>
                            <w:rPr>
                              <w:rFonts w:hint="eastAsia"/>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APs5vjrgEAAEsD&#10;AAAOAAAAAAAAAAEAIAAAAB4BAABkcnMvZTJvRG9jLnhtbFBLBQYAAAAABgAGAFkBAAA+BQAAAAA=&#10;">
              <v:path/>
              <v:fill on="f" focussize="0,0"/>
              <v:stroke on="f" joinstyle="miter"/>
              <v:imagedata o:title=""/>
              <o:lock v:ext="edit"/>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12</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5F2007"/>
    <w:rsid w:val="695F20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toc 3"/>
    <w:basedOn w:val="1"/>
    <w:next w:val="1"/>
    <w:uiPriority w:val="0"/>
    <w:pPr>
      <w:ind w:left="840" w:leftChars="400"/>
    </w:pPr>
  </w:style>
  <w:style w:type="paragraph" w:styleId="3">
    <w:name w:val="footer"/>
    <w:basedOn w:val="1"/>
    <w:qFormat/>
    <w:uiPriority w:val="0"/>
    <w:pPr>
      <w:tabs>
        <w:tab w:val="center" w:pos="4153"/>
        <w:tab w:val="right" w:pos="8306"/>
      </w:tabs>
      <w:snapToGrid w:val="0"/>
      <w:jc w:val="left"/>
    </w:pPr>
    <w:rPr>
      <w:sz w:val="18"/>
    </w:rPr>
  </w:style>
  <w:style w:type="paragraph" w:styleId="4">
    <w:name w:val="toc 1"/>
    <w:basedOn w:val="1"/>
    <w:next w:val="1"/>
    <w:uiPriority w:val="0"/>
  </w:style>
  <w:style w:type="paragraph" w:styleId="5">
    <w:name w:val="toc 2"/>
    <w:basedOn w:val="1"/>
    <w:next w:val="1"/>
    <w:uiPriority w:val="0"/>
    <w:pPr>
      <w:ind w:left="420" w:left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2026-09-01T11:13:00Z</dcterms:created>
  <dc:creator>lenovo</dc:creator>
  <cp:lastModifiedBy>lenovo</cp:lastModifiedBy>
  <dcterms:modified xsi:type="dcterms:W3CDTF">2026-09-01T11:14:08Z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