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0305E1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喀什地区农业农村机械化发展中心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4B1C77F">
      <w:r>
        <w:br w:type="page"/>
      </w:r>
    </w:p>
    <w:p w14:paraId="03933379">
      <w:pPr>
        <w:spacing w:line="640" w:lineRule="exact"/>
        <w:jc w:val="center"/>
        <w:outlineLvl w:val="1"/>
      </w:pPr>
      <w:r>
        <w:rPr>
          <w:rFonts w:ascii="黑体" w:hAnsi="黑体" w:eastAsia="黑体"/>
          <w:sz w:val="32"/>
        </w:rPr>
        <w:t>第一部分 部门概况</w:t>
      </w:r>
    </w:p>
    <w:p w14:paraId="1A7FC76A">
      <w:pPr>
        <w:spacing w:line="640" w:lineRule="exact"/>
        <w:ind w:firstLine="640"/>
        <w:jc w:val="both"/>
        <w:outlineLvl w:val="2"/>
      </w:pPr>
      <w:r>
        <w:rPr>
          <w:rFonts w:ascii="黑体" w:hAnsi="黑体" w:eastAsia="黑体"/>
          <w:sz w:val="32"/>
        </w:rPr>
        <w:t>一、主要职能</w:t>
      </w:r>
    </w:p>
    <w:p w14:paraId="5FF43C9C">
      <w:pPr>
        <w:spacing w:line="580" w:lineRule="exact"/>
        <w:ind w:firstLine="640"/>
        <w:jc w:val="both"/>
      </w:pPr>
      <w:r>
        <w:rPr>
          <w:rFonts w:ascii="仿宋_GB2312" w:hAnsi="仿宋_GB2312" w:eastAsia="仿宋_GB2312"/>
          <w:sz w:val="32"/>
        </w:rPr>
        <w:t>(一)承担农机购置与应用补贴、报废补贴和作业补贴政策实施的技术支撑。</w:t>
      </w:r>
    </w:p>
    <w:p w14:paraId="1258D57D">
      <w:pPr>
        <w:spacing w:line="580" w:lineRule="exact"/>
        <w:ind w:firstLine="640"/>
        <w:jc w:val="both"/>
      </w:pPr>
      <w:r>
        <w:rPr>
          <w:rFonts w:ascii="仿宋_GB2312" w:hAnsi="仿宋_GB2312" w:eastAsia="仿宋_GB2312"/>
          <w:sz w:val="32"/>
        </w:rPr>
        <w:t>(二)承担农业机械装备的技术措施研究、起草、论证、评估</w:t>
      </w:r>
      <w:r>
        <w:rPr>
          <w:rFonts w:hint="eastAsia" w:ascii="仿宋_GB2312" w:hAnsi="仿宋_GB2312" w:eastAsia="仿宋_GB2312"/>
          <w:sz w:val="32"/>
          <w:lang w:eastAsia="zh-CN"/>
        </w:rPr>
        <w:t>；</w:t>
      </w:r>
      <w:r>
        <w:rPr>
          <w:rFonts w:ascii="仿宋_GB2312" w:hAnsi="仿宋_GB2312" w:eastAsia="仿宋_GB2312"/>
          <w:sz w:val="32"/>
        </w:rPr>
        <w:t>承担有关农机产品生产作业标准和技术规范规程拟定工作</w:t>
      </w:r>
      <w:r>
        <w:rPr>
          <w:rFonts w:hint="eastAsia" w:ascii="仿宋_GB2312" w:hAnsi="仿宋_GB2312" w:eastAsia="仿宋_GB2312"/>
          <w:sz w:val="32"/>
          <w:lang w:eastAsia="zh-CN"/>
        </w:rPr>
        <w:t>；</w:t>
      </w:r>
      <w:r>
        <w:rPr>
          <w:rFonts w:ascii="仿宋_GB2312" w:hAnsi="仿宋_GB2312" w:eastAsia="仿宋_GB2312"/>
          <w:sz w:val="32"/>
        </w:rPr>
        <w:t>为农业机械化信息和统计工作提供技术支撑和数据服务。</w:t>
      </w:r>
    </w:p>
    <w:p w14:paraId="0C04B9D4">
      <w:pPr>
        <w:spacing w:line="580" w:lineRule="exact"/>
        <w:ind w:firstLine="640"/>
        <w:jc w:val="both"/>
      </w:pPr>
      <w:r>
        <w:rPr>
          <w:rFonts w:ascii="仿宋_GB2312" w:hAnsi="仿宋_GB2312" w:eastAsia="仿宋_GB2312"/>
          <w:sz w:val="32"/>
        </w:rPr>
        <w:t>(三)承担农机产品质量调查、农机质量投诉受理和组织调解等工作的技术支撑。</w:t>
      </w:r>
    </w:p>
    <w:p w14:paraId="4AD87A09">
      <w:pPr>
        <w:spacing w:line="580" w:lineRule="exact"/>
        <w:ind w:firstLine="640"/>
        <w:jc w:val="both"/>
      </w:pPr>
      <w:r>
        <w:rPr>
          <w:rFonts w:ascii="仿宋_GB2312" w:hAnsi="仿宋_GB2312" w:eastAsia="仿宋_GB2312"/>
          <w:sz w:val="32"/>
        </w:rPr>
        <w:t>(四)实施全程全面机械化生产、设施农业装备建设、机棚库建设等有关农业机械化项目</w:t>
      </w:r>
      <w:r>
        <w:rPr>
          <w:rFonts w:hint="eastAsia" w:ascii="仿宋_GB2312" w:hAnsi="仿宋_GB2312" w:eastAsia="仿宋_GB2312"/>
          <w:sz w:val="32"/>
          <w:lang w:eastAsia="zh-CN"/>
        </w:rPr>
        <w:t>；</w:t>
      </w:r>
      <w:r>
        <w:rPr>
          <w:rFonts w:ascii="仿宋_GB2312" w:hAnsi="仿宋_GB2312" w:eastAsia="仿宋_GB2312"/>
          <w:sz w:val="32"/>
        </w:rPr>
        <w:t>指导实施农业机械化示范区建设</w:t>
      </w:r>
      <w:r>
        <w:rPr>
          <w:rFonts w:hint="eastAsia" w:ascii="仿宋_GB2312" w:hAnsi="仿宋_GB2312" w:eastAsia="仿宋_GB2312"/>
          <w:sz w:val="32"/>
          <w:lang w:eastAsia="zh-CN"/>
        </w:rPr>
        <w:t>；</w:t>
      </w:r>
      <w:r>
        <w:rPr>
          <w:rFonts w:ascii="仿宋_GB2312" w:hAnsi="仿宋_GB2312" w:eastAsia="仿宋_GB2312"/>
          <w:sz w:val="32"/>
        </w:rPr>
        <w:t>负责新技术、新机具引进、示范、推广和技术改进工作</w:t>
      </w:r>
      <w:r>
        <w:rPr>
          <w:rFonts w:hint="eastAsia" w:ascii="仿宋_GB2312" w:hAnsi="仿宋_GB2312" w:eastAsia="仿宋_GB2312"/>
          <w:sz w:val="32"/>
          <w:lang w:eastAsia="zh-CN"/>
        </w:rPr>
        <w:t>；</w:t>
      </w:r>
      <w:r>
        <w:rPr>
          <w:rFonts w:ascii="仿宋_GB2312" w:hAnsi="仿宋_GB2312" w:eastAsia="仿宋_GB2312"/>
          <w:sz w:val="32"/>
        </w:rPr>
        <w:t>开展农业机械化调研，推进农业机械化科技成果转化。</w:t>
      </w:r>
    </w:p>
    <w:p w14:paraId="2D82FC66">
      <w:pPr>
        <w:spacing w:line="580" w:lineRule="exact"/>
        <w:ind w:firstLine="640"/>
        <w:jc w:val="both"/>
      </w:pPr>
      <w:r>
        <w:rPr>
          <w:rFonts w:ascii="仿宋_GB2312" w:hAnsi="仿宋_GB2312" w:eastAsia="仿宋_GB2312"/>
          <w:sz w:val="32"/>
        </w:rPr>
        <w:t>(五)承担农业机械化科技推广和技术交流宣传工作</w:t>
      </w:r>
      <w:r>
        <w:rPr>
          <w:rFonts w:hint="eastAsia" w:ascii="仿宋_GB2312" w:hAnsi="仿宋_GB2312" w:eastAsia="仿宋_GB2312"/>
          <w:sz w:val="32"/>
          <w:lang w:eastAsia="zh-CN"/>
        </w:rPr>
        <w:t>；</w:t>
      </w:r>
      <w:r>
        <w:rPr>
          <w:rFonts w:ascii="仿宋_GB2312" w:hAnsi="仿宋_GB2312" w:eastAsia="仿宋_GB2312"/>
          <w:sz w:val="32"/>
        </w:rPr>
        <w:t>指导农业机械化生产和农机跨区作业服务工作。</w:t>
      </w:r>
    </w:p>
    <w:p w14:paraId="721E0F6B">
      <w:pPr>
        <w:spacing w:line="580" w:lineRule="exact"/>
        <w:ind w:firstLine="640"/>
        <w:jc w:val="both"/>
      </w:pPr>
      <w:r>
        <w:rPr>
          <w:rFonts w:ascii="仿宋_GB2312" w:hAnsi="仿宋_GB2312" w:eastAsia="仿宋_GB2312"/>
          <w:sz w:val="32"/>
        </w:rPr>
        <w:t>(六)开展农机农艺融合、机械化信息化融合、农机化技术培训、农机行业培训与鉴定相关工作</w:t>
      </w:r>
      <w:r>
        <w:rPr>
          <w:rFonts w:hint="eastAsia" w:ascii="仿宋_GB2312" w:hAnsi="仿宋_GB2312" w:eastAsia="仿宋_GB2312"/>
          <w:sz w:val="32"/>
          <w:lang w:eastAsia="zh-CN"/>
        </w:rPr>
        <w:t>；</w:t>
      </w:r>
      <w:r>
        <w:rPr>
          <w:rFonts w:ascii="仿宋_GB2312" w:hAnsi="仿宋_GB2312" w:eastAsia="仿宋_GB2312"/>
          <w:sz w:val="32"/>
        </w:rPr>
        <w:t>进行农机技术推广和教育培训工作的组织协调。</w:t>
      </w:r>
    </w:p>
    <w:p w14:paraId="717619CC">
      <w:pPr>
        <w:spacing w:line="580" w:lineRule="exact"/>
        <w:ind w:firstLine="640"/>
        <w:jc w:val="both"/>
      </w:pPr>
      <w:r>
        <w:rPr>
          <w:rFonts w:ascii="仿宋_GB2312" w:hAnsi="仿宋_GB2312" w:eastAsia="仿宋_GB2312"/>
          <w:sz w:val="32"/>
        </w:rPr>
        <w:t>(七)承担农机牌证管理、农机安全技术检验和勘验等农机安全生产服务工作</w:t>
      </w:r>
      <w:r>
        <w:rPr>
          <w:rFonts w:hint="eastAsia" w:ascii="仿宋_GB2312" w:hAnsi="仿宋_GB2312" w:eastAsia="仿宋_GB2312"/>
          <w:sz w:val="32"/>
          <w:lang w:eastAsia="zh-CN"/>
        </w:rPr>
        <w:t>；</w:t>
      </w:r>
      <w:r>
        <w:rPr>
          <w:rFonts w:ascii="仿宋_GB2312" w:hAnsi="仿宋_GB2312" w:eastAsia="仿宋_GB2312"/>
          <w:sz w:val="32"/>
        </w:rPr>
        <w:t>承担大型工程机械设备牌证管理、安全技术检验等工作</w:t>
      </w:r>
      <w:r>
        <w:rPr>
          <w:rFonts w:hint="eastAsia" w:ascii="仿宋_GB2312" w:hAnsi="仿宋_GB2312" w:eastAsia="仿宋_GB2312"/>
          <w:sz w:val="32"/>
          <w:lang w:eastAsia="zh-CN"/>
        </w:rPr>
        <w:t>；</w:t>
      </w:r>
      <w:r>
        <w:rPr>
          <w:rFonts w:ascii="仿宋_GB2312" w:hAnsi="仿宋_GB2312" w:eastAsia="仿宋_GB2312"/>
          <w:sz w:val="32"/>
        </w:rPr>
        <w:t>负责农机驾驶人员考试、发证及审验</w:t>
      </w:r>
      <w:r>
        <w:rPr>
          <w:rFonts w:hint="eastAsia" w:ascii="仿宋_GB2312" w:hAnsi="仿宋_GB2312" w:eastAsia="仿宋_GB2312"/>
          <w:sz w:val="32"/>
          <w:lang w:eastAsia="zh-CN"/>
        </w:rPr>
        <w:t>；</w:t>
      </w:r>
      <w:r>
        <w:rPr>
          <w:rFonts w:ascii="仿宋_GB2312" w:hAnsi="仿宋_GB2312" w:eastAsia="仿宋_GB2312"/>
          <w:sz w:val="32"/>
        </w:rPr>
        <w:t>负责大型工程机械设备操作(驾驶)人员考试、发证及审验。</w:t>
      </w:r>
    </w:p>
    <w:p w14:paraId="5EF9D73C">
      <w:pPr>
        <w:spacing w:line="580" w:lineRule="exact"/>
        <w:ind w:firstLine="640"/>
        <w:jc w:val="both"/>
      </w:pPr>
      <w:r>
        <w:rPr>
          <w:rFonts w:ascii="仿宋_GB2312" w:hAnsi="仿宋_GB2312" w:eastAsia="仿宋_GB2312"/>
          <w:sz w:val="32"/>
        </w:rPr>
        <w:t>(八)开展农机社会化服务工作</w:t>
      </w:r>
      <w:r>
        <w:rPr>
          <w:rFonts w:hint="eastAsia" w:ascii="仿宋_GB2312" w:hAnsi="仿宋_GB2312" w:eastAsia="仿宋_GB2312"/>
          <w:sz w:val="32"/>
          <w:lang w:eastAsia="zh-CN"/>
        </w:rPr>
        <w:t>；</w:t>
      </w:r>
      <w:r>
        <w:rPr>
          <w:rFonts w:ascii="仿宋_GB2312" w:hAnsi="仿宋_GB2312" w:eastAsia="仿宋_GB2312"/>
          <w:sz w:val="32"/>
        </w:rPr>
        <w:t>承担农机推广、监理、信息、服务等队伍建设工作。</w:t>
      </w:r>
    </w:p>
    <w:p w14:paraId="6FF1C234">
      <w:pPr>
        <w:spacing w:line="580" w:lineRule="exact"/>
        <w:ind w:firstLine="640"/>
        <w:jc w:val="both"/>
      </w:pPr>
      <w:r>
        <w:rPr>
          <w:rFonts w:ascii="仿宋_GB2312" w:hAnsi="仿宋_GB2312" w:eastAsia="仿宋_GB2312"/>
          <w:sz w:val="32"/>
        </w:rPr>
        <w:t>(九)完成行署及农业农村局交办的</w:t>
      </w:r>
      <w:r>
        <w:rPr>
          <w:rFonts w:hint="eastAsia" w:ascii="仿宋_GB2312" w:hAnsi="仿宋_GB2312" w:eastAsia="仿宋_GB2312"/>
          <w:sz w:val="32"/>
          <w:lang w:eastAsia="zh-CN"/>
        </w:rPr>
        <w:t>其他</w:t>
      </w:r>
      <w:r>
        <w:rPr>
          <w:rFonts w:ascii="仿宋_GB2312" w:hAnsi="仿宋_GB2312" w:eastAsia="仿宋_GB2312"/>
          <w:sz w:val="32"/>
        </w:rPr>
        <w:t>工作事项。</w:t>
      </w:r>
    </w:p>
    <w:p w14:paraId="6C3462CE">
      <w:pPr>
        <w:spacing w:line="640" w:lineRule="exact"/>
        <w:ind w:firstLine="640"/>
        <w:jc w:val="both"/>
        <w:outlineLvl w:val="2"/>
      </w:pPr>
      <w:r>
        <w:rPr>
          <w:rFonts w:ascii="黑体" w:hAnsi="黑体" w:eastAsia="黑体"/>
          <w:sz w:val="32"/>
        </w:rPr>
        <w:t>二、机构设置及人员情况</w:t>
      </w:r>
    </w:p>
    <w:p w14:paraId="196B8D81">
      <w:pPr>
        <w:spacing w:line="580" w:lineRule="exact"/>
        <w:ind w:firstLine="640"/>
        <w:jc w:val="both"/>
      </w:pPr>
      <w:r>
        <w:rPr>
          <w:rFonts w:ascii="仿宋_GB2312" w:hAnsi="仿宋_GB2312" w:eastAsia="仿宋_GB2312"/>
          <w:sz w:val="32"/>
        </w:rPr>
        <w:t>喀什地区农业农村机械化发展中心2024年度，实有人数72人，其中：在职人员30人，减少1人；离休人员0人，减少1人；退休人员42人,增加1人。</w:t>
      </w:r>
    </w:p>
    <w:p w14:paraId="53EE00FB">
      <w:pPr>
        <w:spacing w:line="580" w:lineRule="exact"/>
        <w:ind w:firstLine="640"/>
        <w:jc w:val="both"/>
      </w:pPr>
      <w:r>
        <w:rPr>
          <w:rFonts w:ascii="仿宋_GB2312" w:hAnsi="仿宋_GB2312" w:eastAsia="仿宋_GB2312"/>
          <w:sz w:val="32"/>
        </w:rPr>
        <w:t>喀什地区农业农村机械化发展中心无下属预算单位，下设4个科室，分别是：办公室、农机装备科、农机社会化服务指导科、科技和标准化科。</w:t>
      </w:r>
    </w:p>
    <w:p w14:paraId="02DA33AF">
      <w:r>
        <w:br w:type="page"/>
      </w:r>
    </w:p>
    <w:p w14:paraId="26DB2B13">
      <w:pPr>
        <w:spacing w:line="240" w:lineRule="auto"/>
        <w:jc w:val="center"/>
        <w:outlineLvl w:val="1"/>
      </w:pPr>
      <w:r>
        <w:rPr>
          <w:rFonts w:ascii="黑体" w:hAnsi="黑体" w:eastAsia="黑体"/>
          <w:sz w:val="32"/>
        </w:rPr>
        <w:t>第二部分 部门决算情况说明</w:t>
      </w:r>
    </w:p>
    <w:p w14:paraId="74CC55BC">
      <w:pPr>
        <w:spacing w:line="640" w:lineRule="exact"/>
        <w:ind w:firstLine="640"/>
        <w:jc w:val="both"/>
        <w:outlineLvl w:val="2"/>
      </w:pPr>
      <w:r>
        <w:rPr>
          <w:rFonts w:ascii="黑体" w:hAnsi="黑体" w:eastAsia="黑体"/>
          <w:sz w:val="32"/>
        </w:rPr>
        <w:t>一、收入支出决算总体情况说明</w:t>
      </w:r>
    </w:p>
    <w:p w14:paraId="0D79A9DA">
      <w:pPr>
        <w:spacing w:line="580" w:lineRule="exact"/>
        <w:ind w:firstLine="640"/>
        <w:jc w:val="both"/>
      </w:pPr>
      <w:r>
        <w:rPr>
          <w:rFonts w:ascii="仿宋_GB2312" w:hAnsi="仿宋_GB2312" w:eastAsia="仿宋_GB2312"/>
          <w:b/>
          <w:sz w:val="32"/>
        </w:rPr>
        <w:t>2024年度收入总计754.61万元，</w:t>
      </w:r>
      <w:r>
        <w:rPr>
          <w:rFonts w:ascii="仿宋_GB2312" w:hAnsi="仿宋_GB2312" w:eastAsia="仿宋_GB2312"/>
          <w:b w:val="0"/>
          <w:sz w:val="32"/>
        </w:rPr>
        <w:t>其中：本年收入合计754.61万元，使用非财政拨款结余（含专用结余）0.00万元，年初结转和结余0.00万元。</w:t>
      </w:r>
    </w:p>
    <w:p w14:paraId="4752654B">
      <w:pPr>
        <w:spacing w:line="580" w:lineRule="exact"/>
        <w:ind w:firstLine="640"/>
        <w:jc w:val="both"/>
      </w:pPr>
      <w:r>
        <w:rPr>
          <w:rFonts w:ascii="仿宋_GB2312" w:hAnsi="仿宋_GB2312" w:eastAsia="仿宋_GB2312"/>
          <w:b/>
          <w:sz w:val="32"/>
        </w:rPr>
        <w:t>2024年度支出总计754.61万元，</w:t>
      </w:r>
      <w:r>
        <w:rPr>
          <w:rFonts w:ascii="仿宋_GB2312" w:hAnsi="仿宋_GB2312" w:eastAsia="仿宋_GB2312"/>
          <w:b w:val="0"/>
          <w:sz w:val="32"/>
        </w:rPr>
        <w:t>其中：本年支出合计754.61万元，结余分配0.00万元，年末结转和结余0.00万元。</w:t>
      </w:r>
    </w:p>
    <w:p w14:paraId="1B1DEA6B">
      <w:pPr>
        <w:spacing w:line="580" w:lineRule="exact"/>
        <w:ind w:firstLine="640"/>
        <w:jc w:val="both"/>
      </w:pPr>
      <w:r>
        <w:rPr>
          <w:rFonts w:ascii="仿宋_GB2312" w:hAnsi="仿宋_GB2312" w:eastAsia="仿宋_GB2312"/>
          <w:b w:val="0"/>
          <w:sz w:val="32"/>
        </w:rPr>
        <w:t>收入支出总体与上年相比，减少21.09万元，下降2.72%，主要原因是：本年未安排农机信息服务能力建设项目、农机服务组织建设项目，本年资金较上年资金减少。</w:t>
      </w:r>
    </w:p>
    <w:p w14:paraId="3B51D54E">
      <w:pPr>
        <w:spacing w:line="640" w:lineRule="exact"/>
        <w:ind w:firstLine="640"/>
        <w:jc w:val="both"/>
        <w:outlineLvl w:val="2"/>
      </w:pPr>
      <w:r>
        <w:rPr>
          <w:rFonts w:ascii="黑体" w:hAnsi="黑体" w:eastAsia="黑体"/>
          <w:sz w:val="32"/>
        </w:rPr>
        <w:t>二、收入决算情况说明</w:t>
      </w:r>
    </w:p>
    <w:p w14:paraId="1FB77FF2">
      <w:pPr>
        <w:spacing w:line="580" w:lineRule="exact"/>
        <w:ind w:firstLine="640"/>
        <w:jc w:val="both"/>
      </w:pPr>
      <w:r>
        <w:rPr>
          <w:rFonts w:ascii="仿宋_GB2312" w:hAnsi="仿宋_GB2312" w:eastAsia="仿宋_GB2312"/>
          <w:b/>
          <w:sz w:val="32"/>
        </w:rPr>
        <w:t>本年收入754.61万元，</w:t>
      </w:r>
      <w:r>
        <w:rPr>
          <w:rFonts w:ascii="仿宋_GB2312" w:hAnsi="仿宋_GB2312" w:eastAsia="仿宋_GB2312"/>
          <w:b w:val="0"/>
          <w:sz w:val="32"/>
        </w:rPr>
        <w:t>其中：财政拨款收入754.61万元，占100.00%；上级补助收入0.00万元，占0.00%；事业收入0.00万元，占0.00%；经营收入0.00万元，占0.00%；附属单位上缴收入0.00万元，占0.00%；其他收入0.00万元，占0.00%。</w:t>
      </w:r>
    </w:p>
    <w:p w14:paraId="30A9E40A">
      <w:pPr>
        <w:spacing w:line="640" w:lineRule="exact"/>
        <w:ind w:firstLine="640"/>
        <w:jc w:val="both"/>
        <w:outlineLvl w:val="2"/>
      </w:pPr>
      <w:r>
        <w:rPr>
          <w:rFonts w:ascii="黑体" w:hAnsi="黑体" w:eastAsia="黑体"/>
          <w:sz w:val="32"/>
        </w:rPr>
        <w:t>三、支出决算情况说明</w:t>
      </w:r>
    </w:p>
    <w:p w14:paraId="0047B520">
      <w:pPr>
        <w:spacing w:line="580" w:lineRule="exact"/>
        <w:ind w:firstLine="640"/>
        <w:jc w:val="both"/>
      </w:pPr>
      <w:r>
        <w:rPr>
          <w:rFonts w:ascii="仿宋_GB2312" w:hAnsi="仿宋_GB2312" w:eastAsia="仿宋_GB2312"/>
          <w:b/>
          <w:sz w:val="32"/>
        </w:rPr>
        <w:t>本年支出754.61万元，</w:t>
      </w:r>
      <w:r>
        <w:rPr>
          <w:rFonts w:ascii="仿宋_GB2312" w:hAnsi="仿宋_GB2312" w:eastAsia="仿宋_GB2312"/>
          <w:b w:val="0"/>
          <w:sz w:val="32"/>
        </w:rPr>
        <w:t>其中：基本支出734.04万元，占97.27%；项目支出20.56万元，占2.72%；上缴上级支出0.00万元，占0.00%；经营支出0.00万元，占0.00%；对附属单位补助支出0.00万元，占0.00%。</w:t>
      </w:r>
    </w:p>
    <w:p w14:paraId="61276BA0">
      <w:pPr>
        <w:spacing w:line="640" w:lineRule="exact"/>
        <w:ind w:firstLine="640"/>
        <w:jc w:val="both"/>
        <w:outlineLvl w:val="2"/>
      </w:pPr>
      <w:r>
        <w:rPr>
          <w:rFonts w:ascii="黑体" w:hAnsi="黑体" w:eastAsia="黑体"/>
          <w:sz w:val="32"/>
        </w:rPr>
        <w:t>四、财政拨款收入支出决算总体情况说明</w:t>
      </w:r>
    </w:p>
    <w:p w14:paraId="72FE1E9A">
      <w:pPr>
        <w:spacing w:line="580" w:lineRule="exact"/>
        <w:ind w:firstLine="640"/>
        <w:jc w:val="both"/>
      </w:pPr>
      <w:r>
        <w:rPr>
          <w:rFonts w:ascii="仿宋_GB2312" w:hAnsi="仿宋_GB2312" w:eastAsia="仿宋_GB2312"/>
          <w:b/>
          <w:sz w:val="32"/>
        </w:rPr>
        <w:t>2024年度财政拨款收入总计754.61万元，</w:t>
      </w:r>
      <w:r>
        <w:rPr>
          <w:rFonts w:ascii="仿宋_GB2312" w:hAnsi="仿宋_GB2312" w:eastAsia="仿宋_GB2312"/>
          <w:b w:val="0"/>
          <w:sz w:val="32"/>
        </w:rPr>
        <w:t>其中：年初财政拨款结转和结余0.00万元，本年财政拨款收入754.61万元。</w:t>
      </w:r>
      <w:r>
        <w:rPr>
          <w:rFonts w:ascii="仿宋_GB2312" w:hAnsi="仿宋_GB2312" w:eastAsia="仿宋_GB2312"/>
          <w:b/>
          <w:sz w:val="32"/>
        </w:rPr>
        <w:t>财政拨款支出总计754.61万元，</w:t>
      </w:r>
      <w:r>
        <w:rPr>
          <w:rFonts w:ascii="仿宋_GB2312" w:hAnsi="仿宋_GB2312" w:eastAsia="仿宋_GB2312"/>
          <w:b w:val="0"/>
          <w:sz w:val="32"/>
        </w:rPr>
        <w:t>其中：年末财政拨款结转和结余0.00万元，本年财政拨款支出754.61万元。</w:t>
      </w:r>
    </w:p>
    <w:p w14:paraId="257F78A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减少17.79万元，下降2.30%，主要原因是：本年未安排农机信息服务能力建设项目、农机服务组织建设项目，本年资金较上年资金减少。</w:t>
      </w:r>
      <w:r>
        <w:rPr>
          <w:rFonts w:ascii="仿宋_GB2312" w:hAnsi="仿宋_GB2312" w:eastAsia="仿宋_GB2312"/>
          <w:b/>
          <w:sz w:val="32"/>
        </w:rPr>
        <w:t>与年初预算相比，</w:t>
      </w:r>
      <w:r>
        <w:rPr>
          <w:rFonts w:ascii="仿宋_GB2312" w:hAnsi="仿宋_GB2312" w:eastAsia="仿宋_GB2312"/>
          <w:b w:val="0"/>
          <w:sz w:val="32"/>
        </w:rPr>
        <w:t>年初预算数733.70万元，决算数754.61万元，预决算差异率2.85%，主要原因是：年中追加人员工资、社保、公积金基数调增部分资金，导致预决算存在差异。</w:t>
      </w:r>
    </w:p>
    <w:p w14:paraId="712EC00D">
      <w:pPr>
        <w:spacing w:line="640" w:lineRule="exact"/>
        <w:ind w:firstLine="640"/>
        <w:jc w:val="both"/>
        <w:outlineLvl w:val="2"/>
      </w:pPr>
      <w:r>
        <w:rPr>
          <w:rFonts w:ascii="黑体" w:hAnsi="黑体" w:eastAsia="黑体"/>
          <w:sz w:val="32"/>
        </w:rPr>
        <w:t>五、一般公共预算财政拨款支出决算情况说明</w:t>
      </w:r>
    </w:p>
    <w:p w14:paraId="5C4B9F1E">
      <w:pPr>
        <w:spacing w:line="640" w:lineRule="exact"/>
        <w:ind w:firstLine="640"/>
        <w:jc w:val="both"/>
        <w:outlineLvl w:val="3"/>
      </w:pPr>
      <w:r>
        <w:rPr>
          <w:rFonts w:ascii="楷体_GB2312" w:hAnsi="楷体_GB2312" w:eastAsia="楷体_GB2312"/>
          <w:b/>
          <w:sz w:val="32"/>
        </w:rPr>
        <w:t>（一）一般公共预算财政拨款支出决算总体情况</w:t>
      </w:r>
    </w:p>
    <w:p w14:paraId="070ADFA4">
      <w:pPr>
        <w:spacing w:line="580" w:lineRule="exact"/>
        <w:ind w:firstLine="640"/>
        <w:jc w:val="both"/>
      </w:pPr>
      <w:r>
        <w:rPr>
          <w:rFonts w:ascii="仿宋_GB2312" w:hAnsi="仿宋_GB2312" w:eastAsia="仿宋_GB2312"/>
          <w:b/>
          <w:sz w:val="32"/>
        </w:rPr>
        <w:t>2024年度一般公共预算财政拨款支出754.61万元，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减少17.79万元，下降2.30%，主要原因是：本年未安排农机信息服务能力建设项目、农机服务组织建设项目，本年资金较上年资金减少。</w:t>
      </w:r>
      <w:r>
        <w:rPr>
          <w:rFonts w:ascii="仿宋_GB2312" w:hAnsi="仿宋_GB2312" w:eastAsia="仿宋_GB2312"/>
          <w:b/>
          <w:sz w:val="32"/>
        </w:rPr>
        <w:t>与年初预算相比,</w:t>
      </w:r>
      <w:r>
        <w:rPr>
          <w:rFonts w:ascii="仿宋_GB2312" w:hAnsi="仿宋_GB2312" w:eastAsia="仿宋_GB2312"/>
          <w:b w:val="0"/>
          <w:sz w:val="32"/>
        </w:rPr>
        <w:t>年初预算数733.70万元，决算数754.61万元，预决算差异率2.85%，主要原因是：年中追加人员经费及人员工资、社保、公积金基数调增部分资金，导致预决算存在差异。</w:t>
      </w:r>
    </w:p>
    <w:p w14:paraId="45B11EBA">
      <w:pPr>
        <w:spacing w:line="640" w:lineRule="exact"/>
        <w:ind w:firstLine="640"/>
        <w:jc w:val="both"/>
        <w:outlineLvl w:val="3"/>
      </w:pPr>
      <w:r>
        <w:rPr>
          <w:rFonts w:ascii="楷体_GB2312" w:hAnsi="楷体_GB2312" w:eastAsia="楷体_GB2312"/>
          <w:b/>
          <w:sz w:val="32"/>
        </w:rPr>
        <w:t>（二）一般公共预算财政拨款支出决算结构情况</w:t>
      </w:r>
    </w:p>
    <w:p w14:paraId="0E658439">
      <w:pPr>
        <w:spacing w:line="580" w:lineRule="exact"/>
        <w:ind w:firstLine="640"/>
        <w:jc w:val="both"/>
      </w:pPr>
      <w:r>
        <w:rPr>
          <w:rFonts w:ascii="仿宋_GB2312" w:hAnsi="仿宋_GB2312" w:eastAsia="仿宋_GB2312"/>
          <w:b w:val="0"/>
          <w:sz w:val="32"/>
        </w:rPr>
        <w:t>1.社会保障和就业支出(类)182.15万元,占24.14%。</w:t>
      </w:r>
    </w:p>
    <w:p w14:paraId="21AF2364">
      <w:pPr>
        <w:spacing w:line="580" w:lineRule="exact"/>
        <w:ind w:firstLine="640"/>
        <w:jc w:val="both"/>
      </w:pPr>
      <w:r>
        <w:rPr>
          <w:rFonts w:ascii="仿宋_GB2312" w:hAnsi="仿宋_GB2312" w:eastAsia="仿宋_GB2312"/>
          <w:b w:val="0"/>
          <w:sz w:val="32"/>
        </w:rPr>
        <w:t>2.卫生健康支出(类)27.76万元,占3.68%。</w:t>
      </w:r>
    </w:p>
    <w:p w14:paraId="13A34977">
      <w:pPr>
        <w:spacing w:line="580" w:lineRule="exact"/>
        <w:ind w:firstLine="640"/>
        <w:jc w:val="both"/>
      </w:pPr>
      <w:r>
        <w:rPr>
          <w:rFonts w:ascii="仿宋_GB2312" w:hAnsi="仿宋_GB2312" w:eastAsia="仿宋_GB2312"/>
          <w:b w:val="0"/>
          <w:sz w:val="32"/>
        </w:rPr>
        <w:t>3.农林水支出(类)497.60万元,占65.94%。</w:t>
      </w:r>
    </w:p>
    <w:p w14:paraId="4C8A3704">
      <w:pPr>
        <w:spacing w:line="580" w:lineRule="exact"/>
        <w:ind w:firstLine="640"/>
        <w:jc w:val="both"/>
      </w:pPr>
      <w:r>
        <w:rPr>
          <w:rFonts w:ascii="仿宋_GB2312" w:hAnsi="仿宋_GB2312" w:eastAsia="仿宋_GB2312"/>
          <w:b w:val="0"/>
          <w:sz w:val="32"/>
        </w:rPr>
        <w:t>4.住房保障支出(类)47.10万元,占6.24%。</w:t>
      </w:r>
    </w:p>
    <w:p w14:paraId="1C731300">
      <w:pPr>
        <w:spacing w:line="640" w:lineRule="exact"/>
        <w:ind w:firstLine="640"/>
        <w:jc w:val="both"/>
        <w:outlineLvl w:val="3"/>
      </w:pPr>
      <w:r>
        <w:rPr>
          <w:rFonts w:ascii="楷体_GB2312" w:hAnsi="楷体_GB2312" w:eastAsia="楷体_GB2312"/>
          <w:b/>
          <w:sz w:val="32"/>
        </w:rPr>
        <w:t>（三）一般公共预算财政拨款支出决算具体情况</w:t>
      </w:r>
    </w:p>
    <w:p w14:paraId="79887AB9">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1.社会保障和就业支出(类)行政事业单位养老支出(款)行政单位离退休(项):支出决算数为75.16万元，比上年决算增加2.01万元，增长2.75%,主要原因是：本年退休人员增加，退休费支出增加。</w:t>
      </w:r>
    </w:p>
    <w:p w14:paraId="21140E1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55.93万元，比上年决算减少0.27万元，下降0.48%,主要原因是：本年在职人员减少，单位基本养老保险缴费较上年减少。</w:t>
      </w:r>
    </w:p>
    <w:p w14:paraId="34D5A26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9.70万元，比上年决算减少7.42万元，下降43.34%,主要原因是：本年新增退休人员较上年减少，职业年金缴费较上年减少。</w:t>
      </w:r>
    </w:p>
    <w:p w14:paraId="6B9D81CB">
      <w:pPr>
        <w:spacing w:line="580" w:lineRule="exact"/>
        <w:ind w:firstLine="640"/>
        <w:jc w:val="both"/>
      </w:pPr>
      <w:r>
        <w:rPr>
          <w:rFonts w:ascii="仿宋_GB2312" w:hAnsi="仿宋_GB2312" w:eastAsia="仿宋_GB2312"/>
          <w:b w:val="0"/>
          <w:sz w:val="32"/>
        </w:rPr>
        <w:t>4.社会保障和就业支出(类)抚恤(款)死亡抚恤(项):支出决算数为41.36万元，比上年决算增加18.97万元，增长84.73%,主要原因是：本年新增死亡人员较上年增加，死亡抚恤支出增加。</w:t>
      </w:r>
    </w:p>
    <w:p w14:paraId="07F57661">
      <w:pPr>
        <w:spacing w:line="580" w:lineRule="exact"/>
        <w:ind w:firstLine="640"/>
        <w:jc w:val="both"/>
      </w:pPr>
      <w:r>
        <w:rPr>
          <w:rFonts w:ascii="仿宋_GB2312" w:hAnsi="仿宋_GB2312" w:eastAsia="仿宋_GB2312"/>
          <w:b w:val="0"/>
          <w:sz w:val="32"/>
        </w:rPr>
        <w:t>5.卫生健康支出(类)行政事业单位医疗(款)行政单位医疗(项):支出决算数为23.77万元，比上年决算减少0.58万元，下降2.38%,主要原因是：本年在职人员减少，行政单位医疗支出较上年减少。</w:t>
      </w:r>
    </w:p>
    <w:p w14:paraId="5337CC9F">
      <w:pPr>
        <w:spacing w:line="580" w:lineRule="exact"/>
        <w:ind w:firstLine="640"/>
        <w:jc w:val="both"/>
      </w:pPr>
      <w:r>
        <w:rPr>
          <w:rFonts w:ascii="仿宋_GB2312" w:hAnsi="仿宋_GB2312" w:eastAsia="仿宋_GB2312"/>
          <w:b w:val="0"/>
          <w:sz w:val="32"/>
        </w:rPr>
        <w:t>6.卫生健康支出(类)行政事业单位医疗(款)公务员医疗补助(项):支出决算数为3.99万元，比上年决算减少1.55万元，下降27.98%,主要原因是：本年在职人员减少，公务员医疗补助较上年减少。</w:t>
      </w:r>
    </w:p>
    <w:p w14:paraId="3590525B">
      <w:pPr>
        <w:spacing w:line="580" w:lineRule="exact"/>
        <w:ind w:firstLine="640"/>
        <w:jc w:val="both"/>
      </w:pPr>
      <w:r>
        <w:rPr>
          <w:rFonts w:ascii="仿宋_GB2312" w:hAnsi="仿宋_GB2312" w:eastAsia="仿宋_GB2312"/>
          <w:b w:val="0"/>
          <w:sz w:val="32"/>
        </w:rPr>
        <w:t>7.农林水支出(类)农业农村(款)行政运行(项):支出决算数为477.03万元，比上年决算增加15.51万元，增长3.36%,主要原因是：本年在职人员调入调出，人员职级不同，导致经费增加。</w:t>
      </w:r>
    </w:p>
    <w:p w14:paraId="5C6C9FC4">
      <w:pPr>
        <w:spacing w:line="580" w:lineRule="exact"/>
        <w:ind w:firstLine="640"/>
        <w:jc w:val="both"/>
      </w:pPr>
      <w:r>
        <w:rPr>
          <w:rFonts w:ascii="仿宋_GB2312" w:hAnsi="仿宋_GB2312" w:eastAsia="仿宋_GB2312"/>
          <w:b w:val="0"/>
          <w:sz w:val="32"/>
        </w:rPr>
        <w:t>8.农林水支出(类)农业农村(款)一般行政管理事务(项):支出决算数为17.53万元，比上年决算增加5.03万元，增长40.24%,主要原因是：本年新增异地交流干部交通费项目、内调干部周转房租赁费项目，惠民补贴资金监督检查项目资金增加。</w:t>
      </w:r>
    </w:p>
    <w:p w14:paraId="196EF23F">
      <w:pPr>
        <w:spacing w:line="580" w:lineRule="exact"/>
        <w:ind w:firstLine="640"/>
        <w:jc w:val="both"/>
      </w:pPr>
      <w:r>
        <w:rPr>
          <w:rFonts w:ascii="仿宋_GB2312" w:hAnsi="仿宋_GB2312" w:eastAsia="仿宋_GB2312"/>
          <w:b w:val="0"/>
          <w:sz w:val="32"/>
        </w:rPr>
        <w:t>9.农林水支出(类)农业农村(款)科技转化与推广服务(项):支出决算数为3.04万元，比上年决算减少13.92万元，下降82.08%,主要原因是：自治区“三农”骨干人才培养项目为上年结转项目，本年资金较上年资金减少。</w:t>
      </w:r>
    </w:p>
    <w:p w14:paraId="25956294">
      <w:pPr>
        <w:spacing w:line="580" w:lineRule="exact"/>
        <w:ind w:firstLine="640"/>
        <w:jc w:val="both"/>
      </w:pPr>
      <w:r>
        <w:rPr>
          <w:rFonts w:ascii="仿宋_GB2312" w:hAnsi="仿宋_GB2312" w:eastAsia="仿宋_GB2312"/>
          <w:b w:val="0"/>
          <w:sz w:val="32"/>
        </w:rPr>
        <w:t>10.农林水支出(类)农业农村(款)农业生产发展(项):支出决算数为0.00万元，比上年决算减少35.00万元，下降100.00%,主要原因是：本年未安排农机信息服务能力建设项目、农机服务组织建设项目，资金较上年资金减少。</w:t>
      </w:r>
    </w:p>
    <w:p w14:paraId="4C004778">
      <w:pPr>
        <w:spacing w:line="580" w:lineRule="exact"/>
        <w:ind w:firstLine="640"/>
        <w:jc w:val="both"/>
      </w:pPr>
      <w:r>
        <w:rPr>
          <w:rFonts w:ascii="仿宋_GB2312" w:hAnsi="仿宋_GB2312" w:eastAsia="仿宋_GB2312"/>
          <w:b w:val="0"/>
          <w:sz w:val="32"/>
        </w:rPr>
        <w:t>11.住房保障支出(类)住房改革支出(款)住房公积金(项):支出决算数为47.10万元，比上年决算增加0.39万元，增长0.83%,主要原因是：本年在职人员工资基数调增，公积金缴费基数上涨，相应支出增加。</w:t>
      </w:r>
    </w:p>
    <w:p w14:paraId="564C0042">
      <w:pPr>
        <w:spacing w:line="580" w:lineRule="exact"/>
        <w:ind w:firstLine="640"/>
        <w:jc w:val="both"/>
      </w:pPr>
      <w:r>
        <w:rPr>
          <w:rFonts w:ascii="仿宋_GB2312" w:hAnsi="仿宋_GB2312" w:eastAsia="仿宋_GB2312"/>
          <w:b w:val="0"/>
          <w:sz w:val="32"/>
        </w:rPr>
        <w:t>12.其他支出(类)其他支出(款)其他支出(项):支出决算数为0.00万元，比上年决算减少0.97万元，下降100.00%,主要原因是：本年未安排质保金项目支出。</w:t>
      </w:r>
    </w:p>
    <w:p w14:paraId="1B4FE82C">
      <w:pPr>
        <w:spacing w:line="640" w:lineRule="exact"/>
        <w:ind w:firstLine="640"/>
        <w:jc w:val="both"/>
        <w:outlineLvl w:val="2"/>
      </w:pPr>
      <w:r>
        <w:rPr>
          <w:rFonts w:ascii="黑体" w:hAnsi="黑体" w:eastAsia="黑体"/>
          <w:sz w:val="32"/>
        </w:rPr>
        <w:t>六、一般公共预算财政拨款基本支出决算情况说明</w:t>
      </w:r>
    </w:p>
    <w:p w14:paraId="76DE7A0E">
      <w:pPr>
        <w:spacing w:line="580" w:lineRule="exact"/>
        <w:ind w:firstLine="640"/>
        <w:jc w:val="both"/>
      </w:pPr>
      <w:r>
        <w:rPr>
          <w:rFonts w:ascii="仿宋_GB2312" w:hAnsi="仿宋_GB2312" w:eastAsia="仿宋_GB2312"/>
          <w:b w:val="0"/>
          <w:sz w:val="32"/>
        </w:rPr>
        <w:t>2024年度一般公共预算财政拨款基本支出734.04万元，其中：</w:t>
      </w:r>
      <w:r>
        <w:rPr>
          <w:rFonts w:ascii="仿宋_GB2312" w:hAnsi="仿宋_GB2312" w:eastAsia="仿宋_GB2312"/>
          <w:b/>
          <w:sz w:val="32"/>
        </w:rPr>
        <w:t>人员经费693.19万元，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w:t>
      </w:r>
    </w:p>
    <w:p w14:paraId="04118BB1">
      <w:pPr>
        <w:spacing w:line="580" w:lineRule="exact"/>
        <w:ind w:firstLine="640"/>
        <w:jc w:val="both"/>
      </w:pPr>
      <w:r>
        <w:rPr>
          <w:rFonts w:ascii="仿宋_GB2312" w:hAnsi="仿宋_GB2312" w:eastAsia="仿宋_GB2312"/>
          <w:b/>
          <w:sz w:val="32"/>
        </w:rPr>
        <w:t>公用经费40.85万元，</w:t>
      </w:r>
      <w:r>
        <w:rPr>
          <w:rFonts w:ascii="仿宋_GB2312" w:hAnsi="仿宋_GB2312" w:eastAsia="仿宋_GB2312"/>
          <w:b w:val="0"/>
          <w:sz w:val="32"/>
        </w:rPr>
        <w:t>包括：办公费、手续费、水费、电费、邮电费、取暖费、差旅费、维修（护）费、专用材料费、劳务费、工会经费、公务用车运行维护费、其他交通费用、其他商品和服务支出。</w:t>
      </w:r>
    </w:p>
    <w:p w14:paraId="7F5D1B6E">
      <w:pPr>
        <w:spacing w:line="640" w:lineRule="exact"/>
        <w:ind w:firstLine="640"/>
        <w:jc w:val="both"/>
        <w:outlineLvl w:val="2"/>
      </w:pPr>
      <w:r>
        <w:rPr>
          <w:rFonts w:ascii="黑体" w:hAnsi="黑体" w:eastAsia="黑体"/>
          <w:sz w:val="32"/>
        </w:rPr>
        <w:t>七、政府性基金预算财政拨款收入支出决算情况说明</w:t>
      </w:r>
    </w:p>
    <w:p w14:paraId="51A659DD">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3E51947">
      <w:pPr>
        <w:spacing w:line="640" w:lineRule="exact"/>
        <w:ind w:firstLine="640"/>
        <w:jc w:val="both"/>
        <w:outlineLvl w:val="2"/>
      </w:pPr>
      <w:r>
        <w:rPr>
          <w:rFonts w:ascii="黑体" w:hAnsi="黑体" w:eastAsia="黑体"/>
          <w:sz w:val="32"/>
        </w:rPr>
        <w:t>八、国有资本经营预算财政拨款收入支出决算情况说明</w:t>
      </w:r>
    </w:p>
    <w:p w14:paraId="3DBA766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137777B">
      <w:pPr>
        <w:spacing w:line="640" w:lineRule="exact"/>
        <w:ind w:firstLine="640"/>
        <w:jc w:val="both"/>
        <w:outlineLvl w:val="2"/>
      </w:pPr>
      <w:r>
        <w:rPr>
          <w:rFonts w:ascii="黑体" w:hAnsi="黑体" w:eastAsia="黑体"/>
          <w:sz w:val="32"/>
        </w:rPr>
        <w:t>九、财政拨款“三公”经费支出决算情况说明</w:t>
      </w:r>
    </w:p>
    <w:p w14:paraId="29DCEBD0">
      <w:pPr>
        <w:spacing w:line="580" w:lineRule="exact"/>
        <w:ind w:firstLine="640"/>
        <w:jc w:val="both"/>
      </w:pPr>
      <w:r>
        <w:rPr>
          <w:rFonts w:ascii="仿宋_GB2312" w:hAnsi="仿宋_GB2312" w:eastAsia="仿宋_GB2312"/>
          <w:b/>
          <w:sz w:val="32"/>
        </w:rPr>
        <w:t>2024年度财政拨款“三公”经费支出3.60万元，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3.60万元，占100.00%，比上年增加0.00万元，增长0.00%，主要原因是：公务用车运行维护费与上年一致无变化。公务接待费支出0.00万元，占0.00%，比上年增加0.00万元，增长0.00%，主要原因是：2023年与2024年均未安排公务接待费支出。</w:t>
      </w:r>
    </w:p>
    <w:p w14:paraId="73EAB15F">
      <w:pPr>
        <w:spacing w:line="580" w:lineRule="exact"/>
        <w:ind w:firstLine="640"/>
        <w:jc w:val="both"/>
      </w:pPr>
      <w:r>
        <w:rPr>
          <w:rFonts w:ascii="仿宋_GB2312" w:hAnsi="仿宋_GB2312" w:eastAsia="仿宋_GB2312"/>
          <w:b/>
          <w:sz w:val="32"/>
        </w:rPr>
        <w:t>具体情况如下：</w:t>
      </w:r>
    </w:p>
    <w:p w14:paraId="4069ACBD">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EC54CED">
      <w:pPr>
        <w:spacing w:line="580" w:lineRule="exact"/>
        <w:ind w:firstLine="640"/>
        <w:jc w:val="both"/>
      </w:pPr>
      <w:r>
        <w:rPr>
          <w:rFonts w:ascii="仿宋_GB2312" w:hAnsi="仿宋_GB2312" w:eastAsia="仿宋_GB2312"/>
          <w:b w:val="0"/>
          <w:sz w:val="32"/>
        </w:rPr>
        <w:t>公务用车购置及运行维护费3.60万元，其中：公务用车购置费0.00万元，公务用车运行维护费3.60万元。公务用车运行维护费开支内容包括车辆加油费、维修费、保险费、过路费。公务用车购置数0辆，公务用车保有量3辆。国有资产占用情况中固定资产车辆3辆，与公务用车保有量差异原因是：本部门固定资产车辆与公务用车保有量一致无差异。</w:t>
      </w:r>
    </w:p>
    <w:p w14:paraId="6A206928">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45467C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3.60万元，决算数3.60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3.60万元，决算数3.60万元，预决算差异率0.00%，主要原因是：严格按照预算执行，预决算无差异。公务接待费全年预算数0.00万元，决算数0.00万元，预决算差异率0.00%，主要原因是：本部门无公务接待费。</w:t>
      </w:r>
    </w:p>
    <w:p w14:paraId="565E9B8C">
      <w:pPr>
        <w:spacing w:line="640" w:lineRule="exact"/>
        <w:ind w:firstLine="640"/>
        <w:jc w:val="both"/>
        <w:outlineLvl w:val="2"/>
      </w:pPr>
      <w:r>
        <w:rPr>
          <w:rFonts w:ascii="黑体" w:hAnsi="黑体" w:eastAsia="黑体"/>
          <w:sz w:val="32"/>
        </w:rPr>
        <w:t>十、其他重要事项的情况说明</w:t>
      </w:r>
    </w:p>
    <w:p w14:paraId="6A46178A">
      <w:pPr>
        <w:spacing w:line="640" w:lineRule="exact"/>
        <w:ind w:firstLine="640"/>
        <w:jc w:val="both"/>
        <w:outlineLvl w:val="3"/>
      </w:pPr>
      <w:r>
        <w:rPr>
          <w:rFonts w:ascii="楷体_GB2312" w:hAnsi="楷体_GB2312" w:eastAsia="楷体_GB2312"/>
          <w:b/>
          <w:sz w:val="32"/>
        </w:rPr>
        <w:t>（一）机关运行经费及公用经费支出情况</w:t>
      </w:r>
    </w:p>
    <w:p w14:paraId="465757D0">
      <w:pPr>
        <w:spacing w:line="580" w:lineRule="exact"/>
        <w:ind w:firstLine="640"/>
        <w:jc w:val="both"/>
      </w:pPr>
      <w:r>
        <w:rPr>
          <w:rFonts w:ascii="仿宋_GB2312" w:hAnsi="仿宋_GB2312" w:eastAsia="仿宋_GB2312"/>
          <w:b w:val="0"/>
          <w:sz w:val="32"/>
        </w:rPr>
        <w:t>2024年度喀什地区农业农村机械化发展中心（行政单位和参照公务员法管理事业单位）机关运行经费支出40.85万元，比上年增加11.73万元，增长40.28%，主要原因是：</w:t>
      </w:r>
      <w:r>
        <w:rPr>
          <w:rFonts w:hint="eastAsia" w:ascii="仿宋_GB2312" w:hAnsi="仿宋_GB2312" w:eastAsia="仿宋_GB2312"/>
          <w:b w:val="0"/>
          <w:sz w:val="32"/>
          <w:lang w:val="en-US" w:eastAsia="zh-CN"/>
        </w:rPr>
        <w:t>本年增加工会经费、其他商品和服务支出等经费，导致机关运行经费增加。</w:t>
      </w:r>
    </w:p>
    <w:p w14:paraId="7114B1A0">
      <w:pPr>
        <w:spacing w:line="640" w:lineRule="exact"/>
        <w:ind w:firstLine="640"/>
        <w:jc w:val="both"/>
        <w:outlineLvl w:val="3"/>
      </w:pPr>
      <w:r>
        <w:rPr>
          <w:rFonts w:ascii="楷体_GB2312" w:hAnsi="楷体_GB2312" w:eastAsia="楷体_GB2312"/>
          <w:b/>
          <w:sz w:val="32"/>
        </w:rPr>
        <w:t>（二）政府采购情况</w:t>
      </w:r>
    </w:p>
    <w:p w14:paraId="784A4FD9">
      <w:pPr>
        <w:spacing w:line="580" w:lineRule="exact"/>
        <w:ind w:firstLine="640"/>
        <w:jc w:val="both"/>
      </w:pPr>
      <w:r>
        <w:rPr>
          <w:rFonts w:ascii="仿宋_GB2312" w:hAnsi="仿宋_GB2312" w:eastAsia="仿宋_GB2312"/>
          <w:b w:val="0"/>
          <w:sz w:val="32"/>
        </w:rPr>
        <w:t>2024年度政府采购支出总额14.28万元，其中：政府采购货物支出11.30万元、政府采购工程支出0.00万元、政府采购服务支出2.98万元。</w:t>
      </w:r>
    </w:p>
    <w:p w14:paraId="2D6FAEE5">
      <w:pPr>
        <w:spacing w:line="580" w:lineRule="exact"/>
        <w:ind w:firstLine="640"/>
        <w:jc w:val="both"/>
      </w:pPr>
      <w:r>
        <w:rPr>
          <w:rFonts w:ascii="仿宋_GB2312" w:hAnsi="仿宋_GB2312" w:eastAsia="仿宋_GB2312"/>
          <w:b w:val="0"/>
          <w:sz w:val="32"/>
        </w:rPr>
        <w:t>授予中小企业合同金额12.82万元，占政府采购支出总额的89.78%，其中：授予小微企业合同金额8.52万元，占政府采购支出总额的59.66%。</w:t>
      </w:r>
    </w:p>
    <w:p w14:paraId="5F20C194">
      <w:pPr>
        <w:spacing w:line="640" w:lineRule="exact"/>
        <w:ind w:firstLine="640"/>
        <w:jc w:val="both"/>
        <w:outlineLvl w:val="3"/>
      </w:pPr>
      <w:r>
        <w:rPr>
          <w:rFonts w:ascii="楷体_GB2312" w:hAnsi="楷体_GB2312" w:eastAsia="楷体_GB2312"/>
          <w:b/>
          <w:sz w:val="32"/>
        </w:rPr>
        <w:t>（三）国有资产占用情况说明</w:t>
      </w:r>
    </w:p>
    <w:p w14:paraId="07889CBA">
      <w:pPr>
        <w:spacing w:line="580" w:lineRule="exact"/>
        <w:ind w:firstLine="640"/>
        <w:jc w:val="both"/>
      </w:pPr>
      <w:r>
        <w:rPr>
          <w:rFonts w:ascii="仿宋_GB2312" w:hAnsi="仿宋_GB2312" w:eastAsia="仿宋_GB2312"/>
          <w:b w:val="0"/>
          <w:sz w:val="32"/>
        </w:rPr>
        <w:t>截至2024年12月31日，房屋21.00平方米，价值0.23万元。车辆3辆，价值37.55万元，其中：副部（省）级及以上领导用车0辆、主要负责人用车0辆、机要通信用车0辆、应急保障用车0辆、执法执勤用车0辆、特种专业技术用车2辆、离退休干部服务用车0辆、其他用车1辆，其他用车主要是：一般公务用车。单价100万元（含）以上设备（不含车辆）0台（套）。</w:t>
      </w:r>
    </w:p>
    <w:p w14:paraId="63FDEB27">
      <w:pPr>
        <w:spacing w:line="640" w:lineRule="exact"/>
        <w:ind w:firstLine="640"/>
        <w:jc w:val="both"/>
        <w:outlineLvl w:val="2"/>
      </w:pPr>
      <w:r>
        <w:rPr>
          <w:rFonts w:ascii="黑体" w:hAnsi="黑体" w:eastAsia="黑体"/>
          <w:sz w:val="32"/>
        </w:rPr>
        <w:t>十一、预算绩效的情况说明</w:t>
      </w:r>
    </w:p>
    <w:p w14:paraId="1BABD903">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757.64万元，实际执行总额754.61万元；预算绩效评价项目3个，全年预算数10.52万元，全年执行数10.52万元。预算绩效管理取得的成效：一是围绕农机装备转型升级主线，大力实施农机装备补短板行动，服务农业产业发展，突出抓好农机购置补贴实施、农机生产管理、新技术新机具推广、社会化服务水平提升、安全生产等工作，不断推动农机高质量发展，2024年主要农作物耕种收综合机械化率达到88.50%，同比增长1.64%；二是农林牧渔综合机械化率达到66.73%，同比增长0.54%。为全面推进乡村振兴、全力建设农业强区提供有力装备支撑。发现的问题及原因：一是部分农机主推技术推广进度较慢；二是农机监管、执法力量统筹不够，检查频次低。三是项目负责人在制定项目实施方案时，对资金使用方向、支出经济科目不熟悉，资金支出科目设置不合理，导致在项目实施过程中，无法顺利完成项目资金支出；四是项目绩效目标的设定和各项指标的理解、认识不到位，导致项目绩效目标不够明确、不够细化、不够量化，缺乏可衡量性和可实现性。绩效目标相关印证资料不能在项目实施过程中完美印证。五是单位人员分工不合理，职责划分不清楚，导致相关</w:t>
      </w:r>
      <w:bookmarkStart w:id="0" w:name="_GoBack"/>
      <w:r>
        <w:rPr>
          <w:rFonts w:hint="eastAsia" w:ascii="仿宋_GB2312" w:hAnsi="仿宋_GB2312" w:eastAsia="仿宋_GB2312"/>
          <w:b w:val="0"/>
          <w:sz w:val="32"/>
          <w:lang w:eastAsia="zh-CN"/>
        </w:rPr>
        <w:t>工作进展</w:t>
      </w:r>
      <w:bookmarkEnd w:id="0"/>
      <w:r>
        <w:rPr>
          <w:rFonts w:ascii="仿宋_GB2312" w:hAnsi="仿宋_GB2312" w:eastAsia="仿宋_GB2312"/>
          <w:b w:val="0"/>
          <w:sz w:val="32"/>
        </w:rPr>
        <w:t>缓慢。下一步改进措施：一是继续加大新技术新机具引进和示范点创建力度；二是强化农机安全监理、安全生产工作。三是加强项目负责人、财务人员对《自治区预算绩效管理办法》《中华人民共和国预算法》《行政事业单位会计制度》等学习培训，在制定实施方案时项目负责人能够明确资金支出方向，财务人员在资金支出方面能够做到资金支出合规、合法，规范部门预算收支核算，切实提高部门预算收支管理水平。四是 单位根据各科室职能，合理划分工作任务，提高干部工作效率，顺利推进单位各项工作开展。具体附部门整体支出绩效自评表，项目支出绩效自评表和部门评价报告。</w:t>
      </w:r>
    </w:p>
    <w:p w14:paraId="2707B05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98DE7D2">
        <w:tblPrEx>
          <w:tblCellMar>
            <w:top w:w="0" w:type="dxa"/>
            <w:left w:w="108" w:type="dxa"/>
            <w:bottom w:w="0" w:type="dxa"/>
            <w:right w:w="108" w:type="dxa"/>
          </w:tblCellMar>
        </w:tblPrEx>
        <w:tc>
          <w:tcPr>
            <w:tcW w:w="8847" w:type="dxa"/>
            <w:gridSpan w:val="9"/>
            <w:vAlign w:val="center"/>
          </w:tcPr>
          <w:p w14:paraId="446D4CFE">
            <w:pPr>
              <w:jc w:val="center"/>
            </w:pPr>
            <w:r>
              <w:rPr>
                <w:rFonts w:ascii="宋体" w:hAnsi="宋体" w:eastAsia="宋体"/>
                <w:sz w:val="24"/>
              </w:rPr>
              <w:t>部门整体支出绩效自评表</w:t>
            </w:r>
          </w:p>
        </w:tc>
      </w:tr>
      <w:tr w14:paraId="7B4E2CA9">
        <w:tblPrEx>
          <w:tblCellMar>
            <w:top w:w="0" w:type="dxa"/>
            <w:left w:w="108" w:type="dxa"/>
            <w:bottom w:w="0" w:type="dxa"/>
            <w:right w:w="108" w:type="dxa"/>
          </w:tblCellMar>
        </w:tblPrEx>
        <w:tc>
          <w:tcPr>
            <w:tcW w:w="8847" w:type="dxa"/>
            <w:gridSpan w:val="9"/>
            <w:vAlign w:val="center"/>
          </w:tcPr>
          <w:p w14:paraId="17686F91">
            <w:pPr>
              <w:jc w:val="center"/>
            </w:pPr>
            <w:r>
              <w:rPr>
                <w:rFonts w:ascii="宋体" w:hAnsi="宋体" w:eastAsia="宋体"/>
                <w:sz w:val="24"/>
              </w:rPr>
              <w:t>（2024年度）</w:t>
            </w:r>
          </w:p>
        </w:tc>
      </w:tr>
      <w:tr w14:paraId="462B70F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8A513">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65CEC5E">
            <w:pPr>
              <w:jc w:val="center"/>
            </w:pPr>
            <w:r>
              <w:rPr>
                <w:rFonts w:ascii="宋体" w:hAnsi="宋体" w:eastAsia="宋体"/>
                <w:sz w:val="16"/>
              </w:rPr>
              <w:t>喀什地区农业农村机械化发展中心</w:t>
            </w:r>
          </w:p>
        </w:tc>
      </w:tr>
      <w:tr w14:paraId="109236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4669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8FB2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E82C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A7CA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767F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F290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257A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C3BA0">
            <w:pPr>
              <w:jc w:val="center"/>
            </w:pPr>
            <w:r>
              <w:rPr>
                <w:rFonts w:ascii="宋体" w:hAnsi="宋体" w:eastAsia="宋体"/>
                <w:sz w:val="16"/>
              </w:rPr>
              <w:t>得分</w:t>
            </w:r>
          </w:p>
        </w:tc>
      </w:tr>
      <w:tr w14:paraId="7F4883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E772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66CE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8F1BF">
            <w:pPr>
              <w:jc w:val="center"/>
            </w:pPr>
            <w:r>
              <w:rPr>
                <w:rFonts w:ascii="宋体" w:hAnsi="宋体" w:eastAsia="宋体"/>
                <w:sz w:val="16"/>
              </w:rPr>
              <w:t>733.70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25B18">
            <w:pPr>
              <w:jc w:val="center"/>
            </w:pPr>
            <w:r>
              <w:rPr>
                <w:rFonts w:ascii="宋体" w:hAnsi="宋体" w:eastAsia="宋体"/>
                <w:sz w:val="16"/>
              </w:rPr>
              <w:t>757.64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8C1CA">
            <w:pPr>
              <w:jc w:val="center"/>
            </w:pPr>
            <w:r>
              <w:rPr>
                <w:rFonts w:ascii="宋体" w:hAnsi="宋体" w:eastAsia="宋体"/>
                <w:sz w:val="16"/>
              </w:rPr>
              <w:t>754.61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419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806F6">
            <w:pPr>
              <w:jc w:val="center"/>
            </w:pPr>
            <w:r>
              <w:rPr>
                <w:rFonts w:ascii="宋体" w:hAnsi="宋体" w:eastAsia="宋体"/>
                <w:sz w:val="16"/>
              </w:rPr>
              <w:t>99.60%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15AC3">
            <w:pPr>
              <w:jc w:val="center"/>
            </w:pPr>
            <w:r>
              <w:rPr>
                <w:rFonts w:ascii="宋体" w:hAnsi="宋体" w:eastAsia="宋体"/>
                <w:sz w:val="16"/>
              </w:rPr>
              <w:t>9.96</w:t>
            </w:r>
          </w:p>
        </w:tc>
      </w:tr>
      <w:tr w14:paraId="652BCF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2C6B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5F9D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0D28D">
            <w:pPr>
              <w:jc w:val="center"/>
            </w:pPr>
            <w:r>
              <w:rPr>
                <w:rFonts w:ascii="宋体" w:hAnsi="宋体" w:eastAsia="宋体"/>
                <w:sz w:val="16"/>
              </w:rPr>
              <w:t>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EE6E4">
            <w:pPr>
              <w:jc w:val="center"/>
            </w:pPr>
            <w:r>
              <w:rPr>
                <w:rFonts w:ascii="宋体" w:hAnsi="宋体" w:eastAsia="宋体"/>
                <w:sz w:val="16"/>
              </w:rPr>
              <w:t>32.72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4ECEE">
            <w:pPr>
              <w:jc w:val="center"/>
            </w:pPr>
            <w:r>
              <w:rPr>
                <w:rFonts w:ascii="宋体" w:hAnsi="宋体" w:eastAsia="宋体"/>
                <w:sz w:val="16"/>
              </w:rPr>
              <w:t>29.69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353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3737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602C4">
            <w:pPr>
              <w:jc w:val="center"/>
            </w:pPr>
            <w:r>
              <w:rPr>
                <w:rFonts w:ascii="宋体" w:hAnsi="宋体" w:eastAsia="宋体"/>
                <w:sz w:val="16"/>
              </w:rPr>
              <w:t>—</w:t>
            </w:r>
          </w:p>
        </w:tc>
      </w:tr>
      <w:tr w14:paraId="690FAB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6D4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C59B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F1ACD">
            <w:pPr>
              <w:jc w:val="center"/>
            </w:pPr>
            <w:r>
              <w:rPr>
                <w:rFonts w:ascii="宋体" w:hAnsi="宋体" w:eastAsia="宋体"/>
                <w:sz w:val="16"/>
              </w:rPr>
              <w:t>729.43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BEB60">
            <w:pPr>
              <w:jc w:val="center"/>
            </w:pPr>
            <w:r>
              <w:rPr>
                <w:rFonts w:ascii="宋体" w:hAnsi="宋体" w:eastAsia="宋体"/>
                <w:sz w:val="16"/>
              </w:rPr>
              <w:t>724.92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240FA">
            <w:pPr>
              <w:jc w:val="center"/>
            </w:pPr>
            <w:r>
              <w:rPr>
                <w:rFonts w:ascii="宋体" w:hAnsi="宋体" w:eastAsia="宋体"/>
                <w:sz w:val="16"/>
              </w:rPr>
              <w:t>724.92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092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BBC6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97431">
            <w:pPr>
              <w:jc w:val="center"/>
            </w:pPr>
            <w:r>
              <w:rPr>
                <w:rFonts w:ascii="宋体" w:hAnsi="宋体" w:eastAsia="宋体"/>
                <w:sz w:val="16"/>
              </w:rPr>
              <w:t>—</w:t>
            </w:r>
          </w:p>
        </w:tc>
      </w:tr>
      <w:tr w14:paraId="408853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A9B7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4870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271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7C8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FC2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CC9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5BD0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A0A4E">
            <w:pPr>
              <w:jc w:val="center"/>
            </w:pPr>
            <w:r>
              <w:rPr>
                <w:rFonts w:ascii="宋体" w:hAnsi="宋体" w:eastAsia="宋体"/>
                <w:sz w:val="16"/>
              </w:rPr>
              <w:t>—</w:t>
            </w:r>
          </w:p>
        </w:tc>
      </w:tr>
      <w:tr w14:paraId="4CB373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25BB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8EE74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70E94A">
            <w:pPr>
              <w:jc w:val="center"/>
            </w:pPr>
            <w:r>
              <w:rPr>
                <w:rFonts w:ascii="宋体" w:hAnsi="宋体" w:eastAsia="宋体"/>
                <w:sz w:val="16"/>
              </w:rPr>
              <w:t>实际完成情况</w:t>
            </w:r>
          </w:p>
        </w:tc>
      </w:tr>
      <w:tr w14:paraId="6B205B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10D84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CB1DBC">
            <w:pPr>
              <w:jc w:val="both"/>
            </w:pPr>
            <w:r>
              <w:rPr>
                <w:rFonts w:ascii="宋体" w:hAnsi="宋体" w:eastAsia="宋体"/>
                <w:sz w:val="16"/>
              </w:rPr>
              <w:t>喀什地区农业农村机械化发展中心坚决贯彻地委“三农”重点工作安排部署和地区农业农村局工作要求，把发展农业科技放在更加突出的位置，大力推进农业机械化、智能化，给农业现代化插上科技的翅膀；大力实施农机装备补短板行动，完善农机购置与应用补贴政策，开辟急需适用农机鉴定“绿色通道”。推进“机械强农”保障粮食安全和棉花稳产增产，加快推进农机装备补短板，全力提升农机社会化服务能力和水平，全面落实安全生产责任，加强新一轮农机购置与应用补贴政策实施，做好农机标准化工作，提升农机鉴定服务效能，加强培训提升农机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D1F780">
            <w:pPr>
              <w:jc w:val="both"/>
            </w:pPr>
            <w:r>
              <w:rPr>
                <w:rFonts w:ascii="宋体" w:hAnsi="宋体" w:eastAsia="宋体"/>
                <w:sz w:val="16"/>
              </w:rPr>
              <w:t>地区农业农村机械化发展中心围绕农机装备转型升级主线，服务农业产业发展，突出抓好农机购置补贴实施、农机生产管理、新技术新机具推广、社会化服务水平提升、安全生产等工作，不断推动农机高质量发展，建立地区示范点建设4个，县级示范点建设5个，农机实用技能人才培训18.3186万人次 ， 农作物耕种收综合机械化率达到89.64%，农机检验率达到92.37%，全面落实安全生产责任，做好农机标准化工作，提升农机鉴定服务效能，加强培训提升农机服务水平，为全面推进乡村振兴、全力建设农业强区提供有力装备支撑。</w:t>
            </w:r>
          </w:p>
        </w:tc>
      </w:tr>
      <w:tr w14:paraId="2FEA9B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7766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311B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2C13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AC9E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F871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91B3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A227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51F1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BBCBF">
            <w:pPr>
              <w:jc w:val="center"/>
            </w:pPr>
            <w:r>
              <w:rPr>
                <w:rFonts w:ascii="宋体" w:hAnsi="宋体" w:eastAsia="宋体"/>
                <w:sz w:val="16"/>
              </w:rPr>
              <w:t>得分</w:t>
            </w:r>
          </w:p>
        </w:tc>
      </w:tr>
      <w:tr w14:paraId="0FE603E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3961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219C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4DF39">
            <w:pPr>
              <w:jc w:val="center"/>
            </w:pPr>
            <w:r>
              <w:rPr>
                <w:rFonts w:ascii="宋体" w:hAnsi="宋体" w:eastAsia="宋体"/>
                <w:sz w:val="16"/>
              </w:rPr>
              <w:t>地区示范点建设数量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605E8">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FA7FF">
            <w:pPr>
              <w:jc w:val="center"/>
            </w:pPr>
            <w:r>
              <w:rPr>
                <w:rFonts w:ascii="宋体" w:hAnsi="宋体" w:eastAsia="宋体"/>
                <w:sz w:val="16"/>
              </w:rPr>
              <w:t>地区农业农村机械化发展中心落实农业农村重点工作计划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9C797">
            <w:pPr>
              <w:jc w:val="center"/>
            </w:pPr>
            <w:r>
              <w:rPr>
                <w:rFonts w:ascii="宋体" w:hAnsi="宋体" w:eastAsia="宋体"/>
                <w:sz w:val="16"/>
              </w:rPr>
              <w:t>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ABD1C">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F08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E9A1A">
            <w:pPr>
              <w:jc w:val="center"/>
            </w:pPr>
            <w:r>
              <w:rPr>
                <w:rFonts w:ascii="宋体" w:hAnsi="宋体" w:eastAsia="宋体"/>
                <w:sz w:val="16"/>
              </w:rPr>
              <w:t>24</w:t>
            </w:r>
          </w:p>
        </w:tc>
      </w:tr>
      <w:tr w14:paraId="613D8A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AB06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DDE7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CC6CC">
            <w:pPr>
              <w:jc w:val="center"/>
            </w:pPr>
            <w:r>
              <w:rPr>
                <w:rFonts w:ascii="宋体" w:hAnsi="宋体" w:eastAsia="宋体"/>
                <w:sz w:val="16"/>
              </w:rPr>
              <w:t>县级示范点建设数量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91B6E">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3EBE2">
            <w:pPr>
              <w:jc w:val="center"/>
            </w:pPr>
            <w:r>
              <w:rPr>
                <w:rFonts w:ascii="宋体" w:hAnsi="宋体" w:eastAsia="宋体"/>
                <w:sz w:val="16"/>
              </w:rPr>
              <w:t>地区农业农村机械化发展中心落实农业农村重点工作计划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2DBDA">
            <w:pPr>
              <w:jc w:val="center"/>
            </w:pPr>
            <w:r>
              <w:rPr>
                <w:rFonts w:ascii="宋体" w:hAnsi="宋体" w:eastAsia="宋体"/>
                <w:sz w:val="16"/>
              </w:rPr>
              <w:t>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A194F">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15AD3">
            <w:pPr>
              <w:jc w:val="center"/>
            </w:pPr>
            <w:r>
              <w:rPr>
                <w:rFonts w:ascii="宋体" w:hAnsi="宋体" w:eastAsia="宋体"/>
                <w:sz w:val="16"/>
              </w:rPr>
              <w:t>166.67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54761">
            <w:pPr>
              <w:jc w:val="center"/>
            </w:pPr>
            <w:r>
              <w:rPr>
                <w:rFonts w:ascii="宋体" w:hAnsi="宋体" w:eastAsia="宋体"/>
                <w:sz w:val="16"/>
              </w:rPr>
              <w:t>24</w:t>
            </w:r>
          </w:p>
        </w:tc>
      </w:tr>
      <w:tr w14:paraId="4D41E2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EF2E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F6F8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E3EEE">
            <w:pPr>
              <w:jc w:val="center"/>
            </w:pPr>
            <w:r>
              <w:rPr>
                <w:rFonts w:ascii="宋体" w:hAnsi="宋体" w:eastAsia="宋体"/>
                <w:sz w:val="16"/>
              </w:rPr>
              <w:t>农机实用技能人才培训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2890E">
            <w:pPr>
              <w:jc w:val="center"/>
            </w:pPr>
            <w:r>
              <w:rPr>
                <w:rFonts w:ascii="宋体" w:hAnsi="宋体" w:eastAsia="宋体"/>
                <w:sz w:val="16"/>
              </w:rPr>
              <w:t>&gt;=17万人次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E79CE">
            <w:pPr>
              <w:jc w:val="center"/>
            </w:pPr>
            <w:r>
              <w:rPr>
                <w:rFonts w:ascii="宋体" w:hAnsi="宋体" w:eastAsia="宋体"/>
                <w:sz w:val="16"/>
              </w:rPr>
              <w:t>地区农业农村机械化发展中心落实农业农村重点工作计划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519CD">
            <w:pPr>
              <w:jc w:val="center"/>
            </w:pPr>
            <w:r>
              <w:rPr>
                <w:rFonts w:ascii="宋体" w:hAnsi="宋体" w:eastAsia="宋体"/>
                <w:sz w:val="16"/>
              </w:rPr>
              <w:t>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458ED">
            <w:pPr>
              <w:jc w:val="center"/>
            </w:pPr>
            <w:r>
              <w:rPr>
                <w:rFonts w:ascii="宋体" w:hAnsi="宋体" w:eastAsia="宋体"/>
                <w:sz w:val="16"/>
              </w:rPr>
              <w:t>18.3186万人次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E61CA">
            <w:pPr>
              <w:jc w:val="center"/>
            </w:pPr>
            <w:r>
              <w:rPr>
                <w:rFonts w:ascii="宋体" w:hAnsi="宋体" w:eastAsia="宋体"/>
                <w:sz w:val="16"/>
              </w:rPr>
              <w:t>107.76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FC795">
            <w:pPr>
              <w:jc w:val="center"/>
            </w:pPr>
            <w:r>
              <w:rPr>
                <w:rFonts w:ascii="宋体" w:hAnsi="宋体" w:eastAsia="宋体"/>
                <w:sz w:val="16"/>
              </w:rPr>
              <w:t>14</w:t>
            </w:r>
          </w:p>
        </w:tc>
      </w:tr>
      <w:tr w14:paraId="0DA524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DE393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D33B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DD374">
            <w:pPr>
              <w:jc w:val="center"/>
            </w:pPr>
            <w:r>
              <w:rPr>
                <w:rFonts w:ascii="宋体" w:hAnsi="宋体" w:eastAsia="宋体"/>
                <w:sz w:val="16"/>
              </w:rPr>
              <w:t>农作物耕种收综合机械化率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AFFF3">
            <w:pPr>
              <w:jc w:val="center"/>
            </w:pPr>
            <w:r>
              <w:rPr>
                <w:rFonts w:ascii="宋体" w:hAnsi="宋体" w:eastAsia="宋体"/>
                <w:sz w:val="16"/>
              </w:rPr>
              <w:t>&gt;=87%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9BBBC">
            <w:pPr>
              <w:jc w:val="center"/>
            </w:pPr>
            <w:r>
              <w:rPr>
                <w:rFonts w:ascii="宋体" w:hAnsi="宋体" w:eastAsia="宋体"/>
                <w:sz w:val="16"/>
              </w:rPr>
              <w:t>地区农业农村机械化发展中心落实农业农村重点工作计划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FB4C3">
            <w:pPr>
              <w:jc w:val="center"/>
            </w:pPr>
            <w:r>
              <w:rPr>
                <w:rFonts w:ascii="宋体" w:hAnsi="宋体" w:eastAsia="宋体"/>
                <w:sz w:val="16"/>
              </w:rPr>
              <w:t>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96BDB">
            <w:pPr>
              <w:jc w:val="center"/>
            </w:pPr>
            <w:r>
              <w:rPr>
                <w:rFonts w:ascii="宋体" w:hAnsi="宋体" w:eastAsia="宋体"/>
                <w:sz w:val="16"/>
              </w:rPr>
              <w:t>89.64%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45E88">
            <w:pPr>
              <w:jc w:val="center"/>
            </w:pPr>
            <w:r>
              <w:rPr>
                <w:rFonts w:ascii="宋体" w:hAnsi="宋体" w:eastAsia="宋体"/>
                <w:sz w:val="16"/>
              </w:rPr>
              <w:t>103.03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18548">
            <w:pPr>
              <w:jc w:val="center"/>
            </w:pPr>
            <w:r>
              <w:rPr>
                <w:rFonts w:ascii="宋体" w:hAnsi="宋体" w:eastAsia="宋体"/>
                <w:sz w:val="16"/>
              </w:rPr>
              <w:t>14</w:t>
            </w:r>
          </w:p>
        </w:tc>
      </w:tr>
      <w:tr w14:paraId="658569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6357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34C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FA852">
            <w:pPr>
              <w:jc w:val="center"/>
            </w:pPr>
            <w:r>
              <w:rPr>
                <w:rFonts w:ascii="宋体" w:hAnsi="宋体" w:eastAsia="宋体"/>
                <w:sz w:val="16"/>
              </w:rPr>
              <w:t>农机检验率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C044B">
            <w:pPr>
              <w:jc w:val="center"/>
            </w:pPr>
            <w:r>
              <w:rPr>
                <w:rFonts w:ascii="宋体" w:hAnsi="宋体" w:eastAsia="宋体"/>
                <w:sz w:val="16"/>
              </w:rPr>
              <w:t>&gt;=82%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8952E">
            <w:pPr>
              <w:jc w:val="center"/>
            </w:pPr>
            <w:r>
              <w:rPr>
                <w:rFonts w:ascii="宋体" w:hAnsi="宋体" w:eastAsia="宋体"/>
                <w:sz w:val="16"/>
              </w:rPr>
              <w:t>地区农业农村机械化发展中心落实农业农村重点工作计划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B16C9">
            <w:pPr>
              <w:jc w:val="center"/>
            </w:pPr>
            <w:r>
              <w:rPr>
                <w:rFonts w:ascii="宋体" w:hAnsi="宋体" w:eastAsia="宋体"/>
                <w:sz w:val="16"/>
              </w:rPr>
              <w:t>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5530E">
            <w:pPr>
              <w:jc w:val="center"/>
            </w:pPr>
            <w:r>
              <w:rPr>
                <w:rFonts w:ascii="宋体" w:hAnsi="宋体" w:eastAsia="宋体"/>
                <w:sz w:val="16"/>
              </w:rPr>
              <w:t>92.37%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2B37C">
            <w:pPr>
              <w:jc w:val="center"/>
            </w:pPr>
            <w:r>
              <w:rPr>
                <w:rFonts w:ascii="宋体" w:hAnsi="宋体" w:eastAsia="宋体"/>
                <w:sz w:val="16"/>
              </w:rPr>
              <w:t>112.65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5F3B8">
            <w:pPr>
              <w:jc w:val="center"/>
            </w:pPr>
            <w:r>
              <w:rPr>
                <w:rFonts w:ascii="宋体" w:hAnsi="宋体" w:eastAsia="宋体"/>
                <w:sz w:val="16"/>
              </w:rPr>
              <w:t>14</w:t>
            </w:r>
          </w:p>
        </w:tc>
      </w:tr>
    </w:tbl>
    <w:p w14:paraId="712D0D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F2CCAAF">
        <w:tblPrEx>
          <w:tblCellMar>
            <w:top w:w="0" w:type="dxa"/>
            <w:left w:w="108" w:type="dxa"/>
            <w:bottom w:w="0" w:type="dxa"/>
            <w:right w:w="108" w:type="dxa"/>
          </w:tblCellMar>
        </w:tblPrEx>
        <w:tc>
          <w:tcPr>
            <w:tcW w:w="8848" w:type="dxa"/>
            <w:gridSpan w:val="14"/>
            <w:vAlign w:val="center"/>
          </w:tcPr>
          <w:p w14:paraId="254F0572">
            <w:pPr>
              <w:jc w:val="center"/>
            </w:pPr>
            <w:r>
              <w:rPr>
                <w:rFonts w:ascii="宋体" w:hAnsi="宋体" w:eastAsia="宋体"/>
                <w:sz w:val="24"/>
              </w:rPr>
              <w:t>项目支出绩效自评表</w:t>
            </w:r>
          </w:p>
        </w:tc>
      </w:tr>
      <w:tr w14:paraId="71545A63">
        <w:tblPrEx>
          <w:tblCellMar>
            <w:top w:w="0" w:type="dxa"/>
            <w:left w:w="108" w:type="dxa"/>
            <w:bottom w:w="0" w:type="dxa"/>
            <w:right w:w="108" w:type="dxa"/>
          </w:tblCellMar>
        </w:tblPrEx>
        <w:tc>
          <w:tcPr>
            <w:tcW w:w="8848" w:type="dxa"/>
            <w:gridSpan w:val="14"/>
            <w:vAlign w:val="center"/>
          </w:tcPr>
          <w:p w14:paraId="22F02433">
            <w:pPr>
              <w:jc w:val="center"/>
            </w:pPr>
            <w:r>
              <w:rPr>
                <w:rFonts w:ascii="宋体" w:hAnsi="宋体" w:eastAsia="宋体"/>
                <w:sz w:val="24"/>
              </w:rPr>
              <w:t>(2024年度)</w:t>
            </w:r>
          </w:p>
        </w:tc>
      </w:tr>
      <w:tr w14:paraId="12B60D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C1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DF3D5D">
            <w:pPr>
              <w:jc w:val="center"/>
            </w:pPr>
            <w:r>
              <w:rPr>
                <w:rFonts w:ascii="宋体" w:hAnsi="宋体" w:eastAsia="宋体"/>
                <w:sz w:val="16"/>
              </w:rPr>
              <w:t>内调干部周转房租赁费项目</w:t>
            </w:r>
          </w:p>
        </w:tc>
      </w:tr>
      <w:tr w14:paraId="26936A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27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F4A7D8">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8C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819331">
            <w:pPr>
              <w:jc w:val="center"/>
            </w:pPr>
            <w:r>
              <w:rPr>
                <w:rFonts w:ascii="宋体" w:hAnsi="宋体" w:eastAsia="宋体"/>
                <w:sz w:val="16"/>
              </w:rPr>
              <w:t>喀什地区农业农村机械化发展中心</w:t>
            </w:r>
          </w:p>
        </w:tc>
      </w:tr>
      <w:tr w14:paraId="340AD6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740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97B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538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344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DEE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01C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710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8DC66">
            <w:pPr>
              <w:jc w:val="center"/>
            </w:pPr>
            <w:r>
              <w:rPr>
                <w:rFonts w:ascii="宋体" w:hAnsi="宋体" w:eastAsia="宋体"/>
                <w:sz w:val="16"/>
              </w:rPr>
              <w:t>得分</w:t>
            </w:r>
          </w:p>
        </w:tc>
      </w:tr>
      <w:tr w14:paraId="58035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802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633D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BE897">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5F780">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DB0AD">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1C7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A86D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F292">
            <w:pPr>
              <w:jc w:val="center"/>
            </w:pPr>
            <w:r>
              <w:rPr>
                <w:rFonts w:ascii="宋体" w:hAnsi="宋体" w:eastAsia="宋体"/>
                <w:sz w:val="16"/>
              </w:rPr>
              <w:t>10.00分</w:t>
            </w:r>
          </w:p>
        </w:tc>
      </w:tr>
      <w:tr w14:paraId="719586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FB3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A87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A6415">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31BE1">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898D4">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F4B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357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7E9D">
            <w:pPr>
              <w:jc w:val="center"/>
            </w:pPr>
            <w:r>
              <w:rPr>
                <w:rFonts w:ascii="宋体" w:hAnsi="宋体" w:eastAsia="宋体"/>
                <w:sz w:val="16"/>
              </w:rPr>
              <w:t>—</w:t>
            </w:r>
          </w:p>
        </w:tc>
      </w:tr>
      <w:tr w14:paraId="6E14D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F8A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1B5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988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FDC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459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0E6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A51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54B3">
            <w:pPr>
              <w:jc w:val="center"/>
            </w:pPr>
            <w:r>
              <w:rPr>
                <w:rFonts w:ascii="宋体" w:hAnsi="宋体" w:eastAsia="宋体"/>
                <w:sz w:val="16"/>
              </w:rPr>
              <w:t>—</w:t>
            </w:r>
          </w:p>
        </w:tc>
      </w:tr>
      <w:tr w14:paraId="191AA0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BA47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4905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3EACB1">
            <w:pPr>
              <w:jc w:val="center"/>
            </w:pPr>
            <w:r>
              <w:rPr>
                <w:rFonts w:ascii="宋体" w:hAnsi="宋体" w:eastAsia="宋体"/>
                <w:sz w:val="16"/>
              </w:rPr>
              <w:t>实际完成情况</w:t>
            </w:r>
          </w:p>
        </w:tc>
      </w:tr>
      <w:tr w14:paraId="02F67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8CE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6F14B7">
            <w:pPr>
              <w:jc w:val="both"/>
            </w:pPr>
            <w:r>
              <w:rPr>
                <w:rFonts w:ascii="宋体" w:hAnsi="宋体" w:eastAsia="宋体"/>
                <w:sz w:val="16"/>
              </w:rPr>
              <w:t>为2名内调干部申请2套住房租赁费8640元，充分发挥周转住房保障功能，切实关心关爱各级干部、按时上交房屋租赁费。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E76481">
            <w:pPr>
              <w:jc w:val="both"/>
            </w:pPr>
            <w:r>
              <w:rPr>
                <w:rFonts w:ascii="宋体" w:hAnsi="宋体" w:eastAsia="宋体"/>
                <w:sz w:val="16"/>
              </w:rPr>
              <w:t>为1名疆内交流干部申请住房租赁费5760元，1名疆外交流干部申请住房租赁费2880元，合计8640元。按时且足额为交流干部上交房租费，切实解决了交流干部住房租赁费问题。</w:t>
            </w:r>
            <w:r>
              <w:rPr>
                <w:rFonts w:ascii="宋体" w:hAnsi="宋体" w:eastAsia="宋体"/>
                <w:sz w:val="16"/>
              </w:rPr>
              <w:br w:type="textWrapping"/>
            </w:r>
          </w:p>
        </w:tc>
      </w:tr>
      <w:tr w14:paraId="71AFFB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643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46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AF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CF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94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53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56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F54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B22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6A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B96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1029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D92E3">
            <w:pPr>
              <w:jc w:val="center"/>
            </w:pPr>
            <w:r>
              <w:rPr>
                <w:rFonts w:ascii="宋体" w:hAnsi="宋体" w:eastAsia="宋体"/>
                <w:sz w:val="16"/>
              </w:rPr>
              <w:t>偏差原因分析及改进措施</w:t>
            </w:r>
          </w:p>
        </w:tc>
      </w:tr>
      <w:tr w14:paraId="456E9F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710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F361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F93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4E448">
            <w:pPr>
              <w:jc w:val="center"/>
            </w:pPr>
            <w:r>
              <w:rPr>
                <w:rFonts w:ascii="宋体" w:hAnsi="宋体" w:eastAsia="宋体"/>
                <w:sz w:val="16"/>
              </w:rPr>
              <w:t>内调干部申请租赁费人数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5638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78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865D">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56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70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C1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DEDC">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CD1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CCFCF">
            <w:pPr>
              <w:jc w:val="center"/>
            </w:pPr>
          </w:p>
        </w:tc>
      </w:tr>
      <w:tr w14:paraId="2A949F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0D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3C7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724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C5AC">
            <w:pPr>
              <w:jc w:val="center"/>
            </w:pPr>
            <w:r>
              <w:rPr>
                <w:rFonts w:ascii="宋体" w:hAnsi="宋体" w:eastAsia="宋体"/>
                <w:sz w:val="16"/>
              </w:rPr>
              <w:t>内调干部申请租赁房屋数量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4298B">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26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20A7">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77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6C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14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47FB">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C3C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15D36">
            <w:pPr>
              <w:jc w:val="center"/>
            </w:pPr>
          </w:p>
        </w:tc>
      </w:tr>
      <w:tr w14:paraId="326367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8F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28A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3C3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CD198">
            <w:pPr>
              <w:jc w:val="center"/>
            </w:pPr>
            <w:r>
              <w:rPr>
                <w:rFonts w:ascii="宋体" w:hAnsi="宋体" w:eastAsia="宋体"/>
                <w:sz w:val="16"/>
              </w:rPr>
              <w:t>内调干部房屋租赁面积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BEBE">
            <w:pPr>
              <w:jc w:val="center"/>
            </w:pPr>
            <w:r>
              <w:rPr>
                <w:rFonts w:ascii="宋体" w:hAnsi="宋体" w:eastAsia="宋体"/>
                <w:sz w:val="16"/>
              </w:rPr>
              <w:t>&gt;=240平方米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BE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25B8">
            <w:pPr>
              <w:jc w:val="center"/>
            </w:pPr>
            <w:r>
              <w:rPr>
                <w:rFonts w:ascii="宋体" w:hAnsi="宋体" w:eastAsia="宋体"/>
                <w:sz w:val="16"/>
              </w:rPr>
              <w:t>240平方米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00D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DA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AC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3F00">
            <w:pPr>
              <w:jc w:val="center"/>
            </w:pPr>
            <w:r>
              <w:rPr>
                <w:rFonts w:ascii="宋体" w:hAnsi="宋体" w:eastAsia="宋体"/>
                <w:sz w:val="16"/>
              </w:rPr>
              <w:t>=240平方米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2D4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1C5B6">
            <w:pPr>
              <w:jc w:val="center"/>
            </w:pPr>
          </w:p>
        </w:tc>
      </w:tr>
      <w:tr w14:paraId="28B3A2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042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F6F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63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CB4C">
            <w:pPr>
              <w:jc w:val="center"/>
            </w:pPr>
            <w:r>
              <w:rPr>
                <w:rFonts w:ascii="宋体" w:hAnsi="宋体" w:eastAsia="宋体"/>
                <w:sz w:val="16"/>
              </w:rPr>
              <w:t>租赁补贴发放率（%）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15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E6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CB5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48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6B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77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9A3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F2F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3FD26">
            <w:pPr>
              <w:jc w:val="center"/>
            </w:pPr>
          </w:p>
        </w:tc>
      </w:tr>
      <w:tr w14:paraId="7D52DB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050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969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5A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F0C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603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D3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DC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23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A3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13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6F89">
            <w:pPr>
              <w:jc w:val="center"/>
            </w:pPr>
            <w:r>
              <w:rPr>
                <w:rFonts w:ascii="宋体" w:hAnsi="宋体" w:eastAsia="宋体"/>
                <w:sz w:val="16"/>
              </w:rPr>
              <w:t>=2024年5月16日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06C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60734">
            <w:pPr>
              <w:jc w:val="center"/>
            </w:pPr>
          </w:p>
        </w:tc>
      </w:tr>
      <w:tr w14:paraId="0B7E1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653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D8E9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71E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F0E8">
            <w:pPr>
              <w:jc w:val="center"/>
            </w:pPr>
            <w:r>
              <w:rPr>
                <w:rFonts w:ascii="宋体" w:hAnsi="宋体" w:eastAsia="宋体"/>
                <w:sz w:val="16"/>
              </w:rPr>
              <w:t>疆内交流干部年租赁费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54BE">
            <w:pPr>
              <w:jc w:val="center"/>
            </w:pPr>
            <w:r>
              <w:rPr>
                <w:rFonts w:ascii="宋体" w:hAnsi="宋体" w:eastAsia="宋体"/>
                <w:sz w:val="16"/>
              </w:rPr>
              <w:t>&lt;=5760元/人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19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BE44">
            <w:pPr>
              <w:jc w:val="center"/>
            </w:pPr>
            <w:r>
              <w:rPr>
                <w:rFonts w:ascii="宋体" w:hAnsi="宋体" w:eastAsia="宋体"/>
                <w:sz w:val="16"/>
              </w:rPr>
              <w:t>5760元/人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23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7C0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24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119B">
            <w:pPr>
              <w:jc w:val="center"/>
            </w:pPr>
            <w:r>
              <w:rPr>
                <w:rFonts w:ascii="宋体" w:hAnsi="宋体" w:eastAsia="宋体"/>
                <w:sz w:val="16"/>
              </w:rPr>
              <w:t>=5760元/人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7B3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45EEF">
            <w:pPr>
              <w:jc w:val="center"/>
            </w:pPr>
          </w:p>
        </w:tc>
      </w:tr>
      <w:tr w14:paraId="2B72E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C1C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DC6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3C9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2834">
            <w:pPr>
              <w:jc w:val="center"/>
            </w:pPr>
            <w:r>
              <w:rPr>
                <w:rFonts w:ascii="宋体" w:hAnsi="宋体" w:eastAsia="宋体"/>
                <w:sz w:val="16"/>
              </w:rPr>
              <w:t>疆外交流干部半年租赁费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0CC55">
            <w:pPr>
              <w:jc w:val="center"/>
            </w:pPr>
            <w:r>
              <w:rPr>
                <w:rFonts w:ascii="宋体" w:hAnsi="宋体" w:eastAsia="宋体"/>
                <w:sz w:val="16"/>
              </w:rPr>
              <w:t>&lt;=2880元/人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81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41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B7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BBB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A6C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07A5">
            <w:pPr>
              <w:jc w:val="center"/>
            </w:pPr>
            <w:r>
              <w:rPr>
                <w:rFonts w:ascii="宋体" w:hAnsi="宋体" w:eastAsia="宋体"/>
                <w:sz w:val="16"/>
              </w:rPr>
              <w:t>=2880元/人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AED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B52BA">
            <w:pPr>
              <w:jc w:val="center"/>
            </w:pPr>
          </w:p>
        </w:tc>
      </w:tr>
      <w:tr w14:paraId="6F86B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F33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32E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3D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C99C">
            <w:pPr>
              <w:jc w:val="center"/>
            </w:pPr>
            <w:r>
              <w:rPr>
                <w:rFonts w:ascii="宋体" w:hAnsi="宋体" w:eastAsia="宋体"/>
                <w:sz w:val="16"/>
              </w:rPr>
              <w:t>提升租赁人员生活幸福感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B0A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0E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D61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06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18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94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E84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009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DC31E">
            <w:pPr>
              <w:jc w:val="center"/>
            </w:pPr>
          </w:p>
        </w:tc>
      </w:tr>
      <w:tr w14:paraId="79787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967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A1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62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4FFF">
            <w:pPr>
              <w:jc w:val="center"/>
            </w:pPr>
            <w:r>
              <w:rPr>
                <w:rFonts w:ascii="宋体" w:hAnsi="宋体" w:eastAsia="宋体"/>
                <w:sz w:val="16"/>
              </w:rPr>
              <w:t>租赁人员满意度（%）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B6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D9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5C5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F0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0D7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66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1AC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4C0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8CEDD">
            <w:pPr>
              <w:jc w:val="center"/>
            </w:pPr>
          </w:p>
        </w:tc>
      </w:tr>
      <w:tr w14:paraId="010D355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E240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89B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D2EAA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B99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7820EE"/>
        </w:tc>
      </w:tr>
    </w:tbl>
    <w:p w14:paraId="67DD31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56CD7F2">
        <w:tblPrEx>
          <w:tblCellMar>
            <w:top w:w="0" w:type="dxa"/>
            <w:left w:w="108" w:type="dxa"/>
            <w:bottom w:w="0" w:type="dxa"/>
            <w:right w:w="108" w:type="dxa"/>
          </w:tblCellMar>
        </w:tblPrEx>
        <w:tc>
          <w:tcPr>
            <w:tcW w:w="8848" w:type="dxa"/>
            <w:gridSpan w:val="14"/>
            <w:vAlign w:val="center"/>
          </w:tcPr>
          <w:p w14:paraId="374CE090">
            <w:pPr>
              <w:jc w:val="center"/>
            </w:pPr>
            <w:r>
              <w:rPr>
                <w:rFonts w:ascii="宋体" w:hAnsi="宋体" w:eastAsia="宋体"/>
                <w:sz w:val="24"/>
              </w:rPr>
              <w:t>项目支出绩效自评表</w:t>
            </w:r>
          </w:p>
        </w:tc>
      </w:tr>
      <w:tr w14:paraId="7CF5F72B">
        <w:tblPrEx>
          <w:tblCellMar>
            <w:top w:w="0" w:type="dxa"/>
            <w:left w:w="108" w:type="dxa"/>
            <w:bottom w:w="0" w:type="dxa"/>
            <w:right w:w="108" w:type="dxa"/>
          </w:tblCellMar>
        </w:tblPrEx>
        <w:tc>
          <w:tcPr>
            <w:tcW w:w="8848" w:type="dxa"/>
            <w:gridSpan w:val="14"/>
            <w:vAlign w:val="center"/>
          </w:tcPr>
          <w:p w14:paraId="10D62AC2">
            <w:pPr>
              <w:jc w:val="center"/>
            </w:pPr>
            <w:r>
              <w:rPr>
                <w:rFonts w:ascii="宋体" w:hAnsi="宋体" w:eastAsia="宋体"/>
                <w:sz w:val="24"/>
              </w:rPr>
              <w:t>(2024年度)</w:t>
            </w:r>
          </w:p>
        </w:tc>
      </w:tr>
      <w:tr w14:paraId="442188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3C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AF4D8D">
            <w:pPr>
              <w:jc w:val="center"/>
            </w:pPr>
            <w:r>
              <w:rPr>
                <w:rFonts w:ascii="宋体" w:hAnsi="宋体" w:eastAsia="宋体"/>
                <w:sz w:val="16"/>
              </w:rPr>
              <w:t>异地交流干部交通费项目</w:t>
            </w:r>
          </w:p>
        </w:tc>
      </w:tr>
      <w:tr w14:paraId="4B99B2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2D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8E3130">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E9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22C091">
            <w:pPr>
              <w:jc w:val="center"/>
            </w:pPr>
            <w:r>
              <w:rPr>
                <w:rFonts w:ascii="宋体" w:hAnsi="宋体" w:eastAsia="宋体"/>
                <w:sz w:val="16"/>
              </w:rPr>
              <w:t>喀什地区农业农村机械化发展中心</w:t>
            </w:r>
          </w:p>
        </w:tc>
      </w:tr>
      <w:tr w14:paraId="591602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FEBB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81B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01D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A31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9FB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605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F6AA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8033">
            <w:pPr>
              <w:jc w:val="center"/>
            </w:pPr>
            <w:r>
              <w:rPr>
                <w:rFonts w:ascii="宋体" w:hAnsi="宋体" w:eastAsia="宋体"/>
                <w:sz w:val="16"/>
              </w:rPr>
              <w:t>得分</w:t>
            </w:r>
          </w:p>
        </w:tc>
      </w:tr>
      <w:tr w14:paraId="0EAC4D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2D5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F83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79C97">
            <w:pPr>
              <w:jc w:val="center"/>
            </w:pPr>
            <w:r>
              <w:rPr>
                <w:rFonts w:ascii="宋体" w:hAnsi="宋体" w:eastAsia="宋体"/>
                <w:sz w:val="16"/>
              </w:rPr>
              <w:t>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7CA93">
            <w:pPr>
              <w:jc w:val="center"/>
            </w:pPr>
            <w:r>
              <w:rPr>
                <w:rFonts w:ascii="宋体" w:hAnsi="宋体" w:eastAsia="宋体"/>
                <w:sz w:val="16"/>
              </w:rPr>
              <w:t>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A69C2">
            <w:pPr>
              <w:jc w:val="center"/>
            </w:pPr>
            <w:r>
              <w:rPr>
                <w:rFonts w:ascii="宋体" w:hAnsi="宋体" w:eastAsia="宋体"/>
                <w:sz w:val="16"/>
              </w:rPr>
              <w:t>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BDA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1325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4937">
            <w:pPr>
              <w:jc w:val="center"/>
            </w:pPr>
            <w:r>
              <w:rPr>
                <w:rFonts w:ascii="宋体" w:hAnsi="宋体" w:eastAsia="宋体"/>
                <w:sz w:val="16"/>
              </w:rPr>
              <w:t>10.00分</w:t>
            </w:r>
          </w:p>
        </w:tc>
      </w:tr>
      <w:tr w14:paraId="637F30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8FD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73A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F53F1">
            <w:pPr>
              <w:jc w:val="center"/>
            </w:pPr>
            <w:r>
              <w:rPr>
                <w:rFonts w:ascii="宋体" w:hAnsi="宋体" w:eastAsia="宋体"/>
                <w:sz w:val="16"/>
              </w:rPr>
              <w:t>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6FCB5">
            <w:pPr>
              <w:jc w:val="center"/>
            </w:pPr>
            <w:r>
              <w:rPr>
                <w:rFonts w:ascii="宋体" w:hAnsi="宋体" w:eastAsia="宋体"/>
                <w:sz w:val="16"/>
              </w:rPr>
              <w:t>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52D3C">
            <w:pPr>
              <w:jc w:val="center"/>
            </w:pPr>
            <w:r>
              <w:rPr>
                <w:rFonts w:ascii="宋体" w:hAnsi="宋体" w:eastAsia="宋体"/>
                <w:sz w:val="16"/>
              </w:rPr>
              <w:t>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FD6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B53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9A7A">
            <w:pPr>
              <w:jc w:val="center"/>
            </w:pPr>
            <w:r>
              <w:rPr>
                <w:rFonts w:ascii="宋体" w:hAnsi="宋体" w:eastAsia="宋体"/>
                <w:sz w:val="16"/>
              </w:rPr>
              <w:t>—</w:t>
            </w:r>
          </w:p>
        </w:tc>
      </w:tr>
      <w:tr w14:paraId="387A0B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87B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D9C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156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DFB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DF9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56D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A9B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90F8">
            <w:pPr>
              <w:jc w:val="center"/>
            </w:pPr>
            <w:r>
              <w:rPr>
                <w:rFonts w:ascii="宋体" w:hAnsi="宋体" w:eastAsia="宋体"/>
                <w:sz w:val="16"/>
              </w:rPr>
              <w:t>—</w:t>
            </w:r>
          </w:p>
        </w:tc>
      </w:tr>
      <w:tr w14:paraId="5B8617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2216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36C1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DEBC6C">
            <w:pPr>
              <w:jc w:val="center"/>
            </w:pPr>
            <w:r>
              <w:rPr>
                <w:rFonts w:ascii="宋体" w:hAnsi="宋体" w:eastAsia="宋体"/>
                <w:sz w:val="16"/>
              </w:rPr>
              <w:t>实际完成情况</w:t>
            </w:r>
          </w:p>
        </w:tc>
      </w:tr>
      <w:tr w14:paraId="72D84A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A20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91B906">
            <w:pPr>
              <w:jc w:val="both"/>
            </w:pPr>
            <w:r>
              <w:rPr>
                <w:rFonts w:ascii="宋体" w:hAnsi="宋体" w:eastAsia="宋体"/>
                <w:sz w:val="16"/>
              </w:rPr>
              <w:t>该项目主要用于2名异地交流干部探亲交通费的报销，其中：孙永东8次探亲交通费2.4721万元，杨平山1次探亲交通费0.1899万元。加大对异地交流干部和挂职干部的关心关爱力度，妥善解决往返交流任职地、挂职地与家庭主要居住地的交通保障问题，提升异地交流干部幸福感。深入贯彻落实第三次中央新疆工作座谈会精神、特别是习近平总书记重要讲话精神及自治区党委实施意见精神，确保党中央、自治区党委和地委关心关爱干部落到实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6676DB">
            <w:pPr>
              <w:jc w:val="both"/>
            </w:pPr>
            <w:r>
              <w:rPr>
                <w:rFonts w:ascii="宋体" w:hAnsi="宋体" w:eastAsia="宋体"/>
                <w:sz w:val="16"/>
              </w:rPr>
              <w:t>2名异地交流干部探亲解决交通费2.66万元，其中：孙永东8次探亲交通费2.4721万元，杨平山1次探亲交通费0.1899万元。加大对异地交流干部和挂职干部的关心关爱力度，妥善解决往返交流任职地、挂职地与家庭主要居住地的交通保障问题，提升异地交流干部幸福感。</w:t>
            </w:r>
          </w:p>
        </w:tc>
      </w:tr>
      <w:tr w14:paraId="27BABE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DFB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DF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8BC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85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BC8A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5F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C0F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D2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A3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F2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B92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986D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56398">
            <w:pPr>
              <w:jc w:val="center"/>
            </w:pPr>
            <w:r>
              <w:rPr>
                <w:rFonts w:ascii="宋体" w:hAnsi="宋体" w:eastAsia="宋体"/>
                <w:sz w:val="16"/>
              </w:rPr>
              <w:t>偏差原因分析及改进措施</w:t>
            </w:r>
          </w:p>
        </w:tc>
      </w:tr>
      <w:tr w14:paraId="57D3EE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C92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CE22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642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0954">
            <w:pPr>
              <w:jc w:val="center"/>
            </w:pPr>
            <w:r>
              <w:rPr>
                <w:rFonts w:ascii="宋体" w:hAnsi="宋体" w:eastAsia="宋体"/>
                <w:sz w:val="16"/>
              </w:rPr>
              <w:t>异地交流干部人数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C6D1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4B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D44B">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AD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7D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B9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BEF6">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57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714F5">
            <w:pPr>
              <w:jc w:val="center"/>
            </w:pPr>
          </w:p>
        </w:tc>
      </w:tr>
      <w:tr w14:paraId="1A103C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A74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9F0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02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CE1F">
            <w:pPr>
              <w:jc w:val="center"/>
            </w:pPr>
            <w:r>
              <w:rPr>
                <w:rFonts w:ascii="宋体" w:hAnsi="宋体" w:eastAsia="宋体"/>
                <w:sz w:val="16"/>
              </w:rPr>
              <w:t>申请异地交流干部探亲次数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AAB1">
            <w:pPr>
              <w:jc w:val="center"/>
            </w:pPr>
            <w:r>
              <w:rPr>
                <w:rFonts w:ascii="宋体" w:hAnsi="宋体" w:eastAsia="宋体"/>
                <w:sz w:val="16"/>
              </w:rPr>
              <w:t>&gt;=9人次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17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D020">
            <w:pPr>
              <w:jc w:val="center"/>
            </w:pPr>
            <w:r>
              <w:rPr>
                <w:rFonts w:ascii="宋体" w:hAnsi="宋体" w:eastAsia="宋体"/>
                <w:sz w:val="16"/>
              </w:rPr>
              <w:t>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DF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60D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28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2269">
            <w:pPr>
              <w:jc w:val="center"/>
            </w:pPr>
            <w:r>
              <w:rPr>
                <w:rFonts w:ascii="宋体" w:hAnsi="宋体" w:eastAsia="宋体"/>
                <w:sz w:val="16"/>
              </w:rPr>
              <w:t>=9人次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30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71988">
            <w:pPr>
              <w:jc w:val="center"/>
            </w:pPr>
          </w:p>
        </w:tc>
      </w:tr>
      <w:tr w14:paraId="71DFDD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29B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2ED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9F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E352">
            <w:pPr>
              <w:jc w:val="center"/>
            </w:pPr>
            <w:r>
              <w:rPr>
                <w:rFonts w:ascii="宋体" w:hAnsi="宋体" w:eastAsia="宋体"/>
                <w:sz w:val="16"/>
              </w:rPr>
              <w:t>异地交流干部保障交通费覆盖率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37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08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33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71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0A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77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6AC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B9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D96D4">
            <w:pPr>
              <w:jc w:val="center"/>
            </w:pPr>
          </w:p>
        </w:tc>
      </w:tr>
      <w:tr w14:paraId="33A5E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0E2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CC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A28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AE7E">
            <w:pPr>
              <w:jc w:val="center"/>
            </w:pPr>
            <w:r>
              <w:rPr>
                <w:rFonts w:ascii="宋体" w:hAnsi="宋体" w:eastAsia="宋体"/>
                <w:sz w:val="16"/>
              </w:rPr>
              <w:t>异地交流干部探亲保障时限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A166">
            <w:pPr>
              <w:jc w:val="center"/>
            </w:pPr>
            <w:r>
              <w:rPr>
                <w:rFonts w:ascii="宋体" w:hAnsi="宋体" w:eastAsia="宋体"/>
                <w:sz w:val="16"/>
              </w:rPr>
              <w:t>&lt;=10个月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5F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6A4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35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4C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BF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0AD2">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AD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FCEB6">
            <w:pPr>
              <w:jc w:val="center"/>
            </w:pPr>
          </w:p>
        </w:tc>
      </w:tr>
      <w:tr w14:paraId="617F2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5A3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E9C3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D90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1802">
            <w:pPr>
              <w:jc w:val="center"/>
            </w:pPr>
            <w:r>
              <w:rPr>
                <w:rFonts w:ascii="宋体" w:hAnsi="宋体" w:eastAsia="宋体"/>
                <w:sz w:val="16"/>
              </w:rPr>
              <w:t>疆外异地交流干部交通费金额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D9632">
            <w:pPr>
              <w:jc w:val="center"/>
            </w:pPr>
            <w:r>
              <w:rPr>
                <w:rFonts w:ascii="宋体" w:hAnsi="宋体" w:eastAsia="宋体"/>
                <w:sz w:val="16"/>
              </w:rPr>
              <w:t>&lt;=2.47万元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3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C1AD">
            <w:pPr>
              <w:jc w:val="center"/>
            </w:pPr>
            <w:r>
              <w:rPr>
                <w:rFonts w:ascii="宋体" w:hAnsi="宋体" w:eastAsia="宋体"/>
                <w:sz w:val="16"/>
              </w:rPr>
              <w:t>1.42万元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EB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5C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CD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BFCC">
            <w:pPr>
              <w:jc w:val="center"/>
            </w:pPr>
            <w:r>
              <w:rPr>
                <w:rFonts w:ascii="宋体" w:hAnsi="宋体" w:eastAsia="宋体"/>
                <w:sz w:val="16"/>
              </w:rPr>
              <w:t>=2.47万元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CD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6C596">
            <w:pPr>
              <w:jc w:val="center"/>
            </w:pPr>
          </w:p>
        </w:tc>
      </w:tr>
      <w:tr w14:paraId="0AC40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66E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BB0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8F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FEFB">
            <w:pPr>
              <w:jc w:val="center"/>
            </w:pPr>
            <w:r>
              <w:rPr>
                <w:rFonts w:ascii="宋体" w:hAnsi="宋体" w:eastAsia="宋体"/>
                <w:sz w:val="16"/>
              </w:rPr>
              <w:t>疆内异地交流干部交通费金额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CB00">
            <w:pPr>
              <w:jc w:val="center"/>
            </w:pPr>
            <w:r>
              <w:rPr>
                <w:rFonts w:ascii="宋体" w:hAnsi="宋体" w:eastAsia="宋体"/>
                <w:sz w:val="16"/>
              </w:rPr>
              <w:t>&lt;=0.19万元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BE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EAD0">
            <w:pPr>
              <w:jc w:val="center"/>
            </w:pPr>
            <w:r>
              <w:rPr>
                <w:rFonts w:ascii="宋体" w:hAnsi="宋体" w:eastAsia="宋体"/>
                <w:sz w:val="16"/>
              </w:rPr>
              <w:t>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F1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3E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D0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FA93">
            <w:pPr>
              <w:jc w:val="center"/>
            </w:pPr>
            <w:r>
              <w:rPr>
                <w:rFonts w:ascii="宋体" w:hAnsi="宋体" w:eastAsia="宋体"/>
                <w:sz w:val="16"/>
              </w:rPr>
              <w: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63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4F7E1">
            <w:pPr>
              <w:jc w:val="center"/>
            </w:pPr>
          </w:p>
        </w:tc>
      </w:tr>
      <w:tr w14:paraId="1B485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FEE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44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E9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BE2B">
            <w:pPr>
              <w:jc w:val="center"/>
            </w:pPr>
            <w:r>
              <w:rPr>
                <w:rFonts w:ascii="宋体" w:hAnsi="宋体" w:eastAsia="宋体"/>
                <w:sz w:val="16"/>
              </w:rPr>
              <w:t>提升异地交流干部幸福感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099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77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4E32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0C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CBC1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DA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B43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247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017D8">
            <w:pPr>
              <w:jc w:val="center"/>
            </w:pPr>
          </w:p>
        </w:tc>
      </w:tr>
      <w:tr w14:paraId="52EF74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6F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77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C5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F91A">
            <w:pPr>
              <w:jc w:val="center"/>
            </w:pPr>
            <w:r>
              <w:rPr>
                <w:rFonts w:ascii="宋体" w:hAnsi="宋体" w:eastAsia="宋体"/>
                <w:sz w:val="16"/>
              </w:rPr>
              <w:t>异地交流干部满意度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B0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F9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F7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65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3F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B5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AD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7D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DD950">
            <w:pPr>
              <w:jc w:val="center"/>
            </w:pPr>
          </w:p>
        </w:tc>
      </w:tr>
      <w:tr w14:paraId="441BE29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63A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634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174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51D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690C06"/>
        </w:tc>
      </w:tr>
    </w:tbl>
    <w:p w14:paraId="0FB31F7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582CE3E">
        <w:tblPrEx>
          <w:tblCellMar>
            <w:top w:w="0" w:type="dxa"/>
            <w:left w:w="108" w:type="dxa"/>
            <w:bottom w:w="0" w:type="dxa"/>
            <w:right w:w="108" w:type="dxa"/>
          </w:tblCellMar>
        </w:tblPrEx>
        <w:tc>
          <w:tcPr>
            <w:tcW w:w="8848" w:type="dxa"/>
            <w:gridSpan w:val="14"/>
            <w:vAlign w:val="center"/>
          </w:tcPr>
          <w:p w14:paraId="3482026C">
            <w:pPr>
              <w:jc w:val="center"/>
            </w:pPr>
            <w:r>
              <w:rPr>
                <w:rFonts w:ascii="宋体" w:hAnsi="宋体" w:eastAsia="宋体"/>
                <w:sz w:val="24"/>
              </w:rPr>
              <w:t>项目支出绩效自评表</w:t>
            </w:r>
          </w:p>
        </w:tc>
      </w:tr>
      <w:tr w14:paraId="21434CA0">
        <w:tblPrEx>
          <w:tblCellMar>
            <w:top w:w="0" w:type="dxa"/>
            <w:left w:w="108" w:type="dxa"/>
            <w:bottom w:w="0" w:type="dxa"/>
            <w:right w:w="108" w:type="dxa"/>
          </w:tblCellMar>
        </w:tblPrEx>
        <w:tc>
          <w:tcPr>
            <w:tcW w:w="8848" w:type="dxa"/>
            <w:gridSpan w:val="14"/>
            <w:vAlign w:val="center"/>
          </w:tcPr>
          <w:p w14:paraId="7FF5037C">
            <w:pPr>
              <w:jc w:val="center"/>
            </w:pPr>
            <w:r>
              <w:rPr>
                <w:rFonts w:ascii="宋体" w:hAnsi="宋体" w:eastAsia="宋体"/>
                <w:sz w:val="24"/>
              </w:rPr>
              <w:t>(2024年度)</w:t>
            </w:r>
          </w:p>
        </w:tc>
      </w:tr>
      <w:tr w14:paraId="0E73CE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0E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28C847">
            <w:pPr>
              <w:jc w:val="center"/>
            </w:pPr>
            <w:r>
              <w:rPr>
                <w:rFonts w:ascii="宋体" w:hAnsi="宋体" w:eastAsia="宋体"/>
                <w:sz w:val="16"/>
              </w:rPr>
              <w:t>惠民补贴资金监督检查项目</w:t>
            </w:r>
          </w:p>
        </w:tc>
      </w:tr>
      <w:tr w14:paraId="5C16D7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DF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A563C4">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D8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8912FC">
            <w:pPr>
              <w:jc w:val="center"/>
            </w:pPr>
            <w:r>
              <w:rPr>
                <w:rFonts w:ascii="宋体" w:hAnsi="宋体" w:eastAsia="宋体"/>
                <w:sz w:val="16"/>
              </w:rPr>
              <w:t>喀什地区农业农村机械化发展中心</w:t>
            </w:r>
          </w:p>
        </w:tc>
      </w:tr>
      <w:tr w14:paraId="252072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3EE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9CF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EBD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169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A1D5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1C4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FB8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37976">
            <w:pPr>
              <w:jc w:val="center"/>
            </w:pPr>
            <w:r>
              <w:rPr>
                <w:rFonts w:ascii="宋体" w:hAnsi="宋体" w:eastAsia="宋体"/>
                <w:sz w:val="16"/>
              </w:rPr>
              <w:t>得分</w:t>
            </w:r>
          </w:p>
        </w:tc>
      </w:tr>
      <w:tr w14:paraId="4E592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DC8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BEA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03814">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E05F1">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03575">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92D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7DC2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FBE8">
            <w:pPr>
              <w:jc w:val="center"/>
            </w:pPr>
            <w:r>
              <w:rPr>
                <w:rFonts w:ascii="宋体" w:hAnsi="宋体" w:eastAsia="宋体"/>
                <w:sz w:val="16"/>
              </w:rPr>
              <w:t>10.00分</w:t>
            </w:r>
          </w:p>
        </w:tc>
      </w:tr>
      <w:tr w14:paraId="478D87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AB1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61E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07D79">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C8D59">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1F630">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A91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450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A38E">
            <w:pPr>
              <w:jc w:val="center"/>
            </w:pPr>
            <w:r>
              <w:rPr>
                <w:rFonts w:ascii="宋体" w:hAnsi="宋体" w:eastAsia="宋体"/>
                <w:sz w:val="16"/>
              </w:rPr>
              <w:t>—</w:t>
            </w:r>
          </w:p>
        </w:tc>
      </w:tr>
      <w:tr w14:paraId="2C7F33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AEC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4E7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3DE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778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A40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7E0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F40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35D9">
            <w:pPr>
              <w:jc w:val="center"/>
            </w:pPr>
            <w:r>
              <w:rPr>
                <w:rFonts w:ascii="宋体" w:hAnsi="宋体" w:eastAsia="宋体"/>
                <w:sz w:val="16"/>
              </w:rPr>
              <w:t>—</w:t>
            </w:r>
          </w:p>
        </w:tc>
      </w:tr>
      <w:tr w14:paraId="4CE1B7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1810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1F5E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13AAE7">
            <w:pPr>
              <w:jc w:val="center"/>
            </w:pPr>
            <w:r>
              <w:rPr>
                <w:rFonts w:ascii="宋体" w:hAnsi="宋体" w:eastAsia="宋体"/>
                <w:sz w:val="16"/>
              </w:rPr>
              <w:t>实际完成情况</w:t>
            </w:r>
          </w:p>
        </w:tc>
      </w:tr>
      <w:tr w14:paraId="5926FF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448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EBB6FE">
            <w:pPr>
              <w:jc w:val="both"/>
            </w:pPr>
            <w:r>
              <w:rPr>
                <w:rFonts w:ascii="宋体" w:hAnsi="宋体" w:eastAsia="宋体"/>
                <w:sz w:val="16"/>
              </w:rPr>
              <w:t>本项目具体在喀什地区各县市，为完成惠民资金项目实施情况达到预期目的，进行惠民资金项目实施情况监督检查稽查费用项目，农机购置与应用补贴查复核不低于5%，抽查复核范围为喀什地区12县市；对各县市开展农机技术服务指导150人次；落实中央、自治区关于粮食机收减损措施和要求，开展小麦机收减损技能大培训大比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A5111E">
            <w:pPr>
              <w:jc w:val="both"/>
            </w:pPr>
            <w:r>
              <w:rPr>
                <w:rFonts w:ascii="宋体" w:hAnsi="宋体" w:eastAsia="宋体"/>
                <w:sz w:val="16"/>
              </w:rPr>
              <w:t>2024年完成惠民资金项目监督检查稽查和农机技术服务指导150人次；6月12日在伽师县夏普吐勒镇成功举办喀什地区小麦机收减损大比武活动，来自十二县市农机手代表参加，营造了全社会关注粮食机收减损的良好氛围，提高了农机手对粮食机收减损重要性的认识和操作水平。</w:t>
            </w:r>
          </w:p>
        </w:tc>
      </w:tr>
      <w:tr w14:paraId="24C91F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0771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6C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AB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6B9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35C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1F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EB3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42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BF5D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3E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08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709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B83F0">
            <w:pPr>
              <w:jc w:val="center"/>
            </w:pPr>
            <w:r>
              <w:rPr>
                <w:rFonts w:ascii="宋体" w:hAnsi="宋体" w:eastAsia="宋体"/>
                <w:sz w:val="16"/>
              </w:rPr>
              <w:t>偏差原因分析及改进措施</w:t>
            </w:r>
          </w:p>
        </w:tc>
      </w:tr>
      <w:tr w14:paraId="082421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844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93E9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8C3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FD6E">
            <w:pPr>
              <w:jc w:val="center"/>
            </w:pPr>
            <w:r>
              <w:rPr>
                <w:rFonts w:ascii="宋体" w:hAnsi="宋体" w:eastAsia="宋体"/>
                <w:sz w:val="16"/>
              </w:rPr>
              <w:t>监督检查及农机业务技术服务指导人次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2292">
            <w:pPr>
              <w:jc w:val="center"/>
            </w:pPr>
            <w:r>
              <w:rPr>
                <w:rFonts w:ascii="宋体" w:hAnsi="宋体" w:eastAsia="宋体"/>
                <w:sz w:val="16"/>
              </w:rPr>
              <w:t>&gt;=150人次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A1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F6F1">
            <w:pPr>
              <w:jc w:val="center"/>
            </w:pPr>
            <w:r>
              <w:rPr>
                <w:rFonts w:ascii="宋体" w:hAnsi="宋体" w:eastAsia="宋体"/>
                <w:sz w:val="16"/>
              </w:rPr>
              <w:t>150人次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5E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81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2A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1A01">
            <w:pPr>
              <w:jc w:val="center"/>
            </w:pPr>
            <w:r>
              <w:rPr>
                <w:rFonts w:ascii="宋体" w:hAnsi="宋体" w:eastAsia="宋体"/>
                <w:sz w:val="16"/>
              </w:rPr>
              <w:t>=150人次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A69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A1EA3">
            <w:pPr>
              <w:jc w:val="center"/>
            </w:pPr>
          </w:p>
        </w:tc>
      </w:tr>
      <w:tr w14:paraId="488BC5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430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93C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814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2559">
            <w:pPr>
              <w:jc w:val="center"/>
            </w:pPr>
            <w:r>
              <w:rPr>
                <w:rFonts w:ascii="宋体" w:hAnsi="宋体" w:eastAsia="宋体"/>
                <w:sz w:val="16"/>
              </w:rPr>
              <w:t>开展小麦机收减损技能大培训大比武场次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CF2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087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C5FC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75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E3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4FB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2D5E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9C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184CF">
            <w:pPr>
              <w:jc w:val="center"/>
            </w:pPr>
          </w:p>
        </w:tc>
      </w:tr>
      <w:tr w14:paraId="5D88C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E89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952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1A9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4A6C">
            <w:pPr>
              <w:jc w:val="center"/>
            </w:pPr>
            <w:r>
              <w:rPr>
                <w:rFonts w:ascii="宋体" w:hAnsi="宋体" w:eastAsia="宋体"/>
                <w:sz w:val="16"/>
              </w:rPr>
              <w:t>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C5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E0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23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3C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C4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11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69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898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DBF5E">
            <w:pPr>
              <w:jc w:val="center"/>
            </w:pPr>
          </w:p>
        </w:tc>
      </w:tr>
      <w:tr w14:paraId="2C99B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818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92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2F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9FA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FCA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2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DE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74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CB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5F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11C6">
            <w:pPr>
              <w:jc w:val="center"/>
            </w:pPr>
            <w:r>
              <w:rPr>
                <w:rFonts w:ascii="宋体" w:hAnsi="宋体" w:eastAsia="宋体"/>
                <w:sz w:val="16"/>
              </w:rPr>
              <w:t>=2024年10月15日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B6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3DBCB">
            <w:pPr>
              <w:jc w:val="center"/>
            </w:pPr>
          </w:p>
        </w:tc>
      </w:tr>
      <w:tr w14:paraId="6B601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E14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7D13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6B2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D140">
            <w:pPr>
              <w:jc w:val="center"/>
            </w:pPr>
            <w:r>
              <w:rPr>
                <w:rFonts w:ascii="宋体" w:hAnsi="宋体" w:eastAsia="宋体"/>
                <w:sz w:val="16"/>
              </w:rPr>
              <w:t>农机购置补贴与农机业务指导成本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6A20">
            <w:pPr>
              <w:jc w:val="center"/>
            </w:pPr>
            <w:r>
              <w:rPr>
                <w:rFonts w:ascii="宋体" w:hAnsi="宋体" w:eastAsia="宋体"/>
                <w:sz w:val="16"/>
              </w:rPr>
              <w:t>&lt;=3.67万元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10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F67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F6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CC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1B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354C">
            <w:pPr>
              <w:jc w:val="center"/>
            </w:pPr>
            <w:r>
              <w:rPr>
                <w:rFonts w:ascii="宋体" w:hAnsi="宋体" w:eastAsia="宋体"/>
                <w:sz w:val="16"/>
              </w:rPr>
              <w:t>=3.67万元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03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CF767">
            <w:pPr>
              <w:jc w:val="center"/>
            </w:pPr>
          </w:p>
        </w:tc>
      </w:tr>
      <w:tr w14:paraId="584F8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50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45D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F2E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2D1CC">
            <w:pPr>
              <w:jc w:val="center"/>
            </w:pPr>
            <w:r>
              <w:rPr>
                <w:rFonts w:ascii="宋体" w:hAnsi="宋体" w:eastAsia="宋体"/>
                <w:sz w:val="16"/>
              </w:rPr>
              <w:t>小麦机收减损培训成本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42A5">
            <w:pPr>
              <w:jc w:val="center"/>
            </w:pPr>
            <w:r>
              <w:rPr>
                <w:rFonts w:ascii="宋体" w:hAnsi="宋体" w:eastAsia="宋体"/>
                <w:sz w:val="16"/>
              </w:rPr>
              <w:t>&lt;=3.33万元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6F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CF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F9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4E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23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CBFC">
            <w:pPr>
              <w:jc w:val="center"/>
            </w:pPr>
            <w:r>
              <w:rPr>
                <w:rFonts w:ascii="宋体" w:hAnsi="宋体" w:eastAsia="宋体"/>
                <w:sz w:val="16"/>
              </w:rPr>
              <w: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45A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66BAA">
            <w:pPr>
              <w:jc w:val="center"/>
            </w:pPr>
          </w:p>
        </w:tc>
      </w:tr>
      <w:tr w14:paraId="529F38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0B5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D2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9B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4EB3">
            <w:pPr>
              <w:jc w:val="center"/>
            </w:pPr>
            <w:r>
              <w:rPr>
                <w:rFonts w:ascii="宋体" w:hAnsi="宋体" w:eastAsia="宋体"/>
                <w:sz w:val="16"/>
              </w:rPr>
              <w:t>农民购置先进机具使用先进农机技术的积极性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770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8A7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16B0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830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91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90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1F8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41D2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D0F76">
            <w:pPr>
              <w:jc w:val="center"/>
            </w:pPr>
          </w:p>
        </w:tc>
      </w:tr>
      <w:tr w14:paraId="485D1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A91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6B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FD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0400">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A5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F5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770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714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E9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63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5E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BC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A665F">
            <w:pPr>
              <w:jc w:val="center"/>
            </w:pPr>
            <w:r>
              <w:rPr>
                <w:rFonts w:ascii="宋体" w:hAnsi="宋体" w:eastAsia="宋体"/>
                <w:sz w:val="16"/>
              </w:rPr>
              <w:t>偏差原因：指标值设置过低，改进措施：合理设置满意度指标，降低偏差率。</w:t>
            </w:r>
          </w:p>
        </w:tc>
      </w:tr>
      <w:tr w14:paraId="29578FE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A841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975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77DE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4C6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548188"/>
        </w:tc>
      </w:tr>
    </w:tbl>
    <w:p w14:paraId="2B478D30">
      <w:r>
        <w:br w:type="page"/>
      </w:r>
    </w:p>
    <w:p w14:paraId="54F6EE0C">
      <w:pPr>
        <w:spacing w:line="640" w:lineRule="exact"/>
        <w:ind w:firstLine="640"/>
        <w:jc w:val="both"/>
        <w:outlineLvl w:val="2"/>
      </w:pPr>
      <w:r>
        <w:rPr>
          <w:rFonts w:ascii="黑体" w:hAnsi="黑体" w:eastAsia="黑体"/>
          <w:sz w:val="32"/>
        </w:rPr>
        <w:t>十二、其他需说明的事项</w:t>
      </w:r>
    </w:p>
    <w:p w14:paraId="183FE3BD">
      <w:pPr>
        <w:spacing w:line="580" w:lineRule="exact"/>
        <w:ind w:firstLine="640"/>
        <w:jc w:val="both"/>
      </w:pPr>
      <w:r>
        <w:rPr>
          <w:rFonts w:ascii="仿宋_GB2312" w:hAnsi="仿宋_GB2312" w:eastAsia="仿宋_GB2312"/>
          <w:b w:val="0"/>
          <w:sz w:val="32"/>
        </w:rPr>
        <w:t>本部门无其他需说明的事项。</w:t>
      </w:r>
    </w:p>
    <w:p w14:paraId="6285E2EC">
      <w:r>
        <w:br w:type="page"/>
      </w:r>
    </w:p>
    <w:p w14:paraId="3665EEE8">
      <w:pPr>
        <w:spacing w:line="240" w:lineRule="auto"/>
        <w:jc w:val="center"/>
        <w:outlineLvl w:val="1"/>
      </w:pPr>
      <w:r>
        <w:rPr>
          <w:rFonts w:ascii="黑体" w:hAnsi="黑体" w:eastAsia="黑体"/>
          <w:sz w:val="32"/>
        </w:rPr>
        <w:t>第三部分 专业名词解释</w:t>
      </w:r>
    </w:p>
    <w:p w14:paraId="7D6E6BF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9242DD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A6110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DCD801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285918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BD4B39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1D2704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F1F85D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2F3CA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AF88A7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59C625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36F7E5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F1E144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997D8B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41F1E2A">
      <w:r>
        <w:br w:type="page"/>
      </w:r>
    </w:p>
    <w:p w14:paraId="68466B7E">
      <w:pPr>
        <w:spacing w:line="240" w:lineRule="auto"/>
        <w:jc w:val="center"/>
        <w:outlineLvl w:val="1"/>
      </w:pPr>
      <w:r>
        <w:rPr>
          <w:rFonts w:ascii="黑体" w:hAnsi="黑体" w:eastAsia="黑体"/>
          <w:sz w:val="32"/>
        </w:rPr>
        <w:t>第四部分 部门决算报表（见附表）</w:t>
      </w:r>
    </w:p>
    <w:p w14:paraId="3C4B2CD0">
      <w:pPr>
        <w:spacing w:line="240" w:lineRule="auto"/>
        <w:ind w:firstLine="640"/>
        <w:jc w:val="both"/>
      </w:pPr>
      <w:r>
        <w:rPr>
          <w:rFonts w:ascii="仿宋_GB2312" w:hAnsi="仿宋_GB2312" w:eastAsia="仿宋_GB2312"/>
          <w:b w:val="0"/>
          <w:sz w:val="32"/>
        </w:rPr>
        <w:t>一、《收入支出决算总表》</w:t>
      </w:r>
    </w:p>
    <w:p w14:paraId="1499C028">
      <w:pPr>
        <w:spacing w:line="240" w:lineRule="auto"/>
        <w:ind w:firstLine="640"/>
        <w:jc w:val="both"/>
      </w:pPr>
      <w:r>
        <w:rPr>
          <w:rFonts w:ascii="仿宋_GB2312" w:hAnsi="仿宋_GB2312" w:eastAsia="仿宋_GB2312"/>
          <w:b w:val="0"/>
          <w:sz w:val="32"/>
        </w:rPr>
        <w:t>二、《收入决算表》</w:t>
      </w:r>
    </w:p>
    <w:p w14:paraId="319C0CBB">
      <w:pPr>
        <w:spacing w:line="240" w:lineRule="auto"/>
        <w:ind w:firstLine="640"/>
        <w:jc w:val="both"/>
      </w:pPr>
      <w:r>
        <w:rPr>
          <w:rFonts w:ascii="仿宋_GB2312" w:hAnsi="仿宋_GB2312" w:eastAsia="仿宋_GB2312"/>
          <w:b w:val="0"/>
          <w:sz w:val="32"/>
        </w:rPr>
        <w:t>三、《支出决算表》</w:t>
      </w:r>
    </w:p>
    <w:p w14:paraId="47CFF96B">
      <w:pPr>
        <w:spacing w:line="240" w:lineRule="auto"/>
        <w:ind w:firstLine="640"/>
        <w:jc w:val="both"/>
      </w:pPr>
      <w:r>
        <w:rPr>
          <w:rFonts w:ascii="仿宋_GB2312" w:hAnsi="仿宋_GB2312" w:eastAsia="仿宋_GB2312"/>
          <w:b w:val="0"/>
          <w:sz w:val="32"/>
        </w:rPr>
        <w:t>四、《财政拨款收入支出决算总表》</w:t>
      </w:r>
    </w:p>
    <w:p w14:paraId="3ED99917">
      <w:pPr>
        <w:spacing w:line="240" w:lineRule="auto"/>
        <w:ind w:firstLine="640"/>
        <w:jc w:val="both"/>
      </w:pPr>
      <w:r>
        <w:rPr>
          <w:rFonts w:ascii="仿宋_GB2312" w:hAnsi="仿宋_GB2312" w:eastAsia="仿宋_GB2312"/>
          <w:b w:val="0"/>
          <w:sz w:val="32"/>
        </w:rPr>
        <w:t>五、《一般公共预算财政拨款支出决算表》</w:t>
      </w:r>
    </w:p>
    <w:p w14:paraId="352F8C3E">
      <w:pPr>
        <w:spacing w:line="240" w:lineRule="auto"/>
        <w:ind w:firstLine="640"/>
        <w:jc w:val="both"/>
      </w:pPr>
      <w:r>
        <w:rPr>
          <w:rFonts w:ascii="仿宋_GB2312" w:hAnsi="仿宋_GB2312" w:eastAsia="仿宋_GB2312"/>
          <w:b w:val="0"/>
          <w:sz w:val="32"/>
        </w:rPr>
        <w:t>六、《一般公共预算财政拨款基本支出决算表》</w:t>
      </w:r>
    </w:p>
    <w:p w14:paraId="167F9FC4">
      <w:pPr>
        <w:spacing w:line="240" w:lineRule="auto"/>
        <w:ind w:firstLine="640"/>
        <w:jc w:val="both"/>
      </w:pPr>
      <w:r>
        <w:rPr>
          <w:rFonts w:ascii="仿宋_GB2312" w:hAnsi="仿宋_GB2312" w:eastAsia="仿宋_GB2312"/>
          <w:b w:val="0"/>
          <w:sz w:val="32"/>
        </w:rPr>
        <w:t>七、《政府性基金预算财政拨款收入支出决算表》</w:t>
      </w:r>
    </w:p>
    <w:p w14:paraId="31213D58">
      <w:pPr>
        <w:spacing w:line="240" w:lineRule="auto"/>
        <w:ind w:firstLine="640"/>
        <w:jc w:val="both"/>
      </w:pPr>
      <w:r>
        <w:rPr>
          <w:rFonts w:ascii="仿宋_GB2312" w:hAnsi="仿宋_GB2312" w:eastAsia="仿宋_GB2312"/>
          <w:b w:val="0"/>
          <w:sz w:val="32"/>
        </w:rPr>
        <w:t>八、《国有资本经营预算财政拨款收入支出决算表》</w:t>
      </w:r>
    </w:p>
    <w:p w14:paraId="77E41C4B">
      <w:pPr>
        <w:spacing w:line="240" w:lineRule="auto"/>
        <w:ind w:firstLine="640"/>
        <w:jc w:val="both"/>
      </w:pPr>
      <w:r>
        <w:rPr>
          <w:rFonts w:ascii="仿宋_GB2312" w:hAnsi="仿宋_GB2312" w:eastAsia="仿宋_GB2312"/>
          <w:b w:val="0"/>
          <w:sz w:val="32"/>
        </w:rPr>
        <w:t>九、《财政拨款“三公”经费支出决算表》</w:t>
      </w:r>
    </w:p>
    <w:p w14:paraId="08EB836C">
      <w:pPr>
        <w:spacing w:line="240" w:lineRule="auto"/>
        <w:ind w:firstLine="640"/>
        <w:jc w:val="both"/>
      </w:pPr>
    </w:p>
    <w:p w14:paraId="394ECC0F">
      <w:pPr>
        <w:spacing w:line="240" w:lineRule="auto"/>
        <w:ind w:firstLine="640"/>
        <w:jc w:val="both"/>
      </w:pPr>
    </w:p>
    <w:p w14:paraId="1E4C9353">
      <w:pPr>
        <w:spacing w:line="240" w:lineRule="auto"/>
        <w:ind w:firstLine="640"/>
        <w:jc w:val="both"/>
      </w:pPr>
    </w:p>
    <w:p w14:paraId="407C25B0">
      <w:pPr>
        <w:spacing w:line="240" w:lineRule="auto"/>
        <w:ind w:firstLine="640"/>
        <w:jc w:val="both"/>
      </w:pPr>
    </w:p>
    <w:p w14:paraId="5D4A63B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2">
    <w:panose1 w:val="02000000000000000000"/>
    <w:charset w:val="86"/>
    <w:family w:val="auto"/>
    <w:pitch w:val="default"/>
    <w:sig w:usb0="A00002BF" w:usb1="38CF7CFA" w:usb2="00082016" w:usb3="00000000" w:csb0="00040001"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530D3C"/>
    <w:rsid w:val="55DA564E"/>
    <w:rsid w:val="56E07045"/>
    <w:rsid w:val="583059FA"/>
    <w:rsid w:val="587E6212"/>
    <w:rsid w:val="5AFC6609"/>
    <w:rsid w:val="5C264848"/>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6468</Words>
  <Characters>7333</Characters>
  <Lines>0</Lines>
  <Paragraphs>0</Paragraphs>
  <TotalTime>8</TotalTime>
  <ScaleCrop>false</ScaleCrop>
  <LinksUpToDate>false</LinksUpToDate>
  <CharactersWithSpaces>7344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2025-09-04T04:34:48Z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