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喀什地区农业综合行政执法支队2024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44FA00">
      <w:r>
        <w:br w:type="page"/>
      </w:r>
    </w:p>
    <w:p w14:paraId="1D796925">
      <w:pPr>
        <w:spacing w:line="640" w:lineRule="exact"/>
        <w:jc w:val="center"/>
        <w:outlineLvl w:val="1"/>
      </w:pPr>
      <w:r>
        <w:rPr>
          <w:rFonts w:ascii="黑体" w:hAnsi="黑体" w:eastAsia="黑体"/>
          <w:sz w:val="32"/>
        </w:rPr>
        <w:t>第一部分 部门概况</w:t>
      </w:r>
    </w:p>
    <w:p w14:paraId="5E70CD74">
      <w:pPr>
        <w:spacing w:line="640" w:lineRule="exact"/>
        <w:ind w:firstLine="640"/>
        <w:jc w:val="both"/>
        <w:outlineLvl w:val="2"/>
      </w:pPr>
      <w:r>
        <w:rPr>
          <w:rFonts w:ascii="黑体" w:hAnsi="黑体" w:eastAsia="黑体"/>
          <w:sz w:val="32"/>
        </w:rPr>
        <w:t>一、主要职能</w:t>
      </w:r>
    </w:p>
    <w:p w14:paraId="5F5665F9">
      <w:pPr>
        <w:spacing w:line="580" w:lineRule="exact"/>
        <w:ind w:firstLine="640"/>
        <w:jc w:val="both"/>
      </w:pPr>
      <w:r>
        <w:rPr>
          <w:rFonts w:ascii="仿宋_GB2312" w:hAnsi="仿宋_GB2312" w:eastAsia="仿宋_GB2312"/>
          <w:sz w:val="32"/>
        </w:rPr>
        <w:t>喀什地区农业综合行政执法支队于2019年12月26日根据自治区党委办公厅、自治区人民政府办公厅印发的《自治区关于深化农业综合行政执法改革的实施意见》（新党办发</w:t>
      </w:r>
      <w:r>
        <w:rPr>
          <w:rFonts w:hint="eastAsia" w:ascii="仿宋_GB2312" w:hAnsi="仿宋_GB2312" w:eastAsia="仿宋_GB2312"/>
          <w:sz w:val="32"/>
          <w:lang w:eastAsia="zh-CN"/>
        </w:rPr>
        <w:t>〔2019〕32号</w:t>
      </w:r>
      <w:r>
        <w:rPr>
          <w:rFonts w:ascii="仿宋_GB2312" w:hAnsi="仿宋_GB2312" w:eastAsia="仿宋_GB2312"/>
          <w:sz w:val="32"/>
        </w:rPr>
        <w:t>）、地委办公室、行署办公室《关于</w:t>
      </w:r>
      <w:r>
        <w:rPr>
          <w:rFonts w:hint="eastAsia" w:ascii="仿宋_GB2312" w:hAnsi="仿宋_GB2312" w:eastAsia="仿宋_GB2312"/>
          <w:sz w:val="32"/>
          <w:lang w:eastAsia="zh-CN"/>
        </w:rPr>
        <w:t>〈</w:t>
      </w:r>
      <w:r>
        <w:rPr>
          <w:rFonts w:ascii="仿宋_GB2312" w:hAnsi="仿宋_GB2312" w:eastAsia="仿宋_GB2312"/>
          <w:sz w:val="32"/>
        </w:rPr>
        <w:t>喀什地区机构改革方案</w:t>
      </w:r>
      <w:r>
        <w:rPr>
          <w:rFonts w:hint="eastAsia" w:ascii="仿宋_GB2312" w:hAnsi="仿宋_GB2312" w:eastAsia="仿宋_GB2312"/>
          <w:sz w:val="32"/>
          <w:lang w:eastAsia="zh-CN"/>
        </w:rPr>
        <w:t>〉</w:t>
      </w:r>
      <w:r>
        <w:rPr>
          <w:rFonts w:ascii="仿宋_GB2312" w:hAnsi="仿宋_GB2312" w:eastAsia="仿宋_GB2312"/>
          <w:sz w:val="32"/>
        </w:rPr>
        <w:t>的实施意见》（喀党办发</w:t>
      </w:r>
      <w:r>
        <w:rPr>
          <w:rFonts w:hint="eastAsia" w:ascii="仿宋_GB2312" w:hAnsi="仿宋_GB2312" w:eastAsia="仿宋_GB2312"/>
          <w:sz w:val="32"/>
          <w:lang w:eastAsia="zh-CN"/>
        </w:rPr>
        <w:t>〔2019〕2号</w:t>
      </w:r>
      <w:r>
        <w:rPr>
          <w:rFonts w:ascii="仿宋_GB2312" w:hAnsi="仿宋_GB2312" w:eastAsia="仿宋_GB2312"/>
          <w:sz w:val="32"/>
        </w:rPr>
        <w:t>）、（喀党编委</w:t>
      </w:r>
      <w:r>
        <w:rPr>
          <w:rFonts w:hint="eastAsia" w:ascii="仿宋_GB2312" w:hAnsi="仿宋_GB2312" w:eastAsia="仿宋_GB2312"/>
          <w:sz w:val="32"/>
          <w:lang w:eastAsia="zh-CN"/>
        </w:rPr>
        <w:t>〔2019〕33号</w:t>
      </w:r>
      <w:r>
        <w:rPr>
          <w:rFonts w:ascii="仿宋_GB2312" w:hAnsi="仿宋_GB2312" w:eastAsia="仿宋_GB2312"/>
          <w:sz w:val="32"/>
        </w:rPr>
        <w:t>）和《关于明确</w:t>
      </w:r>
      <w:r>
        <w:rPr>
          <w:rFonts w:hint="eastAsia" w:ascii="仿宋_GB2312" w:hAnsi="仿宋_GB2312" w:eastAsia="仿宋_GB2312"/>
          <w:sz w:val="32"/>
          <w:lang w:eastAsia="zh-CN"/>
        </w:rPr>
        <w:t>地区</w:t>
      </w:r>
      <w:r>
        <w:rPr>
          <w:rFonts w:ascii="仿宋_GB2312" w:hAnsi="仿宋_GB2312" w:eastAsia="仿宋_GB2312"/>
          <w:sz w:val="32"/>
        </w:rPr>
        <w:t>农业综合行政执法支队机构规格的通知》（新党编办</w:t>
      </w:r>
      <w:r>
        <w:rPr>
          <w:rFonts w:hint="eastAsia" w:ascii="仿宋_GB2312" w:hAnsi="仿宋_GB2312" w:eastAsia="仿宋_GB2312"/>
          <w:sz w:val="32"/>
          <w:lang w:eastAsia="zh-CN"/>
        </w:rPr>
        <w:t>〔2019〕</w:t>
      </w:r>
      <w:r>
        <w:rPr>
          <w:rFonts w:ascii="仿宋_GB2312" w:hAnsi="仿宋_GB2312" w:eastAsia="仿宋_GB2312"/>
          <w:sz w:val="32"/>
        </w:rPr>
        <w:t>）要求组建，</w:t>
      </w:r>
      <w:r>
        <w:rPr>
          <w:rFonts w:hint="eastAsia" w:ascii="仿宋_GB2312" w:hAnsi="仿宋_GB2312" w:eastAsia="仿宋_GB2312"/>
          <w:sz w:val="32"/>
          <w:lang w:eastAsia="zh-CN"/>
        </w:rPr>
        <w:t>为</w:t>
      </w:r>
      <w:r>
        <w:rPr>
          <w:rFonts w:ascii="仿宋_GB2312" w:hAnsi="仿宋_GB2312" w:eastAsia="仿宋_GB2312"/>
          <w:sz w:val="32"/>
        </w:rPr>
        <w:t>全额拨款，执行行政单位会计制度，独立编制单位1个，独立核算单位1</w:t>
      </w:r>
      <w:r>
        <w:rPr>
          <w:rFonts w:hint="eastAsia" w:ascii="仿宋_GB2312" w:hAnsi="仿宋_GB2312" w:eastAsia="仿宋_GB2312"/>
          <w:sz w:val="32"/>
          <w:lang w:eastAsia="zh-CN"/>
        </w:rPr>
        <w:t>个</w:t>
      </w:r>
      <w:r>
        <w:rPr>
          <w:rFonts w:ascii="仿宋_GB2312" w:hAnsi="仿宋_GB2312" w:eastAsia="仿宋_GB2312"/>
          <w:sz w:val="32"/>
        </w:rPr>
        <w:t>，隶属于喀什地区农业农村局，核定参公编制41人，承担喀什地区12个县市动物卫生、饲料兽药、畜禽屠宰、种子、化肥、农药、农机、农产品质量、植物检疫、渔政等行政处罚及与行政处罚相关的行政检查、行政强制职能和法律法规赋予的执法监管职责，并负责组织查处辖区内跨区域和具有重大影响的复杂案件，监督指导辖区内综合行政执法体系建设和农业执法工作。</w:t>
      </w:r>
    </w:p>
    <w:p w14:paraId="2F2A8522">
      <w:pPr>
        <w:spacing w:line="640" w:lineRule="exact"/>
        <w:ind w:firstLine="640"/>
        <w:jc w:val="both"/>
        <w:outlineLvl w:val="2"/>
      </w:pPr>
      <w:r>
        <w:rPr>
          <w:rFonts w:ascii="黑体" w:hAnsi="黑体" w:eastAsia="黑体"/>
          <w:sz w:val="32"/>
        </w:rPr>
        <w:t>二、机构设置及人员情况</w:t>
      </w:r>
    </w:p>
    <w:p w14:paraId="5B6DFB19">
      <w:pPr>
        <w:spacing w:line="580" w:lineRule="exact"/>
        <w:ind w:firstLine="640"/>
        <w:jc w:val="both"/>
      </w:pPr>
      <w:r>
        <w:rPr>
          <w:rFonts w:ascii="仿宋_GB2312" w:hAnsi="仿宋_GB2312" w:eastAsia="仿宋_GB2312"/>
          <w:sz w:val="32"/>
        </w:rPr>
        <w:t>喀什地区农业综合行政执法支队2024年度，实有人数36人，其中：在职人员33人，减少1人；离休人员0人，增加0人；退休人员3人,增加3人。</w:t>
      </w:r>
    </w:p>
    <w:p w14:paraId="18B391F0">
      <w:pPr>
        <w:spacing w:line="580" w:lineRule="exact"/>
        <w:ind w:firstLine="640"/>
        <w:jc w:val="both"/>
      </w:pPr>
      <w:r>
        <w:rPr>
          <w:rFonts w:ascii="仿宋_GB2312" w:hAnsi="仿宋_GB2312" w:eastAsia="仿宋_GB2312"/>
          <w:sz w:val="32"/>
        </w:rPr>
        <w:t>喀什地区农业综合行政执法支队无下属预算单位，下设9个科室，分别是：办公室、政策法规科、执法督导科、农资种业执法科、农机执法科、动植物检疫执法科、兽药饲料执法科、渔业执法科、农产品质量安全执法科。</w:t>
      </w:r>
    </w:p>
    <w:p w14:paraId="6E1FD988">
      <w:r>
        <w:br w:type="page"/>
      </w:r>
    </w:p>
    <w:p w14:paraId="323165DC">
      <w:pPr>
        <w:spacing w:line="240" w:lineRule="auto"/>
        <w:jc w:val="center"/>
        <w:outlineLvl w:val="1"/>
      </w:pPr>
      <w:r>
        <w:rPr>
          <w:rFonts w:ascii="黑体" w:hAnsi="黑体" w:eastAsia="黑体"/>
          <w:sz w:val="32"/>
        </w:rPr>
        <w:t>第二部分 部门决算情况说明</w:t>
      </w:r>
    </w:p>
    <w:p w14:paraId="5D8FA9FC">
      <w:pPr>
        <w:spacing w:line="640" w:lineRule="exact"/>
        <w:ind w:firstLine="640"/>
        <w:jc w:val="both"/>
        <w:outlineLvl w:val="2"/>
      </w:pPr>
      <w:r>
        <w:rPr>
          <w:rFonts w:ascii="黑体" w:hAnsi="黑体" w:eastAsia="黑体"/>
          <w:sz w:val="32"/>
        </w:rPr>
        <w:t>一、收入支出决算总体情况说明</w:t>
      </w:r>
    </w:p>
    <w:p w14:paraId="644ABB9F">
      <w:pPr>
        <w:spacing w:line="580" w:lineRule="exact"/>
        <w:ind w:firstLine="640"/>
        <w:jc w:val="both"/>
      </w:pPr>
      <w:r>
        <w:rPr>
          <w:rFonts w:ascii="仿宋_GB2312" w:hAnsi="仿宋_GB2312" w:eastAsia="仿宋_GB2312"/>
          <w:b/>
          <w:sz w:val="32"/>
        </w:rPr>
        <w:t>2024年度收入总计780.91万元，</w:t>
      </w:r>
      <w:r>
        <w:rPr>
          <w:rFonts w:ascii="仿宋_GB2312" w:hAnsi="仿宋_GB2312" w:eastAsia="仿宋_GB2312"/>
          <w:b w:val="0"/>
          <w:sz w:val="32"/>
        </w:rPr>
        <w:t>其中：本年收入合计780.91万元，使用非财政拨款结余（含专用结余）0.00万元，年初结转和结余0.00万元。</w:t>
      </w:r>
    </w:p>
    <w:p w14:paraId="734845EE">
      <w:pPr>
        <w:spacing w:line="580" w:lineRule="exact"/>
        <w:ind w:firstLine="640"/>
        <w:jc w:val="both"/>
      </w:pPr>
      <w:r>
        <w:rPr>
          <w:rFonts w:ascii="仿宋_GB2312" w:hAnsi="仿宋_GB2312" w:eastAsia="仿宋_GB2312"/>
          <w:b/>
          <w:sz w:val="32"/>
        </w:rPr>
        <w:t>2024年度支出总计780.91万元，</w:t>
      </w:r>
      <w:r>
        <w:rPr>
          <w:rFonts w:ascii="仿宋_GB2312" w:hAnsi="仿宋_GB2312" w:eastAsia="仿宋_GB2312"/>
          <w:b w:val="0"/>
          <w:sz w:val="32"/>
        </w:rPr>
        <w:t>其中：本年支出合计780.91万元，结余分配0.00万元，年末结转和结余0.00万元。</w:t>
      </w:r>
    </w:p>
    <w:p w14:paraId="70A1CA96">
      <w:pPr>
        <w:spacing w:line="580" w:lineRule="exact"/>
        <w:ind w:firstLine="640"/>
        <w:jc w:val="both"/>
      </w:pPr>
      <w:r>
        <w:rPr>
          <w:rFonts w:ascii="仿宋_GB2312" w:hAnsi="仿宋_GB2312" w:eastAsia="仿宋_GB2312"/>
          <w:b w:val="0"/>
          <w:sz w:val="32"/>
        </w:rPr>
        <w:t>收入支出总体与上年相比，增加44.93万元，增长6.10%，主要原因是：本年在职人员工资调增，社保、公积金基数调增，人员经费增加。本年增加自治区农业生产发展资金项目（农产品质量安全）、农业综合</w:t>
      </w:r>
      <w:r>
        <w:rPr>
          <w:rFonts w:hint="eastAsia" w:ascii="仿宋_GB2312" w:hAnsi="仿宋_GB2312" w:eastAsia="仿宋_GB2312"/>
          <w:b w:val="0"/>
          <w:sz w:val="32"/>
          <w:lang w:eastAsia="zh-CN"/>
        </w:rPr>
        <w:t>行政</w:t>
      </w:r>
      <w:r>
        <w:rPr>
          <w:rFonts w:ascii="仿宋_GB2312" w:hAnsi="仿宋_GB2312" w:eastAsia="仿宋_GB2312"/>
          <w:b w:val="0"/>
          <w:sz w:val="32"/>
        </w:rPr>
        <w:t>执法全域数字化服务平台使用项目和农业综合行政执法法律顾问项目资金。</w:t>
      </w:r>
    </w:p>
    <w:p w14:paraId="6CBD2D3A">
      <w:pPr>
        <w:spacing w:line="640" w:lineRule="exact"/>
        <w:ind w:firstLine="640"/>
        <w:jc w:val="both"/>
        <w:outlineLvl w:val="2"/>
      </w:pPr>
      <w:r>
        <w:rPr>
          <w:rFonts w:ascii="黑体" w:hAnsi="黑体" w:eastAsia="黑体"/>
          <w:sz w:val="32"/>
        </w:rPr>
        <w:t>二、收入决算情况说明</w:t>
      </w:r>
    </w:p>
    <w:p w14:paraId="6EA19EAC">
      <w:pPr>
        <w:spacing w:line="580" w:lineRule="exact"/>
        <w:ind w:firstLine="640"/>
        <w:jc w:val="both"/>
      </w:pPr>
      <w:r>
        <w:rPr>
          <w:rFonts w:ascii="仿宋_GB2312" w:hAnsi="仿宋_GB2312" w:eastAsia="仿宋_GB2312"/>
          <w:b/>
          <w:sz w:val="32"/>
        </w:rPr>
        <w:t>本年收入780.91万元，</w:t>
      </w:r>
      <w:r>
        <w:rPr>
          <w:rFonts w:ascii="仿宋_GB2312" w:hAnsi="仿宋_GB2312" w:eastAsia="仿宋_GB2312"/>
          <w:b w:val="0"/>
          <w:sz w:val="32"/>
        </w:rPr>
        <w:t>其中：财政拨款收入780.91万元，占100.00%；上级补助收入0.00万元，占0.00%；事业收入0.00万元，占0.00%；经营收入0.00万元，占0.00%；附属单位上缴收入0.00万元，占0.00%；其他收入0.00万元，占0.00%。</w:t>
      </w:r>
    </w:p>
    <w:p w14:paraId="6B70B42F">
      <w:pPr>
        <w:spacing w:line="640" w:lineRule="exact"/>
        <w:ind w:firstLine="640"/>
        <w:jc w:val="both"/>
        <w:outlineLvl w:val="2"/>
      </w:pPr>
      <w:r>
        <w:rPr>
          <w:rFonts w:ascii="黑体" w:hAnsi="黑体" w:eastAsia="黑体"/>
          <w:sz w:val="32"/>
        </w:rPr>
        <w:t>三、支出决算情况说明</w:t>
      </w:r>
    </w:p>
    <w:p w14:paraId="22A3D67F">
      <w:pPr>
        <w:spacing w:line="580" w:lineRule="exact"/>
        <w:ind w:firstLine="640"/>
        <w:jc w:val="both"/>
      </w:pPr>
      <w:r>
        <w:rPr>
          <w:rFonts w:ascii="仿宋_GB2312" w:hAnsi="仿宋_GB2312" w:eastAsia="仿宋_GB2312"/>
          <w:b/>
          <w:sz w:val="32"/>
        </w:rPr>
        <w:t>本年支出780.91万元，</w:t>
      </w:r>
      <w:r>
        <w:rPr>
          <w:rFonts w:ascii="仿宋_GB2312" w:hAnsi="仿宋_GB2312" w:eastAsia="仿宋_GB2312"/>
          <w:b w:val="0"/>
          <w:sz w:val="32"/>
        </w:rPr>
        <w:t>其中：基本支出716.71万元，占91.78%；项目支出64.20万元，占8.22%；上缴上级支出0.00万元，占0.00%；经营支出0.00万元，占0.00%；对附属单位补助支出0.00万元，占0.00%。</w:t>
      </w:r>
    </w:p>
    <w:p w14:paraId="1EB122BB">
      <w:pPr>
        <w:spacing w:line="640" w:lineRule="exact"/>
        <w:ind w:firstLine="640"/>
        <w:jc w:val="both"/>
        <w:outlineLvl w:val="2"/>
      </w:pPr>
      <w:r>
        <w:rPr>
          <w:rFonts w:ascii="黑体" w:hAnsi="黑体" w:eastAsia="黑体"/>
          <w:sz w:val="32"/>
        </w:rPr>
        <w:t>四、财政拨款收入支出决算总体情况说明</w:t>
      </w:r>
    </w:p>
    <w:p w14:paraId="44511F17">
      <w:pPr>
        <w:spacing w:line="580" w:lineRule="exact"/>
        <w:ind w:firstLine="640"/>
        <w:jc w:val="both"/>
      </w:pPr>
      <w:r>
        <w:rPr>
          <w:rFonts w:ascii="仿宋_GB2312" w:hAnsi="仿宋_GB2312" w:eastAsia="仿宋_GB2312"/>
          <w:b/>
          <w:sz w:val="32"/>
        </w:rPr>
        <w:t>2024年度财政拨款收入总计780.91万元，</w:t>
      </w:r>
      <w:r>
        <w:rPr>
          <w:rFonts w:ascii="仿宋_GB2312" w:hAnsi="仿宋_GB2312" w:eastAsia="仿宋_GB2312"/>
          <w:b w:val="0"/>
          <w:sz w:val="32"/>
        </w:rPr>
        <w:t>其中：年初财政拨款结转和结余0.00万元，本年财政拨款收入780.91万元。</w:t>
      </w:r>
      <w:r>
        <w:rPr>
          <w:rFonts w:ascii="仿宋_GB2312" w:hAnsi="仿宋_GB2312" w:eastAsia="仿宋_GB2312"/>
          <w:b/>
          <w:sz w:val="32"/>
        </w:rPr>
        <w:t>财政拨款支出总计780.91万元，</w:t>
      </w:r>
      <w:r>
        <w:rPr>
          <w:rFonts w:ascii="仿宋_GB2312" w:hAnsi="仿宋_GB2312" w:eastAsia="仿宋_GB2312"/>
          <w:b w:val="0"/>
          <w:sz w:val="32"/>
        </w:rPr>
        <w:t>其中：年末财政拨款结转和结余0.00万元，本年财政拨款支出780.91万元。</w:t>
      </w:r>
    </w:p>
    <w:p w14:paraId="47BA38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增加44.93万元，增长6.10%，主要原因是：本年在职人员工资调增，社保、公积金基数调增，人员经费增加。本年增加自治区农业生产发展资金项目（农产品质量安全）、农业综合</w:t>
      </w:r>
      <w:r>
        <w:rPr>
          <w:rFonts w:hint="eastAsia" w:ascii="仿宋_GB2312" w:hAnsi="仿宋_GB2312" w:eastAsia="仿宋_GB2312"/>
          <w:b w:val="0"/>
          <w:sz w:val="32"/>
          <w:lang w:eastAsia="zh-CN"/>
        </w:rPr>
        <w:t>行政</w:t>
      </w:r>
      <w:r>
        <w:rPr>
          <w:rFonts w:ascii="仿宋_GB2312" w:hAnsi="仿宋_GB2312" w:eastAsia="仿宋_GB2312"/>
          <w:b w:val="0"/>
          <w:sz w:val="32"/>
        </w:rPr>
        <w:t>执法全域数字化服务平台使用项目和农业综合行政执法法律顾问项目资金。</w:t>
      </w:r>
      <w:r>
        <w:rPr>
          <w:rFonts w:ascii="仿宋_GB2312" w:hAnsi="仿宋_GB2312" w:eastAsia="仿宋_GB2312"/>
          <w:b/>
          <w:sz w:val="32"/>
        </w:rPr>
        <w:t>与年初预算相比，</w:t>
      </w:r>
      <w:r>
        <w:rPr>
          <w:rFonts w:ascii="仿宋_GB2312" w:hAnsi="仿宋_GB2312" w:eastAsia="仿宋_GB2312"/>
          <w:b w:val="0"/>
          <w:sz w:val="32"/>
        </w:rPr>
        <w:t>年初预算数772.31万元，决算数780.91万元，预决算差异率1.11%，主要原因是：年中追加人员工资、社保、公积金基数调增部分资金，年中追加自治区农业生产发展资金项目（农产品质量安全）、农业综合</w:t>
      </w:r>
      <w:r>
        <w:rPr>
          <w:rFonts w:hint="eastAsia" w:ascii="仿宋_GB2312" w:hAnsi="仿宋_GB2312" w:eastAsia="仿宋_GB2312"/>
          <w:b w:val="0"/>
          <w:sz w:val="32"/>
          <w:lang w:eastAsia="zh-CN"/>
        </w:rPr>
        <w:t>行政</w:t>
      </w:r>
      <w:r>
        <w:rPr>
          <w:rFonts w:ascii="仿宋_GB2312" w:hAnsi="仿宋_GB2312" w:eastAsia="仿宋_GB2312"/>
          <w:b w:val="0"/>
          <w:sz w:val="32"/>
        </w:rPr>
        <w:t>执法全域数字化服务平台使用项目和农业综合行政执法法律顾问项目，导致预决算存在差异。</w:t>
      </w:r>
    </w:p>
    <w:p w14:paraId="2C813C4E">
      <w:pPr>
        <w:spacing w:line="640" w:lineRule="exact"/>
        <w:ind w:firstLine="640"/>
        <w:jc w:val="both"/>
        <w:outlineLvl w:val="2"/>
      </w:pPr>
      <w:r>
        <w:rPr>
          <w:rFonts w:ascii="黑体" w:hAnsi="黑体" w:eastAsia="黑体"/>
          <w:sz w:val="32"/>
        </w:rPr>
        <w:t>五、一般公共预算财政拨款支出决算情况说明</w:t>
      </w:r>
    </w:p>
    <w:p w14:paraId="41A9C138">
      <w:pPr>
        <w:spacing w:line="640" w:lineRule="exact"/>
        <w:ind w:firstLine="640"/>
        <w:jc w:val="both"/>
        <w:outlineLvl w:val="3"/>
      </w:pPr>
      <w:r>
        <w:rPr>
          <w:rFonts w:ascii="楷体_GB2312" w:hAnsi="楷体_GB2312" w:eastAsia="楷体_GB2312"/>
          <w:b/>
          <w:sz w:val="32"/>
        </w:rPr>
        <w:t>（一）一般公共预算财政拨款支出决算总体情况</w:t>
      </w:r>
    </w:p>
    <w:p w14:paraId="0BB9658E">
      <w:pPr>
        <w:spacing w:line="580" w:lineRule="exact"/>
        <w:ind w:firstLine="640"/>
        <w:jc w:val="both"/>
      </w:pPr>
      <w:r>
        <w:rPr>
          <w:rFonts w:ascii="仿宋_GB2312" w:hAnsi="仿宋_GB2312" w:eastAsia="仿宋_GB2312"/>
          <w:b/>
          <w:sz w:val="32"/>
        </w:rPr>
        <w:t>2024年度一般公共预算财政拨款支出780.91万元，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增加44.93万元，增长6.10%，主要原因是：本年在职人员工资调增，社保、公积金基数调增，人员经费增加。本年增加自治区农业生产发展资金项目（农产品质量安全）、农业综合</w:t>
      </w:r>
      <w:r>
        <w:rPr>
          <w:rFonts w:hint="eastAsia" w:ascii="仿宋_GB2312" w:hAnsi="仿宋_GB2312" w:eastAsia="仿宋_GB2312"/>
          <w:b w:val="0"/>
          <w:sz w:val="32"/>
          <w:lang w:eastAsia="zh-CN"/>
        </w:rPr>
        <w:t>行政</w:t>
      </w:r>
      <w:r>
        <w:rPr>
          <w:rFonts w:ascii="仿宋_GB2312" w:hAnsi="仿宋_GB2312" w:eastAsia="仿宋_GB2312"/>
          <w:b w:val="0"/>
          <w:sz w:val="32"/>
        </w:rPr>
        <w:t>执法全域数字化服务平台使用项目和农业综合行政执法法律顾问项目资金。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年初预算数772.31万元，决算数780.91万元，预决算差异率1.11%</w:t>
      </w:r>
      <w:r>
        <w:rPr>
          <w:rFonts w:hint="eastAsia" w:ascii="仿宋_GB2312" w:hAnsi="仿宋_GB2312" w:eastAsia="仿宋_GB2312"/>
          <w:b w:val="0"/>
          <w:sz w:val="32"/>
          <w:lang w:eastAsia="zh-CN"/>
        </w:rPr>
        <w:t>，</w:t>
      </w:r>
      <w:r>
        <w:rPr>
          <w:rFonts w:ascii="仿宋_GB2312" w:hAnsi="仿宋_GB2312" w:eastAsia="仿宋_GB2312"/>
          <w:b w:val="0"/>
          <w:sz w:val="32"/>
        </w:rPr>
        <w:t>主要原因是：年中追加人员工资、社保、公积金基数调增部分资金，年中追加自治区农业生产发展资金项目（农产品质量安全）、农业综合行</w:t>
      </w:r>
      <w:r>
        <w:rPr>
          <w:rFonts w:hint="eastAsia" w:ascii="仿宋_GB2312" w:hAnsi="仿宋_GB2312" w:eastAsia="仿宋_GB2312"/>
          <w:b w:val="0"/>
          <w:sz w:val="32"/>
          <w:lang w:eastAsia="zh-CN"/>
        </w:rPr>
        <w:t>政智</w:t>
      </w:r>
      <w:r>
        <w:rPr>
          <w:rFonts w:ascii="仿宋_GB2312" w:hAnsi="仿宋_GB2312" w:eastAsia="仿宋_GB2312"/>
          <w:b w:val="0"/>
          <w:sz w:val="32"/>
        </w:rPr>
        <w:t>慧执法全域数字化服务平台使用项目和农业综合行政执法法律顾问项目，导致预决算存在差异。</w:t>
      </w:r>
    </w:p>
    <w:p w14:paraId="3E02031E">
      <w:pPr>
        <w:spacing w:line="640" w:lineRule="exact"/>
        <w:ind w:firstLine="640"/>
        <w:jc w:val="both"/>
        <w:outlineLvl w:val="3"/>
      </w:pPr>
      <w:r>
        <w:rPr>
          <w:rFonts w:ascii="楷体_GB2312" w:hAnsi="楷体_GB2312" w:eastAsia="楷体_GB2312"/>
          <w:b/>
          <w:sz w:val="32"/>
        </w:rPr>
        <w:t>（二）一般公共预算财政拨款支出决算结构情况</w:t>
      </w:r>
    </w:p>
    <w:p w14:paraId="021CF007">
      <w:pPr>
        <w:spacing w:line="580" w:lineRule="exact"/>
        <w:ind w:firstLine="640"/>
        <w:jc w:val="both"/>
      </w:pPr>
      <w:r>
        <w:rPr>
          <w:rFonts w:ascii="仿宋_GB2312" w:hAnsi="仿宋_GB2312" w:eastAsia="仿宋_GB2312"/>
          <w:b w:val="0"/>
          <w:sz w:val="32"/>
        </w:rPr>
        <w:t>1.一般公共服务支出(类)4.39万元,占0.56%。</w:t>
      </w:r>
    </w:p>
    <w:p w14:paraId="1451C09A">
      <w:pPr>
        <w:spacing w:line="580" w:lineRule="exact"/>
        <w:ind w:firstLine="640"/>
        <w:jc w:val="both"/>
      </w:pPr>
      <w:r>
        <w:rPr>
          <w:rFonts w:ascii="仿宋_GB2312" w:hAnsi="仿宋_GB2312" w:eastAsia="仿宋_GB2312"/>
          <w:b w:val="0"/>
          <w:sz w:val="32"/>
        </w:rPr>
        <w:t>2.社会保障和就业支出(类)87.78万元,占11.24%。</w:t>
      </w:r>
    </w:p>
    <w:p w14:paraId="2FAA660A">
      <w:pPr>
        <w:spacing w:line="580" w:lineRule="exact"/>
        <w:ind w:firstLine="640"/>
        <w:jc w:val="both"/>
      </w:pPr>
      <w:r>
        <w:rPr>
          <w:rFonts w:ascii="仿宋_GB2312" w:hAnsi="仿宋_GB2312" w:eastAsia="仿宋_GB2312"/>
          <w:b w:val="0"/>
          <w:sz w:val="32"/>
        </w:rPr>
        <w:t>3.卫生健康支出(类)33.78万元,占4.33%。</w:t>
      </w:r>
    </w:p>
    <w:p w14:paraId="68C267CE">
      <w:pPr>
        <w:spacing w:line="580" w:lineRule="exact"/>
        <w:ind w:firstLine="640"/>
        <w:jc w:val="both"/>
      </w:pPr>
      <w:r>
        <w:rPr>
          <w:rFonts w:ascii="仿宋_GB2312" w:hAnsi="仿宋_GB2312" w:eastAsia="仿宋_GB2312"/>
          <w:b w:val="0"/>
          <w:sz w:val="32"/>
        </w:rPr>
        <w:t>4.农林水支出(类)601.56万元,占77.03%。</w:t>
      </w:r>
    </w:p>
    <w:p w14:paraId="34675AD0">
      <w:pPr>
        <w:spacing w:line="580" w:lineRule="exact"/>
        <w:ind w:firstLine="640"/>
        <w:jc w:val="both"/>
      </w:pPr>
      <w:r>
        <w:rPr>
          <w:rFonts w:ascii="仿宋_GB2312" w:hAnsi="仿宋_GB2312" w:eastAsia="仿宋_GB2312"/>
          <w:b w:val="0"/>
          <w:sz w:val="32"/>
        </w:rPr>
        <w:t>5.住房保障支出(类)53.40万元,占6.84%。</w:t>
      </w:r>
    </w:p>
    <w:p w14:paraId="00CC1E27">
      <w:pPr>
        <w:spacing w:line="640" w:lineRule="exact"/>
        <w:ind w:firstLine="640"/>
        <w:jc w:val="both"/>
        <w:outlineLvl w:val="3"/>
      </w:pPr>
      <w:r>
        <w:rPr>
          <w:rFonts w:ascii="楷体_GB2312" w:hAnsi="楷体_GB2312" w:eastAsia="楷体_GB2312"/>
          <w:b/>
          <w:sz w:val="32"/>
        </w:rPr>
        <w:t>（三）一般公共预算财政拨款支出决算具体情况</w:t>
      </w:r>
    </w:p>
    <w:p w14:paraId="039B3E6A">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1.一般公共服务支出(类)统战事务(款)宗教事务(项):支出决算数为4.39万元，比上年决算增加3.41万元，增长347.96%,主要原因是：本年增加人员生活补助支出。</w:t>
      </w:r>
    </w:p>
    <w:p w14:paraId="14062193">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2.社会保障和就业支出(类)行政事业单位养老支出(款)行政单位离退休(项):支出决算数为2.46万元，比上年决算增加2.46万元，增长100.00%,主要原因是：本年退休人员增加，退休费支出增加。</w:t>
      </w:r>
    </w:p>
    <w:p w14:paraId="072CE19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61.95万元，比上年决算增加0.26万元，增长0.42%,主要原因是：本年在职人员工资基数调增，养老缴费基数上涨，相应支出增加。</w:t>
      </w:r>
    </w:p>
    <w:p w14:paraId="6267F19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4.社会保障和就业支出(类)行政事业单位养老支出(款)机关事业单位职业年金缴费支出(项):支出决算数为23.37万元，比上年决算增加23.37万元，增长100.00%,主要原因是：本年新增退休人员，职业年金缴费支出增加。</w:t>
      </w:r>
    </w:p>
    <w:p w14:paraId="10E205C3">
      <w:pPr>
        <w:spacing w:line="580" w:lineRule="exact"/>
        <w:ind w:firstLine="640"/>
        <w:jc w:val="both"/>
      </w:pPr>
      <w:r>
        <w:rPr>
          <w:rFonts w:ascii="仿宋_GB2312" w:hAnsi="仿宋_GB2312" w:eastAsia="仿宋_GB2312"/>
          <w:b w:val="0"/>
          <w:sz w:val="32"/>
        </w:rPr>
        <w:t>5.卫生健康支出(类)行政事业单位医疗(款)行政单位医疗(项):支出决算数为26.26万元，比上年决算减少0.03万元，下降0.11%,主要原因是：本年在职人员减少，行政单位医疗支出较上年减少。</w:t>
      </w:r>
    </w:p>
    <w:p w14:paraId="5A5413F5">
      <w:pPr>
        <w:spacing w:line="580" w:lineRule="exact"/>
        <w:ind w:firstLine="640"/>
        <w:jc w:val="both"/>
      </w:pPr>
      <w:r>
        <w:rPr>
          <w:rFonts w:ascii="仿宋_GB2312" w:hAnsi="仿宋_GB2312" w:eastAsia="仿宋_GB2312"/>
          <w:b w:val="0"/>
          <w:sz w:val="32"/>
        </w:rPr>
        <w:t>6.卫生健康支出(类)行政事业单位医疗(款)公务员医疗补助(项):支出决算数为7.52万元，比上年决算减少0.03万元，下降0.40%,主要原因是：本年在职人员减少，公务员医疗补助较上年减少。</w:t>
      </w:r>
    </w:p>
    <w:p w14:paraId="1452AD74">
      <w:pPr>
        <w:spacing w:line="580" w:lineRule="exact"/>
        <w:ind w:firstLine="640"/>
        <w:jc w:val="both"/>
      </w:pPr>
      <w:r>
        <w:rPr>
          <w:rFonts w:ascii="仿宋_GB2312" w:hAnsi="仿宋_GB2312" w:eastAsia="仿宋_GB2312"/>
          <w:b w:val="0"/>
          <w:sz w:val="32"/>
        </w:rPr>
        <w:t>7.农林水支出(类)农业农村(款)行政运行(项):支出决算数为537.36万元，比上年决算减少8.00万元，下降1.47%,主要原因是：本年在职人员减少，相应人员经费较上年减少。</w:t>
      </w:r>
    </w:p>
    <w:p w14:paraId="3667A760">
      <w:pPr>
        <w:spacing w:line="580" w:lineRule="exact"/>
        <w:ind w:firstLine="640"/>
        <w:jc w:val="both"/>
      </w:pPr>
      <w:r>
        <w:rPr>
          <w:rFonts w:ascii="仿宋_GB2312" w:hAnsi="仿宋_GB2312" w:eastAsia="仿宋_GB2312"/>
          <w:b w:val="0"/>
          <w:sz w:val="32"/>
        </w:rPr>
        <w:t>8.农林水支出(类)农业农村(款)一般行政管理事务(项):支出决算数为44.20万元，比上年决算增加11.70万元，增长36.00%,主要原因是：本年增加专项经费项目、工会经费等项目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，因此经费支出增加。</w:t>
      </w:r>
    </w:p>
    <w:p w14:paraId="0B4D3119">
      <w:pPr>
        <w:spacing w:line="580" w:lineRule="exact"/>
        <w:ind w:firstLine="640"/>
        <w:jc w:val="both"/>
      </w:pPr>
      <w:r>
        <w:rPr>
          <w:rFonts w:ascii="仿宋_GB2312" w:hAnsi="仿宋_GB2312" w:eastAsia="仿宋_GB2312"/>
          <w:b w:val="0"/>
          <w:sz w:val="32"/>
        </w:rPr>
        <w:t>9.农林水支出(类)农业农村(款)农产品质量安全(项):支出决算数为10.00万元，比上年决算增加10.00万元，增长100.00%,主要原因是：本年增加自治区农业生产发展资金项目（农产品质量安全）项目资金。</w:t>
      </w:r>
    </w:p>
    <w:p w14:paraId="37F41515">
      <w:pPr>
        <w:spacing w:line="580" w:lineRule="exact"/>
        <w:ind w:firstLine="640"/>
        <w:jc w:val="both"/>
      </w:pPr>
      <w:r>
        <w:rPr>
          <w:rFonts w:ascii="仿宋_GB2312" w:hAnsi="仿宋_GB2312" w:eastAsia="仿宋_GB2312"/>
          <w:b w:val="0"/>
          <w:sz w:val="32"/>
        </w:rPr>
        <w:t>10.农林水支出(类)农业农村(款)执法监管(项):支出决算数为10.00万元，比上年决算增加0.00万元，增长0.00%,主要原因是：本年农业综合行政执法装备项目经费与上年一致，无变化。</w:t>
      </w:r>
    </w:p>
    <w:p w14:paraId="5FB411F7">
      <w:pPr>
        <w:spacing w:line="580" w:lineRule="exact"/>
        <w:ind w:firstLine="640"/>
        <w:jc w:val="both"/>
      </w:pPr>
      <w:r>
        <w:rPr>
          <w:rFonts w:ascii="仿宋_GB2312" w:hAnsi="仿宋_GB2312" w:eastAsia="仿宋_GB2312"/>
          <w:b w:val="0"/>
          <w:sz w:val="32"/>
        </w:rPr>
        <w:t>11.住房保障支出(类)住房改革支出(款)住房公积金(项):支出决算数为53.40万元，比上年决算增加1.79万元，增长3.47%,主要原因是：本年在职人员工资基数调增，公积金缴费基数上涨，相应支出增加。</w:t>
      </w:r>
    </w:p>
    <w:p w14:paraId="286673B8">
      <w:pPr>
        <w:spacing w:line="640" w:lineRule="exact"/>
        <w:ind w:firstLine="640"/>
        <w:jc w:val="both"/>
        <w:outlineLvl w:val="2"/>
      </w:pPr>
      <w:r>
        <w:rPr>
          <w:rFonts w:ascii="黑体" w:hAnsi="黑体" w:eastAsia="黑体"/>
          <w:sz w:val="32"/>
        </w:rPr>
        <w:t>六、一般公共预算财政拨款基本支出决算情况说明</w:t>
      </w:r>
    </w:p>
    <w:p w14:paraId="48671CEF">
      <w:pPr>
        <w:spacing w:line="580" w:lineRule="exact"/>
        <w:ind w:firstLine="640"/>
        <w:jc w:val="both"/>
      </w:pPr>
      <w:r>
        <w:rPr>
          <w:rFonts w:ascii="仿宋_GB2312" w:hAnsi="仿宋_GB2312" w:eastAsia="仿宋_GB2312"/>
          <w:b w:val="0"/>
          <w:sz w:val="32"/>
        </w:rPr>
        <w:t>2024年度一般公共预算财政拨款基本支出716.71万元，其中：</w:t>
      </w:r>
      <w:r>
        <w:rPr>
          <w:rFonts w:ascii="仿宋_GB2312" w:hAnsi="仿宋_GB2312" w:eastAsia="仿宋_GB2312"/>
          <w:b/>
          <w:sz w:val="32"/>
        </w:rPr>
        <w:t>人员经费672.15万元，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515B472C">
      <w:pPr>
        <w:spacing w:line="580" w:lineRule="exact"/>
        <w:ind w:firstLine="640"/>
        <w:jc w:val="both"/>
      </w:pPr>
      <w:r>
        <w:rPr>
          <w:rFonts w:ascii="仿宋_GB2312" w:hAnsi="仿宋_GB2312" w:eastAsia="仿宋_GB2312"/>
          <w:b/>
          <w:sz w:val="32"/>
        </w:rPr>
        <w:t>公用经费44.57万元，</w:t>
      </w:r>
      <w:r>
        <w:rPr>
          <w:rFonts w:ascii="仿宋_GB2312" w:hAnsi="仿宋_GB2312" w:eastAsia="仿宋_GB2312"/>
          <w:b w:val="0"/>
          <w:sz w:val="32"/>
        </w:rPr>
        <w:t>包括：办公费、印刷费、水费、电费、邮电费、差旅费、专用材料费、劳务费、工会经费、公务用车运行维护费、其他交通费用、其他商品和服务支出。</w:t>
      </w:r>
    </w:p>
    <w:p w14:paraId="10A1BF2F">
      <w:pPr>
        <w:spacing w:line="640" w:lineRule="exact"/>
        <w:ind w:firstLine="640"/>
        <w:jc w:val="both"/>
        <w:outlineLvl w:val="2"/>
      </w:pPr>
      <w:r>
        <w:rPr>
          <w:rFonts w:ascii="黑体" w:hAnsi="黑体" w:eastAsia="黑体"/>
          <w:sz w:val="32"/>
        </w:rPr>
        <w:t>七、政府性基金预算财政拨款收入支出决算情况说明</w:t>
      </w:r>
    </w:p>
    <w:p w14:paraId="07B8D9B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74F3EDA">
      <w:pPr>
        <w:spacing w:line="640" w:lineRule="exact"/>
        <w:ind w:firstLine="640"/>
        <w:jc w:val="both"/>
        <w:outlineLvl w:val="2"/>
      </w:pPr>
      <w:r>
        <w:rPr>
          <w:rFonts w:ascii="黑体" w:hAnsi="黑体" w:eastAsia="黑体"/>
          <w:sz w:val="32"/>
        </w:rPr>
        <w:t>八、国有资本经营预算财政拨款收入支出决算情况说明</w:t>
      </w:r>
    </w:p>
    <w:p w14:paraId="34C4EC6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A9D5F12">
      <w:pPr>
        <w:spacing w:line="640" w:lineRule="exact"/>
        <w:ind w:firstLine="640"/>
        <w:jc w:val="both"/>
        <w:outlineLvl w:val="2"/>
      </w:pPr>
      <w:r>
        <w:rPr>
          <w:rFonts w:ascii="黑体" w:hAnsi="黑体" w:eastAsia="黑体"/>
          <w:sz w:val="32"/>
        </w:rPr>
        <w:t>九、财政拨款“三公”经费支出决算情况说明</w:t>
      </w:r>
    </w:p>
    <w:p w14:paraId="53CA88C0">
      <w:pPr>
        <w:spacing w:line="580" w:lineRule="exact"/>
        <w:ind w:firstLine="640"/>
        <w:jc w:val="both"/>
      </w:pPr>
      <w:r>
        <w:rPr>
          <w:rFonts w:ascii="仿宋_GB2312" w:hAnsi="仿宋_GB2312" w:eastAsia="仿宋_GB2312"/>
          <w:b/>
          <w:sz w:val="32"/>
        </w:rPr>
        <w:t>2024年度财政拨款“三公”经费支出7.20万元，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7.20万元，占100.00%，比上年增加0.00万元，增长0.00%，主要原因是：本部门公务用车运行维护费与上年一致无变化。公务接待费支出0.00万元，占0.00%，比上年增加0.00万元，增长0.00%，主要原因是：2023年与2024年均未安排公务接待费支出。</w:t>
      </w:r>
    </w:p>
    <w:p w14:paraId="15E4F4C0">
      <w:pPr>
        <w:spacing w:line="580" w:lineRule="exact"/>
        <w:ind w:firstLine="640"/>
        <w:jc w:val="both"/>
      </w:pPr>
      <w:r>
        <w:rPr>
          <w:rFonts w:ascii="仿宋_GB2312" w:hAnsi="仿宋_GB2312" w:eastAsia="仿宋_GB2312"/>
          <w:b/>
          <w:sz w:val="32"/>
        </w:rPr>
        <w:t>具体情况如下：</w:t>
      </w:r>
    </w:p>
    <w:p w14:paraId="3383E88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C8C3158">
      <w:pPr>
        <w:spacing w:line="580" w:lineRule="exact"/>
        <w:ind w:firstLine="640"/>
        <w:jc w:val="both"/>
      </w:pPr>
      <w:r>
        <w:rPr>
          <w:rFonts w:ascii="仿宋_GB2312" w:hAnsi="仿宋_GB2312" w:eastAsia="仿宋_GB2312"/>
          <w:b w:val="0"/>
          <w:sz w:val="32"/>
        </w:rPr>
        <w:t>公务用车购置及运行维护费7.20万元，其中：公务用车购置费0.00万元，公务用车运行维护费7.20万元。公务用车运行维护费开支内容包括车辆维修费、执法车辆保险费、ETC过路费、车辆加油费等。公务用车购置数0辆，公务用车保有量4辆。国有资产占用情况中固定资产车辆4辆，与公务用车保有量差异原因是：本部门固定资产车辆与公务用车保有量一致无差异。</w:t>
      </w:r>
    </w:p>
    <w:p w14:paraId="7BABB4B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95ED8F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7.20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7.20万元，决算数7.20万元，预决算差异率0.00%，主要原因是：严格按照预算执行，预决算无差异。公务接待费全年预算数0.00万元，决算数0.00万元，预决算差异率0.00%，主要原因是：本部门无公务接待费。</w:t>
      </w:r>
    </w:p>
    <w:p w14:paraId="6E0FF67D">
      <w:pPr>
        <w:spacing w:line="640" w:lineRule="exact"/>
        <w:ind w:firstLine="640"/>
        <w:jc w:val="both"/>
        <w:outlineLvl w:val="2"/>
      </w:pPr>
      <w:r>
        <w:rPr>
          <w:rFonts w:ascii="黑体" w:hAnsi="黑体" w:eastAsia="黑体"/>
          <w:sz w:val="32"/>
        </w:rPr>
        <w:t>十、其他重要事项的情况说明</w:t>
      </w:r>
    </w:p>
    <w:p w14:paraId="42A42E4A">
      <w:pPr>
        <w:spacing w:line="640" w:lineRule="exact"/>
        <w:ind w:firstLine="640"/>
        <w:jc w:val="both"/>
        <w:outlineLvl w:val="3"/>
      </w:pPr>
      <w:r>
        <w:rPr>
          <w:rFonts w:ascii="楷体_GB2312" w:hAnsi="楷体_GB2312" w:eastAsia="楷体_GB2312"/>
          <w:b/>
          <w:sz w:val="32"/>
        </w:rPr>
        <w:t>（一）机关运行经费及公用经费支出情况</w:t>
      </w:r>
    </w:p>
    <w:p w14:paraId="3A94A0E9">
      <w:pPr>
        <w:spacing w:line="580" w:lineRule="exact"/>
        <w:ind w:firstLine="640"/>
        <w:jc w:val="both"/>
      </w:pPr>
      <w:r>
        <w:rPr>
          <w:rFonts w:ascii="仿宋_GB2312" w:hAnsi="仿宋_GB2312" w:eastAsia="仿宋_GB2312"/>
          <w:b w:val="0"/>
          <w:sz w:val="32"/>
        </w:rPr>
        <w:t>2024年度喀什地区农业综合行政执法支队（行政单位和参照公务员法管理事业单位）机关运行经费支出44.57万元，比上年增加11.09万元，增长33.12%，主要原因是：本年增加工会经费、在职退休党员活动费，导致机关运行经费支出增加。</w:t>
      </w:r>
    </w:p>
    <w:p w14:paraId="1EDF857B">
      <w:pPr>
        <w:spacing w:line="640" w:lineRule="exact"/>
        <w:ind w:firstLine="640"/>
        <w:jc w:val="both"/>
        <w:outlineLvl w:val="3"/>
      </w:pPr>
      <w:r>
        <w:rPr>
          <w:rFonts w:ascii="楷体_GB2312" w:hAnsi="楷体_GB2312" w:eastAsia="楷体_GB2312"/>
          <w:b/>
          <w:sz w:val="32"/>
        </w:rPr>
        <w:t>（二）政府采购情况</w:t>
      </w:r>
    </w:p>
    <w:p w14:paraId="45C583DE">
      <w:pPr>
        <w:spacing w:line="580" w:lineRule="exact"/>
        <w:ind w:firstLine="640"/>
        <w:jc w:val="both"/>
      </w:pPr>
      <w:r>
        <w:rPr>
          <w:rFonts w:ascii="仿宋_GB2312" w:hAnsi="仿宋_GB2312" w:eastAsia="仿宋_GB2312"/>
          <w:b w:val="0"/>
          <w:sz w:val="32"/>
        </w:rPr>
        <w:t>2024年度政府采购支出总额62.67万元，其中：政府采购货物支出42.03万元、政府采购工程支出0.00万元、政府采购服务支出20.64万元。</w:t>
      </w:r>
    </w:p>
    <w:p w14:paraId="6B3D0C17">
      <w:pPr>
        <w:spacing w:line="580" w:lineRule="exact"/>
        <w:ind w:firstLine="640"/>
        <w:jc w:val="both"/>
      </w:pPr>
      <w:r>
        <w:rPr>
          <w:rFonts w:ascii="仿宋_GB2312" w:hAnsi="仿宋_GB2312" w:eastAsia="仿宋_GB2312"/>
          <w:b w:val="0"/>
          <w:sz w:val="32"/>
        </w:rPr>
        <w:t>授予中小企业合同金额62.67万元，占政府采购支出总额的100.00%，其中：授予小微企业合同金额62.67万元，占政府采购支出总额的100.00%。</w:t>
      </w:r>
    </w:p>
    <w:p w14:paraId="1BBD2C6F">
      <w:pPr>
        <w:spacing w:line="640" w:lineRule="exact"/>
        <w:ind w:firstLine="640"/>
        <w:jc w:val="both"/>
        <w:outlineLvl w:val="3"/>
      </w:pPr>
      <w:r>
        <w:rPr>
          <w:rFonts w:ascii="楷体_GB2312" w:hAnsi="楷体_GB2312" w:eastAsia="楷体_GB2312"/>
          <w:b/>
          <w:sz w:val="32"/>
        </w:rPr>
        <w:t>（三）国有资产占用情况说明</w:t>
      </w:r>
    </w:p>
    <w:p w14:paraId="13E2A3E6">
      <w:pPr>
        <w:spacing w:line="580" w:lineRule="exact"/>
        <w:ind w:firstLine="640"/>
        <w:jc w:val="both"/>
      </w:pPr>
      <w:r>
        <w:rPr>
          <w:rFonts w:ascii="仿宋_GB2312" w:hAnsi="仿宋_GB2312" w:eastAsia="仿宋_GB2312"/>
          <w:b w:val="0"/>
          <w:sz w:val="32"/>
        </w:rPr>
        <w:t>截至2024年12月31日，房屋0.00平方米，价值0.00万元。车辆4辆，价值75.52万元，其中：副部（省）级及以上领导用车0辆、主要负责人用车0辆、机要通信用车0辆、应急保障用车0辆、执法执勤用车4辆、特种专业技术用车0辆、离退休干部服务用车0辆、其他用车0辆，其他用车主要是：本部门无其他用车。单价100万元（含）以上设备（不含车辆）0台（套）。</w:t>
      </w:r>
    </w:p>
    <w:p w14:paraId="6400B5A1">
      <w:pPr>
        <w:spacing w:line="640" w:lineRule="exact"/>
        <w:ind w:firstLine="640"/>
        <w:jc w:val="both"/>
        <w:outlineLvl w:val="2"/>
      </w:pPr>
      <w:r>
        <w:rPr>
          <w:rFonts w:ascii="黑体" w:hAnsi="黑体" w:eastAsia="黑体"/>
          <w:sz w:val="32"/>
        </w:rPr>
        <w:t>十一、预算绩效的情况说明</w:t>
      </w:r>
    </w:p>
    <w:p w14:paraId="6B6B68D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根据预算绩效管理要求，本部门2024年度预算绩效管理形成整体支出绩效自评表1个，全年预算总额783.94万元，实际执行总额780.91万元；预算绩效评价项目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64.7</w:t>
      </w:r>
      <w:r>
        <w:rPr>
          <w:rFonts w:ascii="仿宋_GB2312" w:hAnsi="仿宋_GB2312" w:eastAsia="仿宋_GB2312"/>
          <w:b w:val="0"/>
          <w:sz w:val="32"/>
        </w:rPr>
        <w:t>0万元，全年执行数</w:t>
      </w:r>
      <w:r>
        <w:rPr>
          <w:rFonts w:hint="eastAsia" w:ascii="仿宋_GB2312" w:hAnsi="仿宋_GB2312" w:eastAsia="仿宋_GB2312"/>
          <w:b w:val="0"/>
          <w:sz w:val="32"/>
          <w:lang w:val="en-US" w:eastAsia="zh-CN"/>
        </w:rPr>
        <w:t>64.7</w:t>
      </w:r>
      <w:r>
        <w:rPr>
          <w:rFonts w:ascii="仿宋_GB2312" w:hAnsi="仿宋_GB2312" w:eastAsia="仿宋_GB2312"/>
          <w:b w:val="0"/>
          <w:sz w:val="32"/>
        </w:rPr>
        <w:t>0万元。预算绩效管理取得的成效：达到了喀什地区12个县市动物卫生、饲料兽药、畜禽屠宰、种子、化肥、农药、农机、农产品质量、植物检疫、渔政等行政处罚及与行政处罚相关的行政检查，并负责组织查处辖区内跨区域和具有重大影响的复杂案件，监督指导辖区内综合行政执法体系建设和农业执法工作，提升执法监督人员的综合能力，保障了单位正常运转和人员工资，并且顺利开展农业综合执法全区大比武、培训活动。发现的问题及原因：在执行部门预算时存在对公用经费开支不能很好地控制的问题，主要原因是对部门预算的认识不到位，在执行落实过程中按照单位实际情况开支。下一步改进措施：持续加大预算的精准度，提前规划尽量减少客观原因对工作的影响。持续完善绩效指标，提高整体绩效目标质量。提升预算精细化管理水平。今后的工作中将进一步细化工作，严格按照预算开支，从源头压缩开支，确保决算的正确性。对于绩效方面，做到绩效工作由专人负责，同时加强相关人员对绩效知识的培训；如遇到与实际情况有偏差的情况，需及时调整绩效目标。具体附部门整体支出绩效自评表，项目支出绩效自评表和部门评价报告。</w:t>
      </w:r>
    </w:p>
    <w:p w14:paraId="26FDACD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73C8B0">
        <w:tblPrEx>
          <w:tblCellMar>
            <w:top w:w="0" w:type="dxa"/>
            <w:left w:w="108" w:type="dxa"/>
            <w:bottom w:w="0" w:type="dxa"/>
            <w:right w:w="108" w:type="dxa"/>
          </w:tblCellMar>
        </w:tblPrEx>
        <w:tc>
          <w:tcPr>
            <w:tcW w:w="8847" w:type="dxa"/>
            <w:gridSpan w:val="9"/>
            <w:vAlign w:val="center"/>
          </w:tcPr>
          <w:p w14:paraId="4273A212">
            <w:pPr>
              <w:jc w:val="center"/>
            </w:pPr>
            <w:r>
              <w:rPr>
                <w:rFonts w:ascii="宋体" w:hAnsi="宋体" w:eastAsia="宋体"/>
                <w:sz w:val="24"/>
              </w:rPr>
              <w:t>部门整体支出绩效自评表</w:t>
            </w:r>
          </w:p>
        </w:tc>
      </w:tr>
      <w:tr w14:paraId="69C2DD38">
        <w:tblPrEx>
          <w:tblCellMar>
            <w:top w:w="0" w:type="dxa"/>
            <w:left w:w="108" w:type="dxa"/>
            <w:bottom w:w="0" w:type="dxa"/>
            <w:right w:w="108" w:type="dxa"/>
          </w:tblCellMar>
        </w:tblPrEx>
        <w:tc>
          <w:tcPr>
            <w:tcW w:w="8847" w:type="dxa"/>
            <w:gridSpan w:val="9"/>
            <w:vAlign w:val="center"/>
          </w:tcPr>
          <w:p w14:paraId="5812C677">
            <w:pPr>
              <w:jc w:val="center"/>
            </w:pPr>
            <w:r>
              <w:rPr>
                <w:rFonts w:ascii="宋体" w:hAnsi="宋体" w:eastAsia="宋体"/>
                <w:sz w:val="24"/>
              </w:rPr>
              <w:t>（2024年度）</w:t>
            </w:r>
          </w:p>
        </w:tc>
      </w:tr>
      <w:tr w14:paraId="1FC08B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B6E7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793170">
            <w:pPr>
              <w:jc w:val="center"/>
            </w:pPr>
            <w:r>
              <w:rPr>
                <w:rFonts w:ascii="宋体" w:hAnsi="宋体" w:eastAsia="宋体"/>
                <w:sz w:val="16"/>
              </w:rPr>
              <w:t>喀什地区农业综合行政执法支队</w:t>
            </w:r>
          </w:p>
        </w:tc>
      </w:tr>
      <w:tr w14:paraId="67871F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C0C2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591A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396B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003B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2F72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415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B837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4E8A">
            <w:pPr>
              <w:jc w:val="center"/>
            </w:pPr>
            <w:r>
              <w:rPr>
                <w:rFonts w:ascii="宋体" w:hAnsi="宋体" w:eastAsia="宋体"/>
                <w:sz w:val="16"/>
              </w:rPr>
              <w:t>得分</w:t>
            </w:r>
          </w:p>
        </w:tc>
      </w:tr>
      <w:tr w14:paraId="442B7B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CED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479F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EC951">
            <w:pPr>
              <w:jc w:val="center"/>
            </w:pPr>
            <w:r>
              <w:rPr>
                <w:rFonts w:ascii="宋体" w:hAnsi="宋体" w:eastAsia="宋体"/>
                <w:sz w:val="16"/>
              </w:rPr>
              <w:t>772.31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BF38">
            <w:pPr>
              <w:jc w:val="center"/>
            </w:pPr>
            <w:r>
              <w:rPr>
                <w:rFonts w:ascii="宋体" w:hAnsi="宋体" w:eastAsia="宋体"/>
                <w:sz w:val="16"/>
              </w:rPr>
              <w:t>783.94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685FE">
            <w:pPr>
              <w:jc w:val="center"/>
            </w:pPr>
            <w:r>
              <w:rPr>
                <w:rFonts w:ascii="宋体" w:hAnsi="宋体" w:eastAsia="宋体"/>
                <w:sz w:val="16"/>
              </w:rPr>
              <w:t>780.91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D2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91321">
            <w:pPr>
              <w:jc w:val="center"/>
            </w:pPr>
            <w:r>
              <w:rPr>
                <w:rFonts w:ascii="宋体" w:hAnsi="宋体" w:eastAsia="宋体"/>
                <w:sz w:val="16"/>
              </w:rPr>
              <w:t>99.61%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69E1">
            <w:pPr>
              <w:jc w:val="center"/>
            </w:pPr>
            <w:r>
              <w:rPr>
                <w:rFonts w:ascii="宋体" w:hAnsi="宋体" w:eastAsia="宋体"/>
                <w:sz w:val="16"/>
              </w:rPr>
              <w:t>9.96</w:t>
            </w:r>
          </w:p>
        </w:tc>
      </w:tr>
      <w:tr w14:paraId="51223E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241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87A5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6155A">
            <w:pPr>
              <w:jc w:val="center"/>
            </w:pPr>
            <w:r>
              <w:rPr>
                <w:rFonts w:ascii="宋体" w:hAnsi="宋体" w:eastAsia="宋体"/>
                <w:sz w:val="16"/>
              </w:rPr>
              <w:t>15.62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4C968">
            <w:pPr>
              <w:jc w:val="center"/>
            </w:pPr>
            <w:r>
              <w:rPr>
                <w:rFonts w:ascii="宋体" w:hAnsi="宋体" w:eastAsia="宋体"/>
                <w:sz w:val="16"/>
              </w:rPr>
              <w:t>32.62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AD7DC">
            <w:pPr>
              <w:jc w:val="center"/>
            </w:pPr>
            <w:r>
              <w:rPr>
                <w:rFonts w:ascii="宋体" w:hAnsi="宋体" w:eastAsia="宋体"/>
                <w:sz w:val="16"/>
              </w:rPr>
              <w:t>32.62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2CE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439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A60A">
            <w:pPr>
              <w:jc w:val="center"/>
            </w:pPr>
            <w:r>
              <w:rPr>
                <w:rFonts w:ascii="宋体" w:hAnsi="宋体" w:eastAsia="宋体"/>
                <w:sz w:val="16"/>
              </w:rPr>
              <w:t>—</w:t>
            </w:r>
          </w:p>
        </w:tc>
      </w:tr>
      <w:tr w14:paraId="59FF77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153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1E2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D39E8">
            <w:pPr>
              <w:jc w:val="center"/>
            </w:pPr>
            <w:r>
              <w:rPr>
                <w:rFonts w:ascii="宋体" w:hAnsi="宋体" w:eastAsia="宋体"/>
                <w:sz w:val="16"/>
              </w:rPr>
              <w:t>756.69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08D21">
            <w:pPr>
              <w:jc w:val="center"/>
            </w:pPr>
            <w:r>
              <w:rPr>
                <w:rFonts w:ascii="宋体" w:hAnsi="宋体" w:eastAsia="宋体"/>
                <w:sz w:val="16"/>
              </w:rPr>
              <w:t>751.32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74C1F">
            <w:pPr>
              <w:jc w:val="center"/>
            </w:pPr>
            <w:r>
              <w:rPr>
                <w:rFonts w:ascii="宋体" w:hAnsi="宋体" w:eastAsia="宋体"/>
                <w:sz w:val="16"/>
              </w:rPr>
              <w:t>748.29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F00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3009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A561">
            <w:pPr>
              <w:jc w:val="center"/>
            </w:pPr>
            <w:r>
              <w:rPr>
                <w:rFonts w:ascii="宋体" w:hAnsi="宋体" w:eastAsia="宋体"/>
                <w:sz w:val="16"/>
              </w:rPr>
              <w:t>—</w:t>
            </w:r>
          </w:p>
        </w:tc>
      </w:tr>
      <w:tr w14:paraId="336DD4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7E8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03D6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7A8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3C4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B37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A4E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827C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A5487">
            <w:pPr>
              <w:jc w:val="center"/>
            </w:pPr>
            <w:r>
              <w:rPr>
                <w:rFonts w:ascii="宋体" w:hAnsi="宋体" w:eastAsia="宋体"/>
                <w:sz w:val="16"/>
              </w:rPr>
              <w:t>—</w:t>
            </w:r>
          </w:p>
        </w:tc>
      </w:tr>
      <w:tr w14:paraId="360A85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A65C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B3268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83012">
            <w:pPr>
              <w:jc w:val="center"/>
            </w:pPr>
            <w:r>
              <w:rPr>
                <w:rFonts w:ascii="宋体" w:hAnsi="宋体" w:eastAsia="宋体"/>
                <w:sz w:val="16"/>
              </w:rPr>
              <w:t>实际完成情况</w:t>
            </w:r>
          </w:p>
        </w:tc>
      </w:tr>
      <w:tr w14:paraId="66D237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058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F252DA">
            <w:pPr>
              <w:jc w:val="both"/>
            </w:pPr>
            <w:r>
              <w:rPr>
                <w:rFonts w:ascii="宋体" w:hAnsi="宋体" w:eastAsia="宋体"/>
                <w:sz w:val="16"/>
              </w:rPr>
              <w:t>全年部门预算批复总额735.11万元，全年开展4次农业法律法规宣传活动，营造良好的</w:t>
            </w:r>
            <w:r>
              <w:rPr>
                <w:rFonts w:hint="eastAsia" w:ascii="宋体" w:hAnsi="宋体"/>
                <w:sz w:val="16"/>
                <w:lang w:eastAsia="zh-CN"/>
              </w:rPr>
              <w:t>法治</w:t>
            </w:r>
            <w:r>
              <w:rPr>
                <w:rFonts w:ascii="宋体" w:hAnsi="宋体" w:eastAsia="宋体"/>
                <w:sz w:val="16"/>
              </w:rPr>
              <w:t>氛围；组织全区农业综合行政执法人员开展农业综合行政执法业务培训，使全区执法人员执法水平和工作能力得到提升；地区常态化对全区十</w:t>
            </w:r>
            <w:r>
              <w:rPr>
                <w:rFonts w:hint="eastAsia" w:ascii="宋体" w:hAnsi="宋体"/>
                <w:sz w:val="16"/>
                <w:lang w:eastAsia="zh-CN"/>
              </w:rPr>
              <w:t>二个</w:t>
            </w:r>
            <w:r>
              <w:rPr>
                <w:rFonts w:ascii="宋体" w:hAnsi="宋体" w:eastAsia="宋体"/>
                <w:sz w:val="16"/>
              </w:rPr>
              <w:t>县市开展农业综合执法检查及指导服务工作，同时要求各县市成立专门的执法组持续开展辖区执法检查工作，逐步规范市场秩序；以执法专项行动为契机，严厉打击重点领域执法的违法行为，罚没款100%上缴国库，有效保障全地区农业生产、农产品质量和农村生态环境安全，为实施乡村振兴战略、推进乡村治理体系和治理能力现代化提供法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9CD2C7">
            <w:pPr>
              <w:jc w:val="both"/>
            </w:pPr>
            <w:r>
              <w:rPr>
                <w:rFonts w:ascii="宋体" w:hAnsi="宋体" w:eastAsia="宋体"/>
                <w:sz w:val="16"/>
              </w:rPr>
              <w:t>全年部门预算批复总额780.91万元，认真落实《2024年自治区“绿剑护粮安”执法行动方案》聚焦农资质量、农产品质量安全、动植物检疫、耕地保护、转基因生物安全监管等重点领域，加大执法力度。全年开展4次农业法律法规宣传活动。营造良好的</w:t>
            </w:r>
            <w:r>
              <w:rPr>
                <w:rFonts w:hint="eastAsia" w:ascii="宋体" w:hAnsi="宋体"/>
                <w:sz w:val="16"/>
                <w:lang w:eastAsia="zh-CN"/>
              </w:rPr>
              <w:t>法治</w:t>
            </w:r>
            <w:r>
              <w:rPr>
                <w:rFonts w:ascii="宋体" w:hAnsi="宋体" w:eastAsia="宋体"/>
                <w:sz w:val="16"/>
              </w:rPr>
              <w:t>氛围；组织全区农业综合行政执法人员开展农业综合行政执法业务培训、大比武活动和交叉检查和案件评查活动，使全区执法人员执法水平和工作能力得到提升；地区常态化对全区十</w:t>
            </w:r>
            <w:r>
              <w:rPr>
                <w:rFonts w:hint="eastAsia" w:ascii="宋体" w:hAnsi="宋体"/>
                <w:sz w:val="16"/>
                <w:lang w:eastAsia="zh-CN"/>
              </w:rPr>
              <w:t>二个</w:t>
            </w:r>
            <w:r>
              <w:rPr>
                <w:rFonts w:ascii="宋体" w:hAnsi="宋体" w:eastAsia="宋体"/>
                <w:sz w:val="16"/>
              </w:rPr>
              <w:t>县市开展农业综合执法检查及指导服务工作，同时要求各县市成立专门的执法组持续开展辖区执法检查工作，逐步规范市场秩序；以执法专项行动为契机，严厉打击重点领域执法的违法行为，行政处罚金额429.80万元，没收违法所得48.23万元，没收违法财物货值21.3万元，挽回经济损失3.177万元。地区本级开展执法检查322次、出动执法人员1104人次、检查经营场所849家，对违法行为结案50起，罚没款294.62万元，100%上缴国库，有效保障全地区农业生产、农产品质量、安全紧盯“春耕春播”“三夏三秋”农机安全生产大执法检查和农村生态环境，为实施乡村振兴战略、推进乡村治理体系和治理能力现代化提供法治保障。</w:t>
            </w:r>
          </w:p>
        </w:tc>
      </w:tr>
      <w:tr w14:paraId="29882B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7A2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D1A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23D8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F93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9324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586F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7EB1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7B04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CDD4E">
            <w:pPr>
              <w:jc w:val="center"/>
            </w:pPr>
            <w:r>
              <w:rPr>
                <w:rFonts w:ascii="宋体" w:hAnsi="宋体" w:eastAsia="宋体"/>
                <w:sz w:val="16"/>
              </w:rPr>
              <w:t>得分</w:t>
            </w:r>
          </w:p>
        </w:tc>
      </w:tr>
      <w:tr w14:paraId="490FFA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9CEB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1DA2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2FA5">
            <w:pPr>
              <w:jc w:val="center"/>
            </w:pPr>
            <w:r>
              <w:rPr>
                <w:rFonts w:ascii="宋体" w:hAnsi="宋体" w:eastAsia="宋体"/>
                <w:sz w:val="16"/>
              </w:rPr>
              <w:t>普法宣传次数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3A98C">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5A3C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0CE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5F8DD">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BE0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235C">
            <w:pPr>
              <w:jc w:val="center"/>
            </w:pPr>
            <w:r>
              <w:rPr>
                <w:rFonts w:ascii="宋体" w:hAnsi="宋体" w:eastAsia="宋体"/>
                <w:sz w:val="16"/>
              </w:rPr>
              <w:t>20</w:t>
            </w:r>
          </w:p>
        </w:tc>
      </w:tr>
      <w:tr w14:paraId="0E9764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ABD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44F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29F77">
            <w:pPr>
              <w:jc w:val="center"/>
            </w:pPr>
            <w:r>
              <w:rPr>
                <w:rFonts w:ascii="宋体" w:hAnsi="宋体" w:eastAsia="宋体"/>
                <w:sz w:val="16"/>
              </w:rPr>
              <w:t>组织开展执法能力提升培训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985A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C775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904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5BF2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806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62545">
            <w:pPr>
              <w:jc w:val="center"/>
            </w:pPr>
            <w:r>
              <w:rPr>
                <w:rFonts w:ascii="宋体" w:hAnsi="宋体" w:eastAsia="宋体"/>
                <w:sz w:val="16"/>
              </w:rPr>
              <w:t>20</w:t>
            </w:r>
          </w:p>
        </w:tc>
      </w:tr>
      <w:tr w14:paraId="4306C1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EF6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FED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348AE">
            <w:pPr>
              <w:jc w:val="center"/>
            </w:pPr>
            <w:r>
              <w:rPr>
                <w:rFonts w:ascii="宋体" w:hAnsi="宋体" w:eastAsia="宋体"/>
                <w:sz w:val="16"/>
              </w:rPr>
              <w:t>执法检查覆盖县市个数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AB755">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941B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A46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B56A1">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014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12396">
            <w:pPr>
              <w:jc w:val="center"/>
            </w:pPr>
            <w:r>
              <w:rPr>
                <w:rFonts w:ascii="宋体" w:hAnsi="宋体" w:eastAsia="宋体"/>
                <w:sz w:val="16"/>
              </w:rPr>
              <w:t>20</w:t>
            </w:r>
          </w:p>
        </w:tc>
      </w:tr>
      <w:tr w14:paraId="4392D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FC3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CD4C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7345">
            <w:pPr>
              <w:jc w:val="center"/>
            </w:pPr>
            <w:r>
              <w:rPr>
                <w:rFonts w:ascii="宋体" w:hAnsi="宋体" w:eastAsia="宋体"/>
                <w:sz w:val="16"/>
              </w:rPr>
              <w:t>发现违法行为依法查处率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462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A444E">
            <w:pPr>
              <w:jc w:val="center"/>
            </w:pPr>
            <w:r>
              <w:rPr>
                <w:rFonts w:ascii="宋体" w:hAnsi="宋体" w:eastAsia="宋体"/>
                <w:sz w:val="16"/>
              </w:rPr>
              <w:t>三定方案、2024年工作计划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AD7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809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882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2E877">
            <w:pPr>
              <w:jc w:val="center"/>
            </w:pPr>
            <w:r>
              <w:rPr>
                <w:rFonts w:ascii="宋体" w:hAnsi="宋体" w:eastAsia="宋体"/>
                <w:sz w:val="16"/>
              </w:rPr>
              <w:t>20</w:t>
            </w:r>
          </w:p>
        </w:tc>
      </w:tr>
      <w:tr w14:paraId="5C5752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AF31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17C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F0B03">
            <w:pPr>
              <w:jc w:val="center"/>
            </w:pPr>
            <w:r>
              <w:rPr>
                <w:rFonts w:ascii="宋体" w:hAnsi="宋体" w:eastAsia="宋体"/>
                <w:sz w:val="16"/>
              </w:rPr>
              <w:t>罚没收入上缴国库率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037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A91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29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44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988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3DCD5">
            <w:pPr>
              <w:jc w:val="center"/>
            </w:pPr>
            <w:r>
              <w:rPr>
                <w:rFonts w:ascii="宋体" w:hAnsi="宋体" w:eastAsia="宋体"/>
                <w:sz w:val="16"/>
              </w:rPr>
              <w:t>10</w:t>
            </w:r>
          </w:p>
        </w:tc>
      </w:tr>
    </w:tbl>
    <w:p w14:paraId="375ECD47">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34"/>
        <w:gridCol w:w="562"/>
        <w:gridCol w:w="632"/>
        <w:gridCol w:w="632"/>
        <w:gridCol w:w="632"/>
        <w:gridCol w:w="632"/>
        <w:gridCol w:w="632"/>
        <w:gridCol w:w="696"/>
        <w:gridCol w:w="632"/>
        <w:gridCol w:w="632"/>
        <w:gridCol w:w="632"/>
      </w:tblGrid>
      <w:tr w14:paraId="31D71B56">
        <w:tc>
          <w:tcPr>
            <w:tcW w:w="8976" w:type="dxa"/>
            <w:gridSpan w:val="15"/>
            <w:vAlign w:val="center"/>
          </w:tcPr>
          <w:p w14:paraId="4E5BCAF5">
            <w:pPr>
              <w:jc w:val="center"/>
            </w:pPr>
            <w:r>
              <w:rPr>
                <w:rFonts w:ascii="宋体" w:hAnsi="宋体" w:eastAsia="宋体"/>
                <w:sz w:val="24"/>
              </w:rPr>
              <w:t>项目支出绩效自评表</w:t>
            </w:r>
          </w:p>
        </w:tc>
      </w:tr>
      <w:tr w14:paraId="1B2BF0C1">
        <w:tblPrEx>
          <w:tblCellMar>
            <w:top w:w="0" w:type="dxa"/>
            <w:left w:w="108" w:type="dxa"/>
            <w:bottom w:w="0" w:type="dxa"/>
            <w:right w:w="108" w:type="dxa"/>
          </w:tblCellMar>
        </w:tblPrEx>
        <w:tc>
          <w:tcPr>
            <w:tcW w:w="8976" w:type="dxa"/>
            <w:gridSpan w:val="15"/>
            <w:vAlign w:val="center"/>
          </w:tcPr>
          <w:p w14:paraId="2062FD8B">
            <w:pPr>
              <w:jc w:val="center"/>
            </w:pPr>
            <w:r>
              <w:rPr>
                <w:rFonts w:ascii="宋体" w:hAnsi="宋体" w:eastAsia="宋体"/>
                <w:sz w:val="24"/>
              </w:rPr>
              <w:t>(2024年度)</w:t>
            </w:r>
          </w:p>
        </w:tc>
      </w:tr>
      <w:tr w14:paraId="431263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28E6">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F9C77A">
            <w:pPr>
              <w:jc w:val="center"/>
            </w:pPr>
            <w:r>
              <w:rPr>
                <w:rFonts w:ascii="宋体" w:hAnsi="宋体" w:eastAsia="宋体"/>
                <w:sz w:val="16"/>
              </w:rPr>
              <w:t>农业综合行</w:t>
            </w:r>
            <w:r>
              <w:rPr>
                <w:rFonts w:hint="eastAsia" w:ascii="宋体" w:hAnsi="宋体"/>
                <w:sz w:val="16"/>
                <w:lang w:eastAsia="zh-CN"/>
              </w:rPr>
              <w:t>政智</w:t>
            </w:r>
            <w:r>
              <w:rPr>
                <w:rFonts w:ascii="宋体" w:hAnsi="宋体" w:eastAsia="宋体"/>
                <w:sz w:val="16"/>
              </w:rPr>
              <w:t>慧执法全域数字化服务平台使用经费项目</w:t>
            </w:r>
          </w:p>
        </w:tc>
      </w:tr>
      <w:tr w14:paraId="6E5D31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EEC4">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B28BCC">
            <w:pPr>
              <w:jc w:val="center"/>
            </w:pPr>
            <w:r>
              <w:rPr>
                <w:rFonts w:ascii="宋体" w:hAnsi="宋体" w:eastAsia="宋体"/>
                <w:sz w:val="16"/>
              </w:rPr>
              <w:t>喀什地区农业综合行政执法支队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7202">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C90C9">
            <w:pPr>
              <w:jc w:val="center"/>
            </w:pPr>
            <w:r>
              <w:rPr>
                <w:rFonts w:ascii="宋体" w:hAnsi="宋体" w:eastAsia="宋体"/>
                <w:sz w:val="16"/>
              </w:rPr>
              <w:t>喀什地区农业综合行政执法支队</w:t>
            </w:r>
          </w:p>
        </w:tc>
      </w:tr>
      <w:tr w14:paraId="2FE16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034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59B1">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16C9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CDB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4438">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369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8BD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AC98">
            <w:pPr>
              <w:jc w:val="center"/>
            </w:pPr>
            <w:r>
              <w:rPr>
                <w:rFonts w:ascii="宋体" w:hAnsi="宋体" w:eastAsia="宋体"/>
                <w:sz w:val="16"/>
              </w:rPr>
              <w:t>得分</w:t>
            </w:r>
          </w:p>
        </w:tc>
      </w:tr>
      <w:tr w14:paraId="110B4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211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3752">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C86975">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662BA">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70ACA">
            <w:pPr>
              <w:jc w:val="center"/>
            </w:pPr>
            <w:r>
              <w:rPr>
                <w:rFonts w:ascii="宋体" w:hAnsi="宋体" w:eastAsia="宋体"/>
                <w:sz w:val="16"/>
              </w:rPr>
              <w:t>10.20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7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65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5D41">
            <w:pPr>
              <w:jc w:val="center"/>
            </w:pPr>
            <w:r>
              <w:rPr>
                <w:rFonts w:ascii="宋体" w:hAnsi="宋体" w:eastAsia="宋体"/>
                <w:sz w:val="16"/>
              </w:rPr>
              <w:t>10.00分</w:t>
            </w:r>
          </w:p>
        </w:tc>
      </w:tr>
      <w:tr w14:paraId="3900A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6A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17EEC">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03F321">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11E3">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4871">
            <w:pPr>
              <w:jc w:val="center"/>
            </w:pPr>
            <w:r>
              <w:rPr>
                <w:rFonts w:ascii="宋体" w:hAnsi="宋体" w:eastAsia="宋体"/>
                <w:sz w:val="16"/>
              </w:rPr>
              <w:t>10.20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477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EF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857A">
            <w:pPr>
              <w:jc w:val="center"/>
            </w:pPr>
            <w:r>
              <w:rPr>
                <w:rFonts w:ascii="宋体" w:hAnsi="宋体" w:eastAsia="宋体"/>
                <w:sz w:val="16"/>
              </w:rPr>
              <w:t>—</w:t>
            </w:r>
          </w:p>
        </w:tc>
      </w:tr>
      <w:tr w14:paraId="212ED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F54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C06A7">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1A0E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50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C2123">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6A4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86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C1C4">
            <w:pPr>
              <w:jc w:val="center"/>
            </w:pPr>
            <w:r>
              <w:rPr>
                <w:rFonts w:ascii="宋体" w:hAnsi="宋体" w:eastAsia="宋体"/>
                <w:sz w:val="16"/>
              </w:rPr>
              <w:t>—</w:t>
            </w:r>
          </w:p>
        </w:tc>
      </w:tr>
      <w:tr w14:paraId="182060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BC5CE">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92568A">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57169">
            <w:pPr>
              <w:jc w:val="center"/>
            </w:pPr>
            <w:r>
              <w:rPr>
                <w:rFonts w:ascii="宋体" w:hAnsi="宋体" w:eastAsia="宋体"/>
                <w:sz w:val="16"/>
              </w:rPr>
              <w:t>实际完成情况</w:t>
            </w:r>
          </w:p>
        </w:tc>
      </w:tr>
      <w:tr w14:paraId="6D75F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B4B3C"/>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DB048A">
            <w:pPr>
              <w:jc w:val="both"/>
            </w:pPr>
            <w:r>
              <w:rPr>
                <w:rFonts w:ascii="宋体" w:hAnsi="宋体" w:eastAsia="宋体"/>
                <w:sz w:val="16"/>
              </w:rPr>
              <w:t>喀什地区作为自治区先行试点地区，引进慧执法平台监管软件系统覆盖全地区十二县市，实现全区农业综合行政现场检查、执法办案、统计分析、法律法规和农资产品登记信息查询信息化、智能化；该系统以实时更新的强大农法知识内容库为支撑，提高执法人员学习的积极性和主动性，全面提升执法人员的业务能力；着力解决办案中存在的程序不合法、文书制作不标准、证据采集不严谨、审批不通畅、卷宗成卷不</w:t>
            </w:r>
            <w:r>
              <w:rPr>
                <w:rFonts w:hint="eastAsia" w:ascii="宋体" w:hAnsi="宋体"/>
                <w:sz w:val="16"/>
                <w:lang w:eastAsia="zh-CN"/>
              </w:rPr>
              <w:t>符合</w:t>
            </w:r>
            <w:r>
              <w:rPr>
                <w:rFonts w:ascii="宋体" w:hAnsi="宋体" w:eastAsia="宋体"/>
                <w:sz w:val="16"/>
              </w:rPr>
              <w:t>要求等问题。同时，使自治区、地、县三级农业综合行政执法信息化管理实现互联互通,农业行政执法工作体系进一步完善，农业行政执法队伍素质明显提升，农业行政执法</w:t>
            </w:r>
            <w:r>
              <w:rPr>
                <w:rFonts w:hint="eastAsia" w:ascii="宋体" w:hAnsi="宋体"/>
                <w:sz w:val="16"/>
                <w:lang w:eastAsia="zh-CN"/>
              </w:rPr>
              <w:t>质量</w:t>
            </w:r>
            <w:r>
              <w:rPr>
                <w:rFonts w:ascii="宋体" w:hAnsi="宋体" w:eastAsia="宋体"/>
                <w:sz w:val="16"/>
              </w:rPr>
              <w:t>和效能显著提高，人民群众对农业行政执法的满意度大幅度上升。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986AAC">
            <w:pPr>
              <w:jc w:val="both"/>
            </w:pPr>
            <w:r>
              <w:rPr>
                <w:rFonts w:ascii="宋体" w:hAnsi="宋体" w:eastAsia="宋体"/>
                <w:sz w:val="16"/>
              </w:rPr>
              <w:t>喀什地区农业综合行</w:t>
            </w:r>
            <w:r>
              <w:rPr>
                <w:rFonts w:hint="eastAsia" w:ascii="宋体" w:hAnsi="宋体"/>
                <w:sz w:val="16"/>
                <w:lang w:eastAsia="zh-CN"/>
              </w:rPr>
              <w:t>政智</w:t>
            </w:r>
            <w:r>
              <w:rPr>
                <w:rFonts w:ascii="宋体" w:hAnsi="宋体" w:eastAsia="宋体"/>
                <w:sz w:val="16"/>
              </w:rPr>
              <w:t>慧执法全域数字化服务平台使用项目，引进慧执法平台监管软件系统，实现全区农业综合行政执法检查、执法文书制作、统计分析、法律法规和农资产品登记信息查询信息化、智能化；该系统以实时更新的强大农法知识内容库为支撑，提高执法人员学习的积极性和主动性，全面提升执法人员的业务能力；着力解决办案中存在的程序不合法、文书制作不标准、证据采集不严谨、审批不通畅、卷宗成卷不</w:t>
            </w:r>
            <w:r>
              <w:rPr>
                <w:rFonts w:hint="eastAsia" w:ascii="宋体" w:hAnsi="宋体"/>
                <w:sz w:val="16"/>
                <w:lang w:eastAsia="zh-CN"/>
              </w:rPr>
              <w:t>符合</w:t>
            </w:r>
            <w:r>
              <w:rPr>
                <w:rFonts w:ascii="宋体" w:hAnsi="宋体" w:eastAsia="宋体"/>
                <w:sz w:val="16"/>
              </w:rPr>
              <w:t>要求等问题。同时，使自治区、地、县三级农业综合行政执法信息化管理实现互联互通,农业行政执法工作体系进一步完善，农业行政执法治理和效能显著提高，人民群众对农业行政执法的满意度大幅度上升。着力解决执法机构内外部统计数据指标类型多、数据获取难度大、报表制作不便捷与农业执法部门人力资源紧张、执法工作任务繁重之间的矛盾，最大限度</w:t>
            </w:r>
            <w:r>
              <w:rPr>
                <w:rFonts w:hint="eastAsia" w:ascii="宋体" w:hAnsi="宋体"/>
                <w:sz w:val="16"/>
                <w:lang w:eastAsia="zh-CN"/>
              </w:rPr>
              <w:t>地</w:t>
            </w:r>
            <w:r>
              <w:rPr>
                <w:rFonts w:ascii="宋体" w:hAnsi="宋体" w:eastAsia="宋体"/>
                <w:sz w:val="16"/>
              </w:rPr>
              <w:t>为基层执法工作减负赋能，满足基层人员“不填报表、不写总结”的目标，有效减轻基层执法人员工作负担</w:t>
            </w:r>
          </w:p>
        </w:tc>
      </w:tr>
      <w:tr w14:paraId="261AF1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0DB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C6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1D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5F14">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2B1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98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2B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DE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45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F94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F3D2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65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FE84">
            <w:pPr>
              <w:jc w:val="center"/>
            </w:pPr>
            <w:r>
              <w:rPr>
                <w:rFonts w:ascii="宋体" w:hAnsi="宋体" w:eastAsia="宋体"/>
                <w:sz w:val="16"/>
              </w:rPr>
              <w:t>偏差原因分析及改进措施</w:t>
            </w:r>
          </w:p>
        </w:tc>
      </w:tr>
      <w:tr w14:paraId="754233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844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AF3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3588">
            <w:pPr>
              <w:jc w:val="center"/>
            </w:pPr>
            <w:r>
              <w:rPr>
                <w:rFonts w:ascii="宋体" w:hAnsi="宋体" w:eastAsia="宋体"/>
                <w:sz w:val="16"/>
              </w:rPr>
              <w:t>数量指标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4C32">
            <w:pPr>
              <w:jc w:val="center"/>
            </w:pPr>
            <w:r>
              <w:rPr>
                <w:rFonts w:ascii="宋体" w:hAnsi="宋体" w:eastAsia="宋体"/>
                <w:sz w:val="16"/>
              </w:rPr>
              <w:t>慧执法全域数字化服务平台覆盖县市</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0DDEF8F6">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1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D8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E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F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7D0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2F58DD">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B3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A5E58">
            <w:pPr>
              <w:jc w:val="center"/>
            </w:pPr>
          </w:p>
        </w:tc>
      </w:tr>
      <w:tr w14:paraId="5F9CB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C0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49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E4E6">
            <w:pPr>
              <w:jc w:val="center"/>
            </w:pPr>
            <w:r>
              <w:rPr>
                <w:rFonts w:ascii="宋体" w:hAnsi="宋体" w:eastAsia="宋体"/>
                <w:sz w:val="16"/>
              </w:rPr>
              <w:t>质量指标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2402">
            <w:pPr>
              <w:jc w:val="center"/>
            </w:pPr>
            <w:r>
              <w:rPr>
                <w:rFonts w:ascii="宋体" w:hAnsi="宋体" w:eastAsia="宋体"/>
                <w:sz w:val="16"/>
              </w:rPr>
              <w:t>慧执法全域数字化服务平台验收合格率</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2D425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8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29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C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48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0B7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C11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6C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4A636">
            <w:pPr>
              <w:jc w:val="center"/>
            </w:pPr>
          </w:p>
        </w:tc>
      </w:tr>
      <w:tr w14:paraId="2CC62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8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74E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401F4">
            <w:pPr>
              <w:jc w:val="center"/>
            </w:pPr>
            <w:r>
              <w:rPr>
                <w:rFonts w:ascii="宋体" w:hAnsi="宋体" w:eastAsia="宋体"/>
                <w:sz w:val="16"/>
              </w:rPr>
              <w:t>时效指标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876F5">
            <w:pPr>
              <w:jc w:val="center"/>
            </w:pPr>
            <w:r>
              <w:rPr>
                <w:rFonts w:ascii="宋体" w:hAnsi="宋体" w:eastAsia="宋体"/>
                <w:sz w:val="16"/>
              </w:rPr>
              <w:t>资金支付及时率（%）</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7BFBE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6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E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7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55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045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4B9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8A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AB240">
            <w:pPr>
              <w:jc w:val="center"/>
            </w:pPr>
          </w:p>
        </w:tc>
      </w:tr>
      <w:tr w14:paraId="382EC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CD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3C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FA82A"/>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F3C04">
            <w:pPr>
              <w:jc w:val="center"/>
            </w:pPr>
            <w:r>
              <w:rPr>
                <w:rFonts w:ascii="宋体" w:hAnsi="宋体" w:eastAsia="宋体"/>
                <w:sz w:val="16"/>
              </w:rPr>
              <w:t>项目完成时间</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64F4314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5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E7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D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7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E03C">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60CB5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3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C9C3">
            <w:pPr>
              <w:jc w:val="center"/>
            </w:pPr>
          </w:p>
        </w:tc>
      </w:tr>
      <w:tr w14:paraId="681A7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A7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F1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EC70">
            <w:pPr>
              <w:jc w:val="center"/>
            </w:pPr>
            <w:r>
              <w:rPr>
                <w:rFonts w:ascii="宋体" w:hAnsi="宋体" w:eastAsia="宋体"/>
                <w:sz w:val="16"/>
              </w:rPr>
              <w:t>经济成本指标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A260A">
            <w:pPr>
              <w:jc w:val="center"/>
            </w:pPr>
            <w:r>
              <w:rPr>
                <w:rFonts w:ascii="宋体" w:hAnsi="宋体" w:eastAsia="宋体"/>
                <w:sz w:val="16"/>
              </w:rPr>
              <w:t>项目成本节约率</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774D454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5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3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93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A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188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37E5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71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82EC">
            <w:pPr>
              <w:jc w:val="center"/>
            </w:pPr>
          </w:p>
        </w:tc>
      </w:tr>
      <w:tr w14:paraId="72770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DF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F2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D908">
            <w:pPr>
              <w:jc w:val="center"/>
            </w:pPr>
            <w:r>
              <w:rPr>
                <w:rFonts w:ascii="宋体" w:hAnsi="宋体" w:eastAsia="宋体"/>
                <w:sz w:val="16"/>
              </w:rPr>
              <w:t>社会效益指标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DE8B0">
            <w:pPr>
              <w:jc w:val="center"/>
            </w:pPr>
            <w:r>
              <w:rPr>
                <w:rFonts w:ascii="宋体" w:hAnsi="宋体" w:eastAsia="宋体"/>
                <w:sz w:val="16"/>
              </w:rPr>
              <w:t>提高行政执法</w:t>
            </w:r>
            <w:r>
              <w:rPr>
                <w:rFonts w:hint="eastAsia" w:ascii="宋体" w:hAnsi="宋体"/>
                <w:sz w:val="16"/>
                <w:lang w:eastAsia="zh-CN"/>
              </w:rPr>
              <w:t>治理</w:t>
            </w:r>
            <w:r>
              <w:rPr>
                <w:rFonts w:ascii="宋体" w:hAnsi="宋体" w:eastAsia="宋体"/>
                <w:sz w:val="16"/>
              </w:rPr>
              <w:t>效能</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523C118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9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9B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73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18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B99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6BC9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BA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B08FD">
            <w:pPr>
              <w:jc w:val="center"/>
            </w:pPr>
          </w:p>
        </w:tc>
      </w:tr>
      <w:tr w14:paraId="765B6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6F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76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B00D">
            <w:pPr>
              <w:jc w:val="center"/>
            </w:pPr>
            <w:r>
              <w:rPr>
                <w:rFonts w:ascii="宋体" w:hAnsi="宋体" w:eastAsia="宋体"/>
                <w:sz w:val="16"/>
              </w:rPr>
              <w:t>满意度指标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E2FE">
            <w:pPr>
              <w:jc w:val="center"/>
            </w:pPr>
            <w:r>
              <w:rPr>
                <w:rFonts w:ascii="宋体" w:hAnsi="宋体" w:eastAsia="宋体"/>
                <w:sz w:val="16"/>
              </w:rPr>
              <w:t>执法人员满意度</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0E20BF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B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6C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C1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4F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BFB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536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FE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2042">
            <w:pPr>
              <w:jc w:val="center"/>
            </w:pPr>
            <w:r>
              <w:rPr>
                <w:rFonts w:ascii="宋体" w:hAnsi="宋体" w:eastAsia="宋体"/>
                <w:sz w:val="16"/>
              </w:rPr>
              <w:t>偏差原因：农业综合行</w:t>
            </w:r>
            <w:r>
              <w:rPr>
                <w:rFonts w:hint="eastAsia" w:ascii="宋体" w:hAnsi="宋体"/>
                <w:sz w:val="16"/>
                <w:lang w:eastAsia="zh-CN"/>
              </w:rPr>
              <w:t>政智</w:t>
            </w:r>
            <w:r>
              <w:rPr>
                <w:rFonts w:ascii="宋体" w:hAnsi="宋体" w:eastAsia="宋体"/>
                <w:sz w:val="16"/>
              </w:rPr>
              <w:t>慧执法全域数字化服务平台使用人员满意度高。整改措施：以历史数据为依据，加强后期指标设置的精准性。</w:t>
            </w:r>
          </w:p>
        </w:tc>
      </w:tr>
      <w:tr w14:paraId="2734FB84">
        <w:tblPrEx>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A614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635A">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37462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91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04E5E4"/>
        </w:tc>
      </w:tr>
    </w:tbl>
    <w:p w14:paraId="1411D5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514A7A">
        <w:tblPrEx>
          <w:tblCellMar>
            <w:top w:w="0" w:type="dxa"/>
            <w:left w:w="108" w:type="dxa"/>
            <w:bottom w:w="0" w:type="dxa"/>
            <w:right w:w="108" w:type="dxa"/>
          </w:tblCellMar>
        </w:tblPrEx>
        <w:tc>
          <w:tcPr>
            <w:tcW w:w="8848" w:type="dxa"/>
            <w:gridSpan w:val="14"/>
            <w:vAlign w:val="center"/>
          </w:tcPr>
          <w:p w14:paraId="6BCE6228">
            <w:pPr>
              <w:jc w:val="center"/>
            </w:pPr>
            <w:r>
              <w:rPr>
                <w:rFonts w:ascii="宋体" w:hAnsi="宋体" w:eastAsia="宋体"/>
                <w:sz w:val="24"/>
              </w:rPr>
              <w:t>项目支出绩效自评表</w:t>
            </w:r>
          </w:p>
        </w:tc>
      </w:tr>
      <w:tr w14:paraId="7A44C5FC">
        <w:tblPrEx>
          <w:tblCellMar>
            <w:top w:w="0" w:type="dxa"/>
            <w:left w:w="108" w:type="dxa"/>
            <w:bottom w:w="0" w:type="dxa"/>
            <w:right w:w="108" w:type="dxa"/>
          </w:tblCellMar>
        </w:tblPrEx>
        <w:tc>
          <w:tcPr>
            <w:tcW w:w="8848" w:type="dxa"/>
            <w:gridSpan w:val="14"/>
            <w:vAlign w:val="center"/>
          </w:tcPr>
          <w:p w14:paraId="45AF00A8">
            <w:pPr>
              <w:jc w:val="center"/>
            </w:pPr>
            <w:r>
              <w:rPr>
                <w:rFonts w:ascii="宋体" w:hAnsi="宋体" w:eastAsia="宋体"/>
                <w:sz w:val="24"/>
              </w:rPr>
              <w:t>(2024年度)</w:t>
            </w:r>
          </w:p>
        </w:tc>
      </w:tr>
      <w:tr w14:paraId="12480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50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5A12F4">
            <w:pPr>
              <w:jc w:val="center"/>
            </w:pPr>
            <w:r>
              <w:rPr>
                <w:rFonts w:ascii="宋体" w:hAnsi="宋体" w:eastAsia="宋体"/>
                <w:sz w:val="16"/>
              </w:rPr>
              <w:t>农业综合行政执法法律顾问项目</w:t>
            </w:r>
          </w:p>
        </w:tc>
      </w:tr>
      <w:tr w14:paraId="1CA4BC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D5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22109">
            <w:pPr>
              <w:jc w:val="center"/>
            </w:pPr>
            <w:r>
              <w:rPr>
                <w:rFonts w:ascii="宋体" w:hAnsi="宋体" w:eastAsia="宋体"/>
                <w:sz w:val="16"/>
              </w:rPr>
              <w:t>喀什地区农业综合行政执法支队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AA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9196B4">
            <w:pPr>
              <w:jc w:val="center"/>
            </w:pPr>
            <w:r>
              <w:rPr>
                <w:rFonts w:ascii="宋体" w:hAnsi="宋体" w:eastAsia="宋体"/>
                <w:sz w:val="16"/>
              </w:rPr>
              <w:t>喀什地区农业综合行政执法支队</w:t>
            </w:r>
          </w:p>
        </w:tc>
      </w:tr>
      <w:tr w14:paraId="229FBE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A4F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B8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837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3A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74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AF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C5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416A">
            <w:pPr>
              <w:jc w:val="center"/>
            </w:pPr>
            <w:r>
              <w:rPr>
                <w:rFonts w:ascii="宋体" w:hAnsi="宋体" w:eastAsia="宋体"/>
                <w:sz w:val="16"/>
              </w:rPr>
              <w:t>得分</w:t>
            </w:r>
          </w:p>
        </w:tc>
      </w:tr>
      <w:tr w14:paraId="7C585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993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5F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537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FF7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3806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D3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1DA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FC92">
            <w:pPr>
              <w:jc w:val="center"/>
            </w:pPr>
            <w:r>
              <w:rPr>
                <w:rFonts w:ascii="宋体" w:hAnsi="宋体" w:eastAsia="宋体"/>
                <w:sz w:val="16"/>
              </w:rPr>
              <w:t>10.00分</w:t>
            </w:r>
          </w:p>
        </w:tc>
      </w:tr>
      <w:tr w14:paraId="7E0F7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6F4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E4A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CAA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8A74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F8F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39E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C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B05B">
            <w:pPr>
              <w:jc w:val="center"/>
            </w:pPr>
            <w:r>
              <w:rPr>
                <w:rFonts w:ascii="宋体" w:hAnsi="宋体" w:eastAsia="宋体"/>
                <w:sz w:val="16"/>
              </w:rPr>
              <w:t>—</w:t>
            </w:r>
          </w:p>
        </w:tc>
      </w:tr>
      <w:tr w14:paraId="37E3E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6BA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C78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0B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0F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99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20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61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EF79">
            <w:pPr>
              <w:jc w:val="center"/>
            </w:pPr>
            <w:r>
              <w:rPr>
                <w:rFonts w:ascii="宋体" w:hAnsi="宋体" w:eastAsia="宋体"/>
                <w:sz w:val="16"/>
              </w:rPr>
              <w:t>—</w:t>
            </w:r>
          </w:p>
        </w:tc>
      </w:tr>
      <w:tr w14:paraId="008DE7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5D3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691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8760D">
            <w:pPr>
              <w:jc w:val="center"/>
            </w:pPr>
            <w:r>
              <w:rPr>
                <w:rFonts w:ascii="宋体" w:hAnsi="宋体" w:eastAsia="宋体"/>
                <w:sz w:val="16"/>
              </w:rPr>
              <w:t>实际完成情况</w:t>
            </w:r>
          </w:p>
        </w:tc>
      </w:tr>
      <w:tr w14:paraId="573FB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FB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44EC1">
            <w:pPr>
              <w:jc w:val="both"/>
            </w:pPr>
            <w:r>
              <w:rPr>
                <w:rFonts w:ascii="宋体" w:hAnsi="宋体" w:eastAsia="宋体"/>
                <w:sz w:val="16"/>
              </w:rPr>
              <w:t>地区农业综合行政执法支队实施聘请法律顾问项目，聘请一名法律顾问，旨在审核农业行政执法案件、为重大案件提供法律援助咨询服务等相关法律事务，提升执法人员依法行政能力，进一步提高行政执法的公信力，为建设更高水平的法治新疆、平安新疆提供有力法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E49C42">
            <w:pPr>
              <w:jc w:val="both"/>
            </w:pPr>
            <w:r>
              <w:rPr>
                <w:rFonts w:ascii="宋体" w:hAnsi="宋体" w:eastAsia="宋体"/>
                <w:sz w:val="16"/>
              </w:rPr>
              <w:t>聘请一名法律顾问，地区农业综合行政执法支队进一步规范农业行政执法，加强《自治区农业综合行政执法自由裁量基准》落实，提高执法人员执法能力和办案水平，扎实推进农业执法规范化建设。一是高度重视案卷质量，以找问题、抓细节、提能力为目的，对全地区办理的案件开展案卷评查2次共82卷；二是加强培训提升专业素养，邀请法律顾问、组织执法骨干围绕行政处罚文书制作、行政执法案卷立卷规范、案卷评查存在问题解析等开展专题培训，全面提升行政执法人员案卷制作能力；三是开展大比武以考促学，组织全地区农业综合行政执法人员开展文书制作、专业法律法规、农产品监督抽样等技能竞技比武，增强执法人员学习主动性和自觉性。</w:t>
            </w:r>
          </w:p>
        </w:tc>
      </w:tr>
      <w:tr w14:paraId="6EEB5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510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1F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F5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91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AA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38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C9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3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6C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10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15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FE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0462C">
            <w:pPr>
              <w:jc w:val="center"/>
            </w:pPr>
            <w:r>
              <w:rPr>
                <w:rFonts w:ascii="宋体" w:hAnsi="宋体" w:eastAsia="宋体"/>
                <w:sz w:val="16"/>
              </w:rPr>
              <w:t>偏差原因分析及改进措施</w:t>
            </w:r>
          </w:p>
        </w:tc>
      </w:tr>
      <w:tr w14:paraId="4018C9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59B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782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ACD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3232">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8A04">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9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40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44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C5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5F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6ED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AB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CC58E">
            <w:pPr>
              <w:jc w:val="center"/>
            </w:pPr>
          </w:p>
        </w:tc>
      </w:tr>
      <w:tr w14:paraId="7B44C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68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F8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1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2ADB">
            <w:pPr>
              <w:jc w:val="center"/>
            </w:pPr>
            <w:r>
              <w:rPr>
                <w:rFonts w:ascii="宋体" w:hAnsi="宋体" w:eastAsia="宋体"/>
                <w:sz w:val="16"/>
              </w:rPr>
              <w:t>提供法律顾问服务次数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6ECA">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6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1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EE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9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43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6B9C">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FD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D278F">
            <w:pPr>
              <w:jc w:val="center"/>
            </w:pPr>
          </w:p>
        </w:tc>
      </w:tr>
      <w:tr w14:paraId="0B3A0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A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A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5F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76EC">
            <w:pPr>
              <w:jc w:val="center"/>
            </w:pPr>
            <w:r>
              <w:rPr>
                <w:rFonts w:ascii="宋体" w:hAnsi="宋体" w:eastAsia="宋体"/>
                <w:sz w:val="16"/>
              </w:rPr>
              <w:t>问题分析解决率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751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C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76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49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9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B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35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9D6B">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102A4">
            <w:pPr>
              <w:jc w:val="center"/>
            </w:pPr>
            <w:r>
              <w:rPr>
                <w:rFonts w:ascii="宋体" w:hAnsi="宋体" w:eastAsia="宋体"/>
                <w:sz w:val="16"/>
              </w:rPr>
              <w:t>偏差原因：聘请法律顾问及时解决了</w:t>
            </w:r>
            <w:r>
              <w:rPr>
                <w:rFonts w:hint="eastAsia" w:ascii="宋体" w:hAnsi="宋体"/>
                <w:sz w:val="16"/>
                <w:lang w:eastAsia="zh-CN"/>
              </w:rPr>
              <w:t>本部门</w:t>
            </w:r>
            <w:r>
              <w:rPr>
                <w:rFonts w:ascii="宋体" w:hAnsi="宋体" w:eastAsia="宋体"/>
                <w:sz w:val="16"/>
              </w:rPr>
              <w:t>各项法律问题。</w:t>
            </w:r>
          </w:p>
        </w:tc>
      </w:tr>
      <w:tr w14:paraId="3B7E0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8B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4A6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6A6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60E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F7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7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8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17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6D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DF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5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F4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04BAE">
            <w:pPr>
              <w:jc w:val="center"/>
            </w:pPr>
          </w:p>
        </w:tc>
      </w:tr>
      <w:tr w14:paraId="1B35D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CB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F8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C6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16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437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F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3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35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C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AF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3E65">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D8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0F9C">
            <w:pPr>
              <w:jc w:val="center"/>
            </w:pPr>
          </w:p>
        </w:tc>
      </w:tr>
      <w:tr w14:paraId="0C271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0F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96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C4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DE26">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D17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C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CC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67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F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D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40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95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7611">
            <w:pPr>
              <w:jc w:val="center"/>
            </w:pPr>
          </w:p>
        </w:tc>
      </w:tr>
      <w:tr w14:paraId="04898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E0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17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CF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B3B8">
            <w:pPr>
              <w:jc w:val="center"/>
            </w:pPr>
            <w:r>
              <w:rPr>
                <w:rFonts w:ascii="宋体" w:hAnsi="宋体" w:eastAsia="宋体"/>
                <w:sz w:val="16"/>
              </w:rPr>
              <w:t>依法行政能力提升认可度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98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D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B0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07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EA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2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E6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4E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65E6C">
            <w:pPr>
              <w:jc w:val="center"/>
            </w:pPr>
          </w:p>
        </w:tc>
      </w:tr>
      <w:tr w14:paraId="7A626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5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97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37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265E">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DAC6">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B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84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F0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01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14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A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EA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3DD2">
            <w:pPr>
              <w:jc w:val="center"/>
            </w:pPr>
            <w:r>
              <w:rPr>
                <w:rFonts w:ascii="宋体" w:hAnsi="宋体" w:eastAsia="宋体"/>
                <w:sz w:val="16"/>
              </w:rPr>
              <w:t>偏差原因：我单位与元正盛业（喀什）律师事务所签订《法律顾问服务协议》，约定由该所为我单位提供法律咨询、案件审查、诉讼代理等综合性法律服务，执法人员满意度高；改进措施：参考2024年绩效评价结果数据，在2025年项目绩效目标设定中，采取的措施以历史数据为依据，加强后期指标设置的精准性。</w:t>
            </w:r>
          </w:p>
        </w:tc>
      </w:tr>
      <w:tr w14:paraId="5D9EFC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1D8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5C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62D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6506">
            <w:pPr>
              <w:jc w:val="center"/>
            </w:pPr>
            <w:r>
              <w:rPr>
                <w:rFonts w:ascii="宋体" w:hAnsi="宋体" w:eastAsia="宋体"/>
                <w:sz w:val="16"/>
              </w:rPr>
              <w:t>99.84分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01AE9B"/>
        </w:tc>
      </w:tr>
    </w:tbl>
    <w:p w14:paraId="5853EA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A78FC86">
        <w:tblPrEx>
          <w:tblCellMar>
            <w:top w:w="0" w:type="dxa"/>
            <w:left w:w="108" w:type="dxa"/>
            <w:bottom w:w="0" w:type="dxa"/>
            <w:right w:w="108" w:type="dxa"/>
          </w:tblCellMar>
        </w:tblPrEx>
        <w:tc>
          <w:tcPr>
            <w:tcW w:w="8848" w:type="dxa"/>
            <w:gridSpan w:val="14"/>
            <w:vAlign w:val="center"/>
          </w:tcPr>
          <w:p w14:paraId="2166C11D">
            <w:pPr>
              <w:jc w:val="center"/>
            </w:pPr>
            <w:r>
              <w:rPr>
                <w:rFonts w:ascii="宋体" w:hAnsi="宋体" w:eastAsia="宋体"/>
                <w:sz w:val="24"/>
              </w:rPr>
              <w:t>项目支出绩效自评表</w:t>
            </w:r>
          </w:p>
        </w:tc>
      </w:tr>
      <w:tr w14:paraId="30278B96">
        <w:tblPrEx>
          <w:tblCellMar>
            <w:top w:w="0" w:type="dxa"/>
            <w:left w:w="108" w:type="dxa"/>
            <w:bottom w:w="0" w:type="dxa"/>
            <w:right w:w="108" w:type="dxa"/>
          </w:tblCellMar>
        </w:tblPrEx>
        <w:tc>
          <w:tcPr>
            <w:tcW w:w="8848" w:type="dxa"/>
            <w:gridSpan w:val="14"/>
            <w:vAlign w:val="center"/>
          </w:tcPr>
          <w:p w14:paraId="15A1E70F">
            <w:pPr>
              <w:jc w:val="center"/>
            </w:pPr>
            <w:r>
              <w:rPr>
                <w:rFonts w:ascii="宋体" w:hAnsi="宋体" w:eastAsia="宋体"/>
                <w:sz w:val="24"/>
              </w:rPr>
              <w:t>(2024年度)</w:t>
            </w:r>
          </w:p>
        </w:tc>
      </w:tr>
      <w:tr w14:paraId="6A8B9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9F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19E906">
            <w:pPr>
              <w:jc w:val="center"/>
            </w:pPr>
            <w:r>
              <w:rPr>
                <w:rFonts w:ascii="宋体" w:hAnsi="宋体" w:eastAsia="宋体"/>
                <w:sz w:val="16"/>
              </w:rPr>
              <w:t>农业综合行政执法能力提升项目</w:t>
            </w:r>
          </w:p>
        </w:tc>
      </w:tr>
      <w:tr w14:paraId="6D0E10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B0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91F52">
            <w:pPr>
              <w:jc w:val="center"/>
            </w:pPr>
            <w:r>
              <w:rPr>
                <w:rFonts w:ascii="宋体" w:hAnsi="宋体" w:eastAsia="宋体"/>
                <w:sz w:val="16"/>
              </w:rPr>
              <w:t>喀什地区农业综合行政执法支队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B8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CFCF9C">
            <w:pPr>
              <w:jc w:val="center"/>
            </w:pPr>
            <w:r>
              <w:rPr>
                <w:rFonts w:ascii="宋体" w:hAnsi="宋体" w:eastAsia="宋体"/>
                <w:sz w:val="16"/>
              </w:rPr>
              <w:t>喀什地区农业综合行政执法支队</w:t>
            </w:r>
          </w:p>
        </w:tc>
      </w:tr>
      <w:tr w14:paraId="24E79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F43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0F3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91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5E0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7BD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8F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56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2484">
            <w:pPr>
              <w:jc w:val="center"/>
            </w:pPr>
            <w:r>
              <w:rPr>
                <w:rFonts w:ascii="宋体" w:hAnsi="宋体" w:eastAsia="宋体"/>
                <w:sz w:val="16"/>
              </w:rPr>
              <w:t>得分</w:t>
            </w:r>
          </w:p>
        </w:tc>
      </w:tr>
      <w:tr w14:paraId="2D60F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6FC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6C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719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CD0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E3C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AD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CC5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AE7F">
            <w:pPr>
              <w:jc w:val="center"/>
            </w:pPr>
            <w:r>
              <w:rPr>
                <w:rFonts w:ascii="宋体" w:hAnsi="宋体" w:eastAsia="宋体"/>
                <w:sz w:val="16"/>
              </w:rPr>
              <w:t>10.00分</w:t>
            </w:r>
          </w:p>
        </w:tc>
      </w:tr>
      <w:tr w14:paraId="332D1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8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924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7EB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ECB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F0DE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00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3C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CE41">
            <w:pPr>
              <w:jc w:val="center"/>
            </w:pPr>
            <w:r>
              <w:rPr>
                <w:rFonts w:ascii="宋体" w:hAnsi="宋体" w:eastAsia="宋体"/>
                <w:sz w:val="16"/>
              </w:rPr>
              <w:t>—</w:t>
            </w:r>
          </w:p>
        </w:tc>
      </w:tr>
      <w:tr w14:paraId="720F2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501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1E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5B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58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CE9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C4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C5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D387">
            <w:pPr>
              <w:jc w:val="center"/>
            </w:pPr>
            <w:r>
              <w:rPr>
                <w:rFonts w:ascii="宋体" w:hAnsi="宋体" w:eastAsia="宋体"/>
                <w:sz w:val="16"/>
              </w:rPr>
              <w:t>—</w:t>
            </w:r>
          </w:p>
        </w:tc>
      </w:tr>
      <w:tr w14:paraId="71D667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D66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829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C67C8">
            <w:pPr>
              <w:jc w:val="center"/>
            </w:pPr>
            <w:r>
              <w:rPr>
                <w:rFonts w:ascii="宋体" w:hAnsi="宋体" w:eastAsia="宋体"/>
                <w:sz w:val="16"/>
              </w:rPr>
              <w:t>实际完成情况</w:t>
            </w:r>
          </w:p>
        </w:tc>
      </w:tr>
      <w:tr w14:paraId="11FAD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E09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79A6D">
            <w:pPr>
              <w:jc w:val="both"/>
            </w:pPr>
            <w:r>
              <w:rPr>
                <w:rFonts w:ascii="宋体" w:hAnsi="宋体" w:eastAsia="宋体"/>
                <w:sz w:val="16"/>
              </w:rPr>
              <w:t>组织开展“喀什地区农业综合行政执法能力提升培训”、“喀什地区执法业务技能比武（大比武）”、“喀什地区农业综合行政执法交叉检查及案卷评查”</w:t>
            </w:r>
            <w:r>
              <w:rPr>
                <w:rFonts w:hint="eastAsia" w:ascii="宋体" w:hAnsi="宋体"/>
                <w:sz w:val="16"/>
                <w:lang w:eastAsia="zh-CN"/>
              </w:rPr>
              <w:t>，以</w:t>
            </w:r>
            <w:r>
              <w:rPr>
                <w:rFonts w:ascii="宋体" w:hAnsi="宋体" w:eastAsia="宋体"/>
                <w:sz w:val="16"/>
              </w:rPr>
              <w:t>及常态化</w:t>
            </w:r>
            <w:r>
              <w:rPr>
                <w:rFonts w:hint="eastAsia" w:ascii="宋体" w:hAnsi="宋体"/>
                <w:sz w:val="16"/>
                <w:lang w:eastAsia="zh-CN"/>
              </w:rPr>
              <w:t>地</w:t>
            </w:r>
            <w:r>
              <w:rPr>
                <w:rFonts w:ascii="宋体" w:hAnsi="宋体" w:eastAsia="宋体"/>
                <w:sz w:val="16"/>
              </w:rPr>
              <w:t>派遣地区支队执法人员赴各县市有重点的开展农业综合执法服务指导工作。有效提升农业综合行政执法队伍能力，提高执法人员调查取证、制作法律文书的能力和水平，实现喀什地区农业综合行政执法人员素质普遍提高，执法制度机制更加完善，执法保障措施基本落实，执法办案能力明显增强，为实施乡村振兴战略、推进乡村治理体系和治理能力现代化提供法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83FCB">
            <w:pPr>
              <w:jc w:val="both"/>
            </w:pPr>
            <w:r>
              <w:rPr>
                <w:rFonts w:ascii="宋体" w:hAnsi="宋体" w:eastAsia="宋体"/>
                <w:sz w:val="16"/>
              </w:rPr>
              <w:t>喀什地区农业综合行政执法支队组织开展“喀什地区农业综合行政执法能力提升培训”;开展“喀什地区执法业务技能比武（大比武）”一次，每县市4人，共计48人参加;开展“喀什地区农业综合行政执法交叉检查及案卷评查”;常态化</w:t>
            </w:r>
            <w:r>
              <w:rPr>
                <w:rFonts w:hint="eastAsia" w:ascii="宋体" w:hAnsi="宋体"/>
                <w:sz w:val="16"/>
                <w:lang w:eastAsia="zh-CN"/>
              </w:rPr>
              <w:t>地</w:t>
            </w:r>
            <w:r>
              <w:rPr>
                <w:rFonts w:ascii="宋体" w:hAnsi="宋体" w:eastAsia="宋体"/>
                <w:sz w:val="16"/>
              </w:rPr>
              <w:t>派遣地区支队执法人员赴喀什地区全覆盖执法检查，并有重点</w:t>
            </w:r>
            <w:r>
              <w:rPr>
                <w:rFonts w:hint="eastAsia" w:ascii="宋体" w:hAnsi="宋体"/>
                <w:sz w:val="16"/>
                <w:lang w:eastAsia="zh-CN"/>
              </w:rPr>
              <w:t>地</w:t>
            </w:r>
            <w:r>
              <w:rPr>
                <w:rFonts w:ascii="宋体" w:hAnsi="宋体" w:eastAsia="宋体"/>
                <w:sz w:val="16"/>
              </w:rPr>
              <w:t>开展农业综合执法服务指导工作，实现喀什地区农业综合行政执法人员素质普遍提高，执法制度机制更加完善，执法保障措施基本落实，执法办案能力明显增强，为农业农村农民保驾护航的能力水平显著提升。</w:t>
            </w:r>
          </w:p>
        </w:tc>
      </w:tr>
      <w:tr w14:paraId="2825F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8B9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3F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C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EB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08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B3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05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22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87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EE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AE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3A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5BEA">
            <w:pPr>
              <w:jc w:val="center"/>
            </w:pPr>
            <w:r>
              <w:rPr>
                <w:rFonts w:ascii="宋体" w:hAnsi="宋体" w:eastAsia="宋体"/>
                <w:sz w:val="16"/>
              </w:rPr>
              <w:t>偏差原因分析及改进措施</w:t>
            </w:r>
          </w:p>
        </w:tc>
      </w:tr>
      <w:tr w14:paraId="4C1DA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A42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C2A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2C8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E623">
            <w:pPr>
              <w:jc w:val="center"/>
            </w:pPr>
            <w:r>
              <w:rPr>
                <w:rFonts w:ascii="宋体" w:hAnsi="宋体" w:eastAsia="宋体"/>
                <w:sz w:val="16"/>
              </w:rPr>
              <w:t>执法业务技能比武活动举办场次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A24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F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2F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72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7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2A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915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347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4A064">
            <w:pPr>
              <w:jc w:val="center"/>
            </w:pPr>
          </w:p>
        </w:tc>
      </w:tr>
      <w:tr w14:paraId="52A22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D5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A4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40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F421">
            <w:pPr>
              <w:jc w:val="center"/>
            </w:pPr>
            <w:r>
              <w:rPr>
                <w:rFonts w:ascii="宋体" w:hAnsi="宋体" w:eastAsia="宋体"/>
                <w:sz w:val="16"/>
              </w:rPr>
              <w:t>执法队伍建设培训开展次数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7D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A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F41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18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40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9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5C7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F1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10B3">
            <w:pPr>
              <w:jc w:val="center"/>
            </w:pPr>
          </w:p>
        </w:tc>
      </w:tr>
      <w:tr w14:paraId="0768F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74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04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54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D72A">
            <w:pPr>
              <w:jc w:val="center"/>
            </w:pPr>
            <w:r>
              <w:rPr>
                <w:rFonts w:ascii="宋体" w:hAnsi="宋体" w:eastAsia="宋体"/>
                <w:sz w:val="16"/>
              </w:rPr>
              <w:t>场地租赁天数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C493">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5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D55E">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42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3B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5F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BE8B">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C6B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C317">
            <w:pPr>
              <w:jc w:val="center"/>
            </w:pPr>
          </w:p>
        </w:tc>
      </w:tr>
      <w:tr w14:paraId="5E474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D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E9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91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042A">
            <w:pPr>
              <w:jc w:val="center"/>
            </w:pPr>
            <w:r>
              <w:rPr>
                <w:rFonts w:ascii="宋体" w:hAnsi="宋体" w:eastAsia="宋体"/>
                <w:sz w:val="16"/>
              </w:rPr>
              <w:t>培训考试合格率（%）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EE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45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0B7F">
            <w:pPr>
              <w:jc w:val="center"/>
            </w:pPr>
            <w:r>
              <w:rPr>
                <w:rFonts w:ascii="宋体" w:hAnsi="宋体" w:eastAsia="宋体"/>
                <w:sz w:val="16"/>
              </w:rPr>
              <w:t>95.9%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02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5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E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E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05C9">
            <w:pPr>
              <w:jc w:val="center"/>
            </w:pPr>
            <w:r>
              <w:rPr>
                <w:rFonts w:ascii="宋体" w:hAnsi="宋体" w:eastAsia="宋体"/>
                <w:sz w:val="16"/>
              </w:rPr>
              <w:t>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C925">
            <w:pPr>
              <w:jc w:val="center"/>
            </w:pPr>
            <w:r>
              <w:rPr>
                <w:rFonts w:ascii="宋体" w:hAnsi="宋体" w:eastAsia="宋体"/>
                <w:sz w:val="16"/>
              </w:rPr>
              <w:t>偏差原因：项目绩效目标设置培训人员考试合格率不精准；改进措施：参考2024年绩效评价结果数据，在2025年项目绩效目标设定中，采取的措施以历史数据为依据，加强后期指标设置的精准性。</w:t>
            </w:r>
          </w:p>
        </w:tc>
      </w:tr>
      <w:tr w14:paraId="5A52B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0A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F63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7A3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64A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D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5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9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BC5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2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85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2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65F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D93B">
            <w:pPr>
              <w:jc w:val="center"/>
            </w:pPr>
          </w:p>
        </w:tc>
      </w:tr>
      <w:tr w14:paraId="22ACE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3B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11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99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8E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6E9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C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AB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65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0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E1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737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B7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E85B">
            <w:pPr>
              <w:jc w:val="center"/>
            </w:pPr>
          </w:p>
        </w:tc>
      </w:tr>
      <w:tr w14:paraId="2489F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55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05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6A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DEA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EFF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2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8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70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8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CA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AB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B5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AB3C">
            <w:pPr>
              <w:jc w:val="center"/>
            </w:pPr>
          </w:p>
        </w:tc>
      </w:tr>
      <w:tr w14:paraId="1342C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69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6C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BF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D52D">
            <w:pPr>
              <w:jc w:val="center"/>
            </w:pPr>
            <w:r>
              <w:rPr>
                <w:rFonts w:ascii="宋体" w:hAnsi="宋体" w:eastAsia="宋体"/>
                <w:sz w:val="16"/>
              </w:rPr>
              <w:t>提升执法人员能力素质水平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2E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C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09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8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EA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B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17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DA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19D0">
            <w:pPr>
              <w:jc w:val="center"/>
            </w:pPr>
          </w:p>
        </w:tc>
      </w:tr>
      <w:tr w14:paraId="2B5C5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70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2D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91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9F4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5A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23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6A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3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C8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F4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E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BF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7AEB7">
            <w:pPr>
              <w:jc w:val="center"/>
            </w:pPr>
            <w:r>
              <w:rPr>
                <w:rFonts w:ascii="宋体" w:hAnsi="宋体" w:eastAsia="宋体"/>
                <w:sz w:val="16"/>
              </w:rPr>
              <w:t>偏差原因：参加农业综合行政执法支队培训人员满意度好；改进措施：在以后项目绩效目标设定中，采取的措施以历史数据为依据，加强后期指标设置的精准性。</w:t>
            </w:r>
          </w:p>
        </w:tc>
      </w:tr>
      <w:tr w14:paraId="639BE5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41E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1A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29A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6007">
            <w:pPr>
              <w:jc w:val="center"/>
            </w:pPr>
            <w:r>
              <w:rPr>
                <w:rFonts w:ascii="宋体" w:hAnsi="宋体" w:eastAsia="宋体"/>
                <w:sz w:val="16"/>
              </w:rPr>
              <w:t>99.63分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563AFB"/>
        </w:tc>
      </w:tr>
    </w:tbl>
    <w:p w14:paraId="0AC42B4A">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7"/>
        <w:gridCol w:w="629"/>
        <w:gridCol w:w="1016"/>
        <w:gridCol w:w="577"/>
        <w:gridCol w:w="696"/>
        <w:gridCol w:w="594"/>
        <w:gridCol w:w="577"/>
        <w:gridCol w:w="577"/>
        <w:gridCol w:w="856"/>
        <w:gridCol w:w="632"/>
        <w:gridCol w:w="511"/>
        <w:gridCol w:w="630"/>
      </w:tblGrid>
      <w:tr w14:paraId="293E13CC">
        <w:tblPrEx>
          <w:tblCellMar>
            <w:top w:w="0" w:type="dxa"/>
            <w:left w:w="108" w:type="dxa"/>
            <w:bottom w:w="0" w:type="dxa"/>
            <w:right w:w="108" w:type="dxa"/>
          </w:tblCellMar>
        </w:tblPrEx>
        <w:tc>
          <w:tcPr>
            <w:tcW w:w="8848" w:type="dxa"/>
            <w:gridSpan w:val="14"/>
            <w:vAlign w:val="center"/>
          </w:tcPr>
          <w:p w14:paraId="1CE9FC2C">
            <w:pPr>
              <w:jc w:val="center"/>
            </w:pPr>
            <w:r>
              <w:rPr>
                <w:rFonts w:ascii="宋体" w:hAnsi="宋体" w:eastAsia="宋体"/>
                <w:sz w:val="24"/>
              </w:rPr>
              <w:t>项目支出绩效自评表</w:t>
            </w:r>
          </w:p>
        </w:tc>
      </w:tr>
      <w:tr w14:paraId="6E67ADFA">
        <w:tblPrEx>
          <w:tblCellMar>
            <w:top w:w="0" w:type="dxa"/>
            <w:left w:w="108" w:type="dxa"/>
            <w:bottom w:w="0" w:type="dxa"/>
            <w:right w:w="108" w:type="dxa"/>
          </w:tblCellMar>
        </w:tblPrEx>
        <w:tc>
          <w:tcPr>
            <w:tcW w:w="8848" w:type="dxa"/>
            <w:gridSpan w:val="14"/>
            <w:vAlign w:val="center"/>
          </w:tcPr>
          <w:p w14:paraId="38A1F27C">
            <w:pPr>
              <w:jc w:val="center"/>
            </w:pPr>
            <w:r>
              <w:rPr>
                <w:rFonts w:ascii="宋体" w:hAnsi="宋体" w:eastAsia="宋体"/>
                <w:sz w:val="24"/>
              </w:rPr>
              <w:t>(2024年度)</w:t>
            </w:r>
          </w:p>
        </w:tc>
      </w:tr>
      <w:tr w14:paraId="370F33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F9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F78397">
            <w:pPr>
              <w:jc w:val="center"/>
            </w:pPr>
            <w:r>
              <w:rPr>
                <w:rFonts w:ascii="宋体" w:hAnsi="宋体" w:eastAsia="宋体"/>
                <w:sz w:val="16"/>
              </w:rPr>
              <w:t>农业综合行政执法装备项目</w:t>
            </w:r>
          </w:p>
        </w:tc>
      </w:tr>
      <w:tr w14:paraId="72E83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47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45553">
            <w:pPr>
              <w:jc w:val="center"/>
            </w:pPr>
            <w:r>
              <w:rPr>
                <w:rFonts w:ascii="宋体" w:hAnsi="宋体" w:eastAsia="宋体"/>
                <w:sz w:val="16"/>
              </w:rPr>
              <w:t>喀什地区农业综合行政执法支队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CE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BF198">
            <w:pPr>
              <w:jc w:val="center"/>
            </w:pPr>
            <w:r>
              <w:rPr>
                <w:rFonts w:ascii="宋体" w:hAnsi="宋体" w:eastAsia="宋体"/>
                <w:sz w:val="16"/>
              </w:rPr>
              <w:t>喀什地区农业综合行政执法支队</w:t>
            </w:r>
          </w:p>
        </w:tc>
      </w:tr>
      <w:tr w14:paraId="72F336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62B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BB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59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6C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C1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F40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80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55E3">
            <w:pPr>
              <w:jc w:val="center"/>
            </w:pPr>
            <w:r>
              <w:rPr>
                <w:rFonts w:ascii="宋体" w:hAnsi="宋体" w:eastAsia="宋体"/>
                <w:sz w:val="16"/>
              </w:rPr>
              <w:t>得分</w:t>
            </w:r>
          </w:p>
        </w:tc>
      </w:tr>
      <w:tr w14:paraId="7F1E2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02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85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430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6EB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D45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EC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C96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6163">
            <w:pPr>
              <w:jc w:val="center"/>
            </w:pPr>
            <w:r>
              <w:rPr>
                <w:rFonts w:ascii="宋体" w:hAnsi="宋体" w:eastAsia="宋体"/>
                <w:sz w:val="16"/>
              </w:rPr>
              <w:t>10.00分</w:t>
            </w:r>
          </w:p>
        </w:tc>
      </w:tr>
      <w:tr w14:paraId="62A89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79D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76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B52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232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F99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338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D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A8F6">
            <w:pPr>
              <w:jc w:val="center"/>
            </w:pPr>
            <w:r>
              <w:rPr>
                <w:rFonts w:ascii="宋体" w:hAnsi="宋体" w:eastAsia="宋体"/>
                <w:sz w:val="16"/>
              </w:rPr>
              <w:t>—</w:t>
            </w:r>
          </w:p>
        </w:tc>
      </w:tr>
      <w:tr w14:paraId="5BB0E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461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57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752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1BE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3C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4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5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1A96">
            <w:pPr>
              <w:jc w:val="center"/>
            </w:pPr>
            <w:r>
              <w:rPr>
                <w:rFonts w:ascii="宋体" w:hAnsi="宋体" w:eastAsia="宋体"/>
                <w:sz w:val="16"/>
              </w:rPr>
              <w:t>—</w:t>
            </w:r>
          </w:p>
        </w:tc>
      </w:tr>
      <w:tr w14:paraId="7A4E09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585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4A9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0367B">
            <w:pPr>
              <w:jc w:val="center"/>
            </w:pPr>
            <w:r>
              <w:rPr>
                <w:rFonts w:ascii="宋体" w:hAnsi="宋体" w:eastAsia="宋体"/>
                <w:sz w:val="16"/>
              </w:rPr>
              <w:t>实际完成情况</w:t>
            </w:r>
          </w:p>
        </w:tc>
      </w:tr>
      <w:tr w14:paraId="490F3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9C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A9967">
            <w:pPr>
              <w:jc w:val="both"/>
            </w:pPr>
            <w:r>
              <w:rPr>
                <w:rFonts w:ascii="宋体" w:hAnsi="宋体" w:eastAsia="宋体"/>
                <w:sz w:val="16"/>
              </w:rPr>
              <w:t>根据农业综合行政执法的新形势、新任务，及时补充、更新执法装备；采购执法记录仪、执法箱、询问室摄像机、固定资产条码打印机、硬盘等设备，并根据《自治区财政厅 司法厅关于印发</w:t>
            </w:r>
            <w:r>
              <w:rPr>
                <w:rFonts w:hint="eastAsia" w:ascii="宋体" w:hAnsi="宋体"/>
                <w:sz w:val="16"/>
                <w:lang w:eastAsia="zh-CN"/>
              </w:rPr>
              <w:t>〈</w:t>
            </w:r>
            <w:r>
              <w:rPr>
                <w:rFonts w:ascii="宋体" w:hAnsi="宋体" w:eastAsia="宋体"/>
                <w:sz w:val="16"/>
              </w:rPr>
              <w:t>新疆维吾尔自治区综合行政执法制式服装和标志管理实施办法&gt;的通知》（新财规</w:t>
            </w:r>
            <w:r>
              <w:rPr>
                <w:rFonts w:hint="eastAsia" w:ascii="宋体" w:hAnsi="宋体"/>
                <w:sz w:val="16"/>
                <w:lang w:eastAsia="zh-CN"/>
              </w:rPr>
              <w:t>〔2021〕1号</w:t>
            </w:r>
            <w:r>
              <w:rPr>
                <w:rFonts w:ascii="宋体" w:hAnsi="宋体" w:eastAsia="宋体"/>
                <w:sz w:val="16"/>
              </w:rPr>
              <w:t>）换发执法人员制服、补发新进执法人员制服。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B2B3FF">
            <w:pPr>
              <w:jc w:val="both"/>
            </w:pPr>
            <w:r>
              <w:rPr>
                <w:rFonts w:ascii="宋体" w:hAnsi="宋体" w:eastAsia="宋体"/>
                <w:sz w:val="16"/>
              </w:rPr>
              <w:t>按照农业农村部印发的《全国农业综合行政执法基本装备配备指导标准（2022年版）》（农法发〔2022〕3号）和《渔政执法装备配备指导标准》相关规定，结合</w:t>
            </w:r>
            <w:r>
              <w:rPr>
                <w:rFonts w:hint="eastAsia" w:ascii="宋体" w:hAnsi="宋体"/>
                <w:sz w:val="16"/>
                <w:lang w:eastAsia="zh-CN"/>
              </w:rPr>
              <w:t>本部门</w:t>
            </w:r>
            <w:r>
              <w:rPr>
                <w:rFonts w:ascii="宋体" w:hAnsi="宋体" w:eastAsia="宋体"/>
                <w:sz w:val="16"/>
              </w:rPr>
              <w:t>实际采购执法箱、执法专用笔记本、固定资产条码打印机、执法记录仪、询问室所需硬盘等设备；并根据《自治区财政厅 司法厅关于印发</w:t>
            </w:r>
            <w:r>
              <w:rPr>
                <w:rFonts w:hint="eastAsia" w:ascii="宋体" w:hAnsi="宋体"/>
                <w:sz w:val="16"/>
                <w:lang w:eastAsia="zh-CN"/>
              </w:rPr>
              <w:t>〈</w:t>
            </w:r>
            <w:r>
              <w:rPr>
                <w:rFonts w:ascii="宋体" w:hAnsi="宋体" w:eastAsia="宋体"/>
                <w:sz w:val="16"/>
              </w:rPr>
              <w:t>新疆维吾尔自治区综合行政执法制式服装和标志管理实施办法&gt;的通知》（新财规</w:t>
            </w:r>
            <w:r>
              <w:rPr>
                <w:rFonts w:hint="eastAsia" w:ascii="宋体" w:hAnsi="宋体"/>
                <w:sz w:val="16"/>
                <w:lang w:eastAsia="zh-CN"/>
              </w:rPr>
              <w:t>〔2021〕1号</w:t>
            </w:r>
            <w:r>
              <w:rPr>
                <w:rFonts w:ascii="宋体" w:hAnsi="宋体" w:eastAsia="宋体"/>
                <w:sz w:val="16"/>
              </w:rPr>
              <w:t>）换发执法人员制服、补发新进执法人员制服。及时补发、换发执法人员制服，持续加强农业综合行政执法能力建设和条件保障，进一步提升农业综合行政执法队伍装备配备水平，确保农业农村领域法律法规严格实施、农业农村部门法定职责全面履行具有重要意义。</w:t>
            </w:r>
          </w:p>
        </w:tc>
      </w:tr>
      <w:tr w14:paraId="0ACFA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EE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80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49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19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1D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DF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D1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29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A7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45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F0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40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7990">
            <w:pPr>
              <w:jc w:val="center"/>
            </w:pPr>
            <w:r>
              <w:rPr>
                <w:rFonts w:ascii="宋体" w:hAnsi="宋体" w:eastAsia="宋体"/>
                <w:sz w:val="16"/>
              </w:rPr>
              <w:t>偏差原因分析及改进措施</w:t>
            </w:r>
          </w:p>
        </w:tc>
      </w:tr>
      <w:tr w14:paraId="469D97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D0E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696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8D5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60EE">
            <w:pPr>
              <w:jc w:val="center"/>
            </w:pPr>
            <w:r>
              <w:rPr>
                <w:rFonts w:ascii="宋体" w:hAnsi="宋体" w:eastAsia="宋体"/>
                <w:sz w:val="16"/>
              </w:rPr>
              <w:t>执法装备购置数量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6BE4">
            <w:pPr>
              <w:jc w:val="center"/>
            </w:pPr>
            <w:r>
              <w:rPr>
                <w:rFonts w:ascii="宋体" w:hAnsi="宋体" w:eastAsia="宋体"/>
                <w:sz w:val="16"/>
              </w:rPr>
              <w:t>&gt;=12个、件、台、套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8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3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8E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D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FF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479C">
            <w:pPr>
              <w:jc w:val="center"/>
            </w:pPr>
            <w:r>
              <w:rPr>
                <w:rFonts w:ascii="宋体" w:hAnsi="宋体" w:eastAsia="宋体"/>
                <w:sz w:val="16"/>
              </w:rPr>
              <w:t>=12个、件、台、套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19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1E50F">
            <w:pPr>
              <w:jc w:val="center"/>
            </w:pPr>
          </w:p>
        </w:tc>
      </w:tr>
      <w:tr w14:paraId="7C71C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D7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703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1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D306">
            <w:pPr>
              <w:jc w:val="center"/>
            </w:pPr>
            <w:r>
              <w:rPr>
                <w:rFonts w:ascii="宋体" w:hAnsi="宋体" w:eastAsia="宋体"/>
                <w:sz w:val="16"/>
              </w:rPr>
              <w:t>换/补发制服配备率（%）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D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6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76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D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0F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01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0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5E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60EC">
            <w:pPr>
              <w:jc w:val="center"/>
            </w:pPr>
          </w:p>
        </w:tc>
      </w:tr>
      <w:tr w14:paraId="2BD38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AB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13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9E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2B01">
            <w:pPr>
              <w:jc w:val="center"/>
            </w:pPr>
            <w:r>
              <w:rPr>
                <w:rFonts w:ascii="宋体" w:hAnsi="宋体" w:eastAsia="宋体"/>
                <w:sz w:val="16"/>
              </w:rPr>
              <w:t>购置执法装备入库验收合格率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A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E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3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7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24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80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2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8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0C8A">
            <w:pPr>
              <w:jc w:val="center"/>
            </w:pPr>
          </w:p>
        </w:tc>
      </w:tr>
      <w:tr w14:paraId="5A1B3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1F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C6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FB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B9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BC8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9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2A1B">
            <w:pPr>
              <w:jc w:val="center"/>
            </w:pPr>
            <w:bookmarkStart w:id="0" w:name="_GoBack"/>
            <w:r>
              <w:rPr>
                <w:rFonts w:ascii="宋体" w:hAnsi="宋体" w:eastAsia="宋体"/>
                <w:sz w:val="16"/>
              </w:rPr>
              <w:t>2023</w:t>
            </w:r>
            <w:bookmarkEnd w:id="0"/>
            <w:r>
              <w:rPr>
                <w:rFonts w:ascii="宋体" w:hAnsi="宋体" w:eastAsia="宋体"/>
                <w:sz w:val="16"/>
              </w:rPr>
              <w:t>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2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6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D2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9B5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0A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4445">
            <w:pPr>
              <w:jc w:val="center"/>
            </w:pPr>
          </w:p>
        </w:tc>
      </w:tr>
      <w:tr w14:paraId="5630F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5DA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124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312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F8B8">
            <w:pPr>
              <w:jc w:val="center"/>
            </w:pPr>
            <w:r>
              <w:rPr>
                <w:rFonts w:ascii="宋体" w:hAnsi="宋体" w:eastAsia="宋体"/>
                <w:sz w:val="16"/>
              </w:rPr>
              <w:t>采购装备成本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A8DA">
            <w:pPr>
              <w:jc w:val="center"/>
            </w:pPr>
            <w:r>
              <w:rPr>
                <w:rFonts w:ascii="宋体" w:hAnsi="宋体" w:eastAsia="宋体"/>
                <w:sz w:val="16"/>
              </w:rPr>
              <w:t>&lt;=75838.40元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A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E828">
            <w:pPr>
              <w:jc w:val="center"/>
            </w:pPr>
            <w:r>
              <w:rPr>
                <w:rFonts w:ascii="宋体" w:hAnsi="宋体" w:eastAsia="宋体"/>
                <w:sz w:val="16"/>
              </w:rPr>
              <w:t>100000元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46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A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0B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12EC">
            <w:pPr>
              <w:jc w:val="center"/>
            </w:pPr>
            <w:r>
              <w:rPr>
                <w:rFonts w:ascii="宋体" w:hAnsi="宋体" w:eastAsia="宋体"/>
                <w:sz w:val="16"/>
              </w:rPr>
              <w:t>=75838.4元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4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020B">
            <w:pPr>
              <w:jc w:val="center"/>
            </w:pPr>
          </w:p>
        </w:tc>
      </w:tr>
      <w:tr w14:paraId="220C1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10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E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5B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5DF6">
            <w:pPr>
              <w:jc w:val="center"/>
            </w:pPr>
            <w:r>
              <w:rPr>
                <w:rFonts w:ascii="宋体" w:hAnsi="宋体" w:eastAsia="宋体"/>
                <w:sz w:val="16"/>
              </w:rPr>
              <w:t>采购制服成本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9BCA">
            <w:pPr>
              <w:jc w:val="center"/>
            </w:pPr>
            <w:r>
              <w:rPr>
                <w:rFonts w:ascii="宋体" w:hAnsi="宋体" w:eastAsia="宋体"/>
                <w:sz w:val="16"/>
              </w:rPr>
              <w:t>&lt;=24161.60元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8A7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9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E4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8F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FE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F14A">
            <w:pPr>
              <w:jc w:val="center"/>
            </w:pPr>
            <w:r>
              <w:rPr>
                <w:rFonts w:ascii="宋体" w:hAnsi="宋体" w:eastAsia="宋体"/>
                <w:sz w:val="16"/>
              </w:rPr>
              <w:t>=24161.6元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34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B6F5">
            <w:pPr>
              <w:jc w:val="center"/>
            </w:pPr>
          </w:p>
        </w:tc>
      </w:tr>
      <w:tr w14:paraId="36D55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1F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A7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56A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8BCE">
            <w:pPr>
              <w:jc w:val="center"/>
            </w:pPr>
            <w:r>
              <w:rPr>
                <w:rFonts w:ascii="宋体" w:hAnsi="宋体" w:eastAsia="宋体"/>
                <w:sz w:val="16"/>
              </w:rPr>
              <w:t>装备投入使用率（%）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B84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6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CEF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FD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B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5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7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2A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A9CB">
            <w:pPr>
              <w:jc w:val="center"/>
            </w:pPr>
          </w:p>
        </w:tc>
      </w:tr>
      <w:tr w14:paraId="36F50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76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33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16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7810">
            <w:pPr>
              <w:jc w:val="center"/>
            </w:pPr>
            <w:r>
              <w:rPr>
                <w:rFonts w:ascii="宋体" w:hAnsi="宋体" w:eastAsia="宋体"/>
                <w:sz w:val="16"/>
              </w:rPr>
              <w:t>执法装备及制服使用人员满意度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0A3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7BB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95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6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B4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37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3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54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990EF">
            <w:pPr>
              <w:jc w:val="center"/>
            </w:pPr>
            <w:r>
              <w:rPr>
                <w:rFonts w:ascii="宋体" w:hAnsi="宋体" w:eastAsia="宋体"/>
                <w:sz w:val="16"/>
              </w:rPr>
              <w:t>偏差原因：执法支队执法装备及制服使用人员满意度高。整改措施：以历史数据为依据，加强后期指标设置的精准性。</w:t>
            </w:r>
          </w:p>
        </w:tc>
      </w:tr>
      <w:tr w14:paraId="66E018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D23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4B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2E0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BA2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49349E"/>
        </w:tc>
      </w:tr>
    </w:tbl>
    <w:p w14:paraId="4C62CF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EF8CB82">
        <w:tblPrEx>
          <w:tblCellMar>
            <w:top w:w="0" w:type="dxa"/>
            <w:left w:w="108" w:type="dxa"/>
            <w:bottom w:w="0" w:type="dxa"/>
            <w:right w:w="108" w:type="dxa"/>
          </w:tblCellMar>
        </w:tblPrEx>
        <w:tc>
          <w:tcPr>
            <w:tcW w:w="8848" w:type="dxa"/>
            <w:gridSpan w:val="14"/>
            <w:vAlign w:val="center"/>
          </w:tcPr>
          <w:p w14:paraId="4AA6A0C4">
            <w:pPr>
              <w:jc w:val="center"/>
            </w:pPr>
            <w:r>
              <w:rPr>
                <w:rFonts w:ascii="宋体" w:hAnsi="宋体" w:eastAsia="宋体"/>
                <w:sz w:val="24"/>
              </w:rPr>
              <w:t>项目支出绩效自评表</w:t>
            </w:r>
          </w:p>
        </w:tc>
      </w:tr>
      <w:tr w14:paraId="03EF7DF7">
        <w:tblPrEx>
          <w:tblCellMar>
            <w:top w:w="0" w:type="dxa"/>
            <w:left w:w="108" w:type="dxa"/>
            <w:bottom w:w="0" w:type="dxa"/>
            <w:right w:w="108" w:type="dxa"/>
          </w:tblCellMar>
        </w:tblPrEx>
        <w:tc>
          <w:tcPr>
            <w:tcW w:w="8848" w:type="dxa"/>
            <w:gridSpan w:val="14"/>
            <w:vAlign w:val="center"/>
          </w:tcPr>
          <w:p w14:paraId="3FAE2BE4">
            <w:pPr>
              <w:jc w:val="center"/>
            </w:pPr>
            <w:r>
              <w:rPr>
                <w:rFonts w:ascii="宋体" w:hAnsi="宋体" w:eastAsia="宋体"/>
                <w:sz w:val="24"/>
              </w:rPr>
              <w:t>(2024年度)</w:t>
            </w:r>
          </w:p>
        </w:tc>
      </w:tr>
      <w:tr w14:paraId="1E490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A1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366E41">
            <w:pPr>
              <w:jc w:val="center"/>
            </w:pPr>
            <w:r>
              <w:rPr>
                <w:rFonts w:ascii="宋体" w:hAnsi="宋体" w:eastAsia="宋体"/>
                <w:sz w:val="16"/>
              </w:rPr>
              <w:t>自治区农业生产发展资金项目（农产品质量安全）</w:t>
            </w:r>
          </w:p>
        </w:tc>
      </w:tr>
      <w:tr w14:paraId="512AD1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37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C2FF9">
            <w:pPr>
              <w:jc w:val="center"/>
            </w:pPr>
            <w:r>
              <w:rPr>
                <w:rFonts w:ascii="宋体" w:hAnsi="宋体" w:eastAsia="宋体"/>
                <w:sz w:val="16"/>
              </w:rPr>
              <w:t>喀什地区农业综合行政执法支队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CD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96467">
            <w:pPr>
              <w:jc w:val="center"/>
            </w:pPr>
            <w:r>
              <w:rPr>
                <w:rFonts w:ascii="宋体" w:hAnsi="宋体" w:eastAsia="宋体"/>
                <w:sz w:val="16"/>
              </w:rPr>
              <w:t>喀什地区农业综合行政执法支队</w:t>
            </w:r>
          </w:p>
        </w:tc>
      </w:tr>
      <w:tr w14:paraId="43E991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7AB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274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02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ACA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FE3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4AE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590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3CF3">
            <w:pPr>
              <w:jc w:val="center"/>
            </w:pPr>
            <w:r>
              <w:rPr>
                <w:rFonts w:ascii="宋体" w:hAnsi="宋体" w:eastAsia="宋体"/>
                <w:sz w:val="16"/>
              </w:rPr>
              <w:t>得分</w:t>
            </w:r>
          </w:p>
        </w:tc>
      </w:tr>
      <w:tr w14:paraId="02B7E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D14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E76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9E2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196D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134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52E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732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5E06">
            <w:pPr>
              <w:jc w:val="center"/>
            </w:pPr>
            <w:r>
              <w:rPr>
                <w:rFonts w:ascii="宋体" w:hAnsi="宋体" w:eastAsia="宋体"/>
                <w:sz w:val="16"/>
              </w:rPr>
              <w:t>10.00分</w:t>
            </w:r>
          </w:p>
        </w:tc>
      </w:tr>
      <w:tr w14:paraId="3065F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1E3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97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42E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A84E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C8AD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9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A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8F17">
            <w:pPr>
              <w:jc w:val="center"/>
            </w:pPr>
            <w:r>
              <w:rPr>
                <w:rFonts w:ascii="宋体" w:hAnsi="宋体" w:eastAsia="宋体"/>
                <w:sz w:val="16"/>
              </w:rPr>
              <w:t>—</w:t>
            </w:r>
          </w:p>
        </w:tc>
      </w:tr>
      <w:tr w14:paraId="7FBF1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802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92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3D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FAA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3E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282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9D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EF0D">
            <w:pPr>
              <w:jc w:val="center"/>
            </w:pPr>
            <w:r>
              <w:rPr>
                <w:rFonts w:ascii="宋体" w:hAnsi="宋体" w:eastAsia="宋体"/>
                <w:sz w:val="16"/>
              </w:rPr>
              <w:t>—</w:t>
            </w:r>
          </w:p>
        </w:tc>
      </w:tr>
      <w:tr w14:paraId="4F7A78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2EE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672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E2795">
            <w:pPr>
              <w:jc w:val="center"/>
            </w:pPr>
            <w:r>
              <w:rPr>
                <w:rFonts w:ascii="宋体" w:hAnsi="宋体" w:eastAsia="宋体"/>
                <w:sz w:val="16"/>
              </w:rPr>
              <w:t>实际完成情况</w:t>
            </w:r>
          </w:p>
        </w:tc>
      </w:tr>
      <w:tr w14:paraId="374BB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839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C24DD">
            <w:pPr>
              <w:jc w:val="both"/>
            </w:pPr>
            <w:r>
              <w:rPr>
                <w:rFonts w:ascii="宋体" w:hAnsi="宋体" w:eastAsia="宋体"/>
                <w:sz w:val="16"/>
              </w:rPr>
              <w:t>喀什地区农业综合行政执法支队聚焦农畜水产品领域农兽药残留超标、禁限用等突出问题，开展农产品质量安全监督检查、监督抽样、专项行动、“以案释法”宣传、实施检打联动，依法严厉打击生产销售有毒有害、不符合质量安全标准的农产品等违法行为，组织开展行政执法人员培训，提升执法办案质量，确保喀什地区农产品质量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0EE84">
            <w:pPr>
              <w:jc w:val="both"/>
            </w:pPr>
            <w:r>
              <w:rPr>
                <w:rFonts w:ascii="宋体" w:hAnsi="宋体" w:eastAsia="宋体"/>
                <w:sz w:val="16"/>
              </w:rPr>
              <w:t>喀什地区农业综合行政执法支队聚焦农畜水产品领域农兽药残留超标、禁限用等突出问题，开展农产品质量安全监督检查、监督抽样、“治违禁、控药残、促提升”专项行动、“以案释法”普法宣传，实施检打联动，依法严厉打击生产销售有毒有害或不符合质量安全标准的农产品、非法添加违禁物质等违法行为；邀请农产品质量安全执法专家对喀什地区执法人员进行培训，并选派优秀执法骨干参加自治区或省外农产品质量安全执法能力提升培训，提升执法人员办案能力，提高依法行政的能力和水平，提高案件质量，确保人民群众“舌尖上的安全”。</w:t>
            </w:r>
          </w:p>
        </w:tc>
      </w:tr>
      <w:tr w14:paraId="10D3C9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B33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D2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3D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57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4A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C9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AB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D7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1A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57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A8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29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53658">
            <w:pPr>
              <w:jc w:val="center"/>
            </w:pPr>
            <w:r>
              <w:rPr>
                <w:rFonts w:ascii="宋体" w:hAnsi="宋体" w:eastAsia="宋体"/>
                <w:sz w:val="16"/>
              </w:rPr>
              <w:t>偏差原因分析及改进措施</w:t>
            </w:r>
          </w:p>
        </w:tc>
      </w:tr>
      <w:tr w14:paraId="21838B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A89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465D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F2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01A9">
            <w:pPr>
              <w:jc w:val="center"/>
            </w:pPr>
            <w:r>
              <w:rPr>
                <w:rFonts w:ascii="宋体" w:hAnsi="宋体" w:eastAsia="宋体"/>
                <w:sz w:val="16"/>
              </w:rPr>
              <w:t>专项行动开展次数（次）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F5E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C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D2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8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B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A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851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B5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83430">
            <w:pPr>
              <w:jc w:val="center"/>
            </w:pPr>
          </w:p>
        </w:tc>
      </w:tr>
      <w:tr w14:paraId="7EA9A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2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4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DB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3DDD">
            <w:pPr>
              <w:jc w:val="center"/>
            </w:pPr>
            <w:r>
              <w:rPr>
                <w:rFonts w:ascii="宋体" w:hAnsi="宋体" w:eastAsia="宋体"/>
                <w:sz w:val="16"/>
              </w:rPr>
              <w:t>监督抽检不合格农产品处理率（%）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5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D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A0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E3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4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AA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8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9C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6477">
            <w:pPr>
              <w:jc w:val="center"/>
            </w:pPr>
          </w:p>
        </w:tc>
      </w:tr>
      <w:tr w14:paraId="3AD0D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C9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A7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148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3412">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75F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7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F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A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5E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A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A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C325">
            <w:pPr>
              <w:jc w:val="center"/>
            </w:pPr>
          </w:p>
        </w:tc>
      </w:tr>
      <w:tr w14:paraId="0DF5B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C5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A4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BF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5C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372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5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9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F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1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6C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6EF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1D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E53E">
            <w:pPr>
              <w:jc w:val="center"/>
            </w:pPr>
          </w:p>
        </w:tc>
      </w:tr>
      <w:tr w14:paraId="46B94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63E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240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348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575E">
            <w:pPr>
              <w:jc w:val="center"/>
            </w:pPr>
            <w:r>
              <w:rPr>
                <w:rFonts w:ascii="宋体" w:hAnsi="宋体" w:eastAsia="宋体"/>
                <w:sz w:val="16"/>
              </w:rPr>
              <w:t>办公、印刷费成本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023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8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AD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5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B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C1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837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31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10627">
            <w:pPr>
              <w:jc w:val="center"/>
            </w:pPr>
          </w:p>
        </w:tc>
      </w:tr>
      <w:tr w14:paraId="5B781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21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77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C7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49B9">
            <w:pPr>
              <w:jc w:val="center"/>
            </w:pPr>
            <w:r>
              <w:rPr>
                <w:rFonts w:ascii="宋体" w:hAnsi="宋体" w:eastAsia="宋体"/>
                <w:sz w:val="16"/>
              </w:rPr>
              <w:t>差旅、交通及其他业务成本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E2DB">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7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D9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9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4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FE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5D91">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21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D9FE0">
            <w:pPr>
              <w:jc w:val="center"/>
            </w:pPr>
          </w:p>
        </w:tc>
      </w:tr>
      <w:tr w14:paraId="5CD45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C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46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9E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2CB7">
            <w:pPr>
              <w:jc w:val="center"/>
            </w:pPr>
            <w:r>
              <w:rPr>
                <w:rFonts w:ascii="宋体" w:hAnsi="宋体" w:eastAsia="宋体"/>
                <w:sz w:val="16"/>
              </w:rPr>
              <w:t>案件信息公示率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1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2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F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FB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2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2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B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EF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3EA7C">
            <w:pPr>
              <w:jc w:val="center"/>
            </w:pPr>
          </w:p>
        </w:tc>
      </w:tr>
      <w:tr w14:paraId="4DD2F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A3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40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8A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6816">
            <w:pPr>
              <w:jc w:val="center"/>
            </w:pPr>
            <w:r>
              <w:rPr>
                <w:rFonts w:ascii="宋体" w:hAnsi="宋体" w:eastAsia="宋体"/>
                <w:sz w:val="16"/>
              </w:rPr>
              <w:t>单位干部职工满意度（%）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2C6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3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D5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E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D6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B6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D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B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883BB">
            <w:pPr>
              <w:jc w:val="center"/>
            </w:pPr>
            <w:r>
              <w:rPr>
                <w:rFonts w:ascii="宋体" w:hAnsi="宋体" w:eastAsia="宋体"/>
                <w:sz w:val="16"/>
              </w:rPr>
              <w:t>偏差原因：项目执法人员依法严厉打击食用农产品质量安全违法行为，全地区累计查办农产品质量安全领域违法案件满意度高；改进措施：参考本年绩效评价结果数据，在下年项目绩效目标设定中，采取的措施以历史数据为依据，加强后期指标设置的精准性。</w:t>
            </w:r>
          </w:p>
        </w:tc>
      </w:tr>
      <w:tr w14:paraId="1D42F6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F00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E3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97A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8FE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BBD39C"/>
        </w:tc>
      </w:tr>
    </w:tbl>
    <w:p w14:paraId="1A9C8634">
      <w:r>
        <w:br w:type="page"/>
      </w:r>
    </w:p>
    <w:p w14:paraId="47C6D92E">
      <w:pPr>
        <w:spacing w:line="640" w:lineRule="exact"/>
        <w:ind w:firstLine="640"/>
        <w:jc w:val="both"/>
        <w:outlineLvl w:val="2"/>
      </w:pPr>
      <w:r>
        <w:rPr>
          <w:rFonts w:ascii="黑体" w:hAnsi="黑体" w:eastAsia="黑体"/>
          <w:sz w:val="32"/>
        </w:rPr>
        <w:t>十二、其他需说明的事项</w:t>
      </w:r>
    </w:p>
    <w:p w14:paraId="5D0D48F8">
      <w:pPr>
        <w:spacing w:line="580" w:lineRule="exact"/>
        <w:ind w:firstLine="640"/>
        <w:jc w:val="both"/>
      </w:pPr>
      <w:r>
        <w:rPr>
          <w:rFonts w:ascii="仿宋_GB2312" w:hAnsi="仿宋_GB2312" w:eastAsia="仿宋_GB2312"/>
          <w:b w:val="0"/>
          <w:sz w:val="32"/>
        </w:rPr>
        <w:t>本年本部门涉密项目1个，全年预算数17.50万元，全年执行数17.50万元。</w:t>
      </w:r>
    </w:p>
    <w:p w14:paraId="793742CC">
      <w:r>
        <w:br w:type="page"/>
      </w:r>
    </w:p>
    <w:p w14:paraId="15109C43">
      <w:pPr>
        <w:spacing w:line="240" w:lineRule="auto"/>
        <w:jc w:val="center"/>
        <w:outlineLvl w:val="1"/>
      </w:pPr>
      <w:r>
        <w:rPr>
          <w:rFonts w:ascii="黑体" w:hAnsi="黑体" w:eastAsia="黑体"/>
          <w:sz w:val="32"/>
        </w:rPr>
        <w:t>第三部分 专业名词解释</w:t>
      </w:r>
    </w:p>
    <w:p w14:paraId="5EBA71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0090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2D39B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BB12DE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1905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CBBCC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B49BC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BC05C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59A26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9102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AB020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19E0D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DEB74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0B55D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25C5B2">
      <w:r>
        <w:br w:type="page"/>
      </w:r>
    </w:p>
    <w:p w14:paraId="44265400">
      <w:pPr>
        <w:spacing w:line="240" w:lineRule="auto"/>
        <w:jc w:val="center"/>
        <w:outlineLvl w:val="1"/>
      </w:pPr>
      <w:r>
        <w:rPr>
          <w:rFonts w:ascii="黑体" w:hAnsi="黑体" w:eastAsia="黑体"/>
          <w:sz w:val="32"/>
        </w:rPr>
        <w:t>第四部分 部门决算报表（见附表）</w:t>
      </w:r>
    </w:p>
    <w:p w14:paraId="6B133E22">
      <w:pPr>
        <w:spacing w:line="240" w:lineRule="auto"/>
        <w:ind w:firstLine="640"/>
        <w:jc w:val="both"/>
      </w:pPr>
      <w:r>
        <w:rPr>
          <w:rFonts w:ascii="仿宋_GB2312" w:hAnsi="仿宋_GB2312" w:eastAsia="仿宋_GB2312"/>
          <w:b w:val="0"/>
          <w:sz w:val="32"/>
        </w:rPr>
        <w:t>一、《收入支出决算总表》</w:t>
      </w:r>
    </w:p>
    <w:p w14:paraId="5F7E2031">
      <w:pPr>
        <w:spacing w:line="240" w:lineRule="auto"/>
        <w:ind w:firstLine="640"/>
        <w:jc w:val="both"/>
      </w:pPr>
      <w:r>
        <w:rPr>
          <w:rFonts w:ascii="仿宋_GB2312" w:hAnsi="仿宋_GB2312" w:eastAsia="仿宋_GB2312"/>
          <w:b w:val="0"/>
          <w:sz w:val="32"/>
        </w:rPr>
        <w:t>二、《收入决算表》</w:t>
      </w:r>
    </w:p>
    <w:p w14:paraId="66DEC894">
      <w:pPr>
        <w:spacing w:line="240" w:lineRule="auto"/>
        <w:ind w:firstLine="640"/>
        <w:jc w:val="both"/>
      </w:pPr>
      <w:r>
        <w:rPr>
          <w:rFonts w:ascii="仿宋_GB2312" w:hAnsi="仿宋_GB2312" w:eastAsia="仿宋_GB2312"/>
          <w:b w:val="0"/>
          <w:sz w:val="32"/>
        </w:rPr>
        <w:t>三、《支出决算表》</w:t>
      </w:r>
    </w:p>
    <w:p w14:paraId="6985688A">
      <w:pPr>
        <w:spacing w:line="240" w:lineRule="auto"/>
        <w:ind w:firstLine="640"/>
        <w:jc w:val="both"/>
      </w:pPr>
      <w:r>
        <w:rPr>
          <w:rFonts w:ascii="仿宋_GB2312" w:hAnsi="仿宋_GB2312" w:eastAsia="仿宋_GB2312"/>
          <w:b w:val="0"/>
          <w:sz w:val="32"/>
        </w:rPr>
        <w:t>四、《财政拨款收入支出决算总表》</w:t>
      </w:r>
    </w:p>
    <w:p w14:paraId="77339F1E">
      <w:pPr>
        <w:spacing w:line="240" w:lineRule="auto"/>
        <w:ind w:firstLine="640"/>
        <w:jc w:val="both"/>
      </w:pPr>
      <w:r>
        <w:rPr>
          <w:rFonts w:ascii="仿宋_GB2312" w:hAnsi="仿宋_GB2312" w:eastAsia="仿宋_GB2312"/>
          <w:b w:val="0"/>
          <w:sz w:val="32"/>
        </w:rPr>
        <w:t>五、《一般公共预算财政拨款支出决算表》</w:t>
      </w:r>
    </w:p>
    <w:p w14:paraId="24CA9604">
      <w:pPr>
        <w:spacing w:line="240" w:lineRule="auto"/>
        <w:ind w:firstLine="640"/>
        <w:jc w:val="both"/>
      </w:pPr>
      <w:r>
        <w:rPr>
          <w:rFonts w:ascii="仿宋_GB2312" w:hAnsi="仿宋_GB2312" w:eastAsia="仿宋_GB2312"/>
          <w:b w:val="0"/>
          <w:sz w:val="32"/>
        </w:rPr>
        <w:t>六、《一般公共预算财政拨款基本支出决算表》</w:t>
      </w:r>
    </w:p>
    <w:p w14:paraId="61D7FC77">
      <w:pPr>
        <w:spacing w:line="240" w:lineRule="auto"/>
        <w:ind w:firstLine="640"/>
        <w:jc w:val="both"/>
      </w:pPr>
      <w:r>
        <w:rPr>
          <w:rFonts w:ascii="仿宋_GB2312" w:hAnsi="仿宋_GB2312" w:eastAsia="仿宋_GB2312"/>
          <w:b w:val="0"/>
          <w:sz w:val="32"/>
        </w:rPr>
        <w:t>七、《政府性基金预算财政拨款收入支出决算表》</w:t>
      </w:r>
    </w:p>
    <w:p w14:paraId="2949B37A">
      <w:pPr>
        <w:spacing w:line="240" w:lineRule="auto"/>
        <w:ind w:firstLine="640"/>
        <w:jc w:val="both"/>
      </w:pPr>
      <w:r>
        <w:rPr>
          <w:rFonts w:ascii="仿宋_GB2312" w:hAnsi="仿宋_GB2312" w:eastAsia="仿宋_GB2312"/>
          <w:b w:val="0"/>
          <w:sz w:val="32"/>
        </w:rPr>
        <w:t>八、《国有资本经营预算财政拨款收入支出决算表》</w:t>
      </w:r>
    </w:p>
    <w:p w14:paraId="56592679">
      <w:pPr>
        <w:spacing w:line="240" w:lineRule="auto"/>
        <w:ind w:firstLine="640"/>
        <w:jc w:val="both"/>
      </w:pPr>
      <w:r>
        <w:rPr>
          <w:rFonts w:ascii="仿宋_GB2312" w:hAnsi="仿宋_GB2312" w:eastAsia="仿宋_GB2312"/>
          <w:b w:val="0"/>
          <w:sz w:val="32"/>
        </w:rPr>
        <w:t>九、《财政拨款“三公”经费支出决算表》</w:t>
      </w:r>
    </w:p>
    <w:p w14:paraId="040144AA">
      <w:pPr>
        <w:spacing w:line="240" w:lineRule="auto"/>
        <w:ind w:firstLine="640"/>
        <w:jc w:val="both"/>
      </w:pPr>
    </w:p>
    <w:p w14:paraId="282A7508">
      <w:pPr>
        <w:spacing w:line="240" w:lineRule="auto"/>
        <w:ind w:firstLine="640"/>
        <w:jc w:val="both"/>
      </w:pPr>
    </w:p>
    <w:p w14:paraId="2497C10F">
      <w:pPr>
        <w:spacing w:line="240" w:lineRule="auto"/>
        <w:ind w:firstLine="640"/>
        <w:jc w:val="both"/>
      </w:pPr>
    </w:p>
    <w:p w14:paraId="3F8B7775">
      <w:pPr>
        <w:spacing w:line="240" w:lineRule="auto"/>
        <w:ind w:firstLine="640"/>
        <w:jc w:val="both"/>
      </w:pPr>
    </w:p>
    <w:p w14:paraId="4CF7DDE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B71C3D-3DB3-4087-9A31-C2EA60F6C2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7E5919-83BD-4BE7-B3EE-CE19D58752D5}"/>
  </w:font>
  <w:font w:name="仿宋_GB2312">
    <w:altName w:val="仿宋"/>
    <w:panose1 w:val="02010609030101010101"/>
    <w:charset w:val="86"/>
    <w:family w:val="modern"/>
    <w:pitch w:val="default"/>
    <w:sig w:usb0="00000000" w:usb1="00000000" w:usb2="00000000" w:usb3="00000000" w:csb0="00040000" w:csb1="00000000"/>
    <w:embedRegular r:id="rId3" w:fontKey="{B40F7A00-78F4-43CC-AFCA-F6BB3E9B2B71}"/>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05E29C9A-2A0D-409C-8029-6BB376E8F57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D702BC"/>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8E122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5448</Words>
  <Characters>6172</Characters>
  <Lines>0</Lines>
  <Paragraphs>0</Paragraphs>
  <TotalTime>9</TotalTime>
  <ScaleCrop>false</ScaleCrop>
  <LinksUpToDate>false</LinksUpToDate>
  <CharactersWithSpaces>6180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