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喀什地区农产品质量安全农作物种子质量监督综合检验检测中心2024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0EBCAE">
      <w:r>
        <w:br w:type="page"/>
      </w:r>
    </w:p>
    <w:p w14:paraId="360BD68B">
      <w:pPr>
        <w:spacing w:line="640" w:lineRule="exact"/>
        <w:jc w:val="center"/>
        <w:outlineLvl w:val="1"/>
      </w:pPr>
      <w:r>
        <w:rPr>
          <w:rFonts w:ascii="黑体" w:hAnsi="黑体" w:eastAsia="黑体"/>
          <w:sz w:val="32"/>
        </w:rPr>
        <w:t>第一部分 部门概况</w:t>
      </w:r>
    </w:p>
    <w:p w14:paraId="179DADE7">
      <w:pPr>
        <w:spacing w:line="640" w:lineRule="exact"/>
        <w:ind w:firstLine="640"/>
        <w:jc w:val="both"/>
        <w:outlineLvl w:val="2"/>
      </w:pPr>
      <w:r>
        <w:rPr>
          <w:rFonts w:ascii="黑体" w:hAnsi="黑体" w:eastAsia="黑体"/>
          <w:sz w:val="32"/>
        </w:rPr>
        <w:t>一、主要职能</w:t>
      </w:r>
    </w:p>
    <w:p w14:paraId="318D3D08">
      <w:pPr>
        <w:spacing w:line="580" w:lineRule="exact"/>
        <w:ind w:firstLine="640"/>
        <w:jc w:val="both"/>
      </w:pPr>
      <w:r>
        <w:rPr>
          <w:rFonts w:ascii="仿宋_GB2312" w:hAnsi="仿宋_GB2312" w:eastAsia="仿宋_GB2312"/>
          <w:sz w:val="32"/>
        </w:rPr>
        <w:t>承担农产品质量安全政策法规、规划标准的研究工作:承担农产品质量安全标准体系、检验检测体系、追溯体系等支撑保障;参与“三品一标”产品质量跟踪;开展绿色食品标志许可、农产品地理标志等级保护初审;指导全程质量控制技术示范创建和绿色食品、有机农产品、地理标志农产品生态基地建设。承担农药生产、经营许可等技术指导服务工作;承担农业投入品产品质量安全检验、风险监测与评价:承担农药信息统计数据采集、分析工作;承担农药登记试验备案及相关检查等工作;开展农药检定和农产品质量安全检验检测体系建设技术指导和咨询服务;承担农业投入品质量安全检测标准及行业规范的研究工作，协助做好农药登记相关工作。承担农作物种子检验检测。</w:t>
      </w:r>
    </w:p>
    <w:p w14:paraId="76DCB6DB">
      <w:pPr>
        <w:spacing w:line="640" w:lineRule="exact"/>
        <w:ind w:firstLine="640"/>
        <w:jc w:val="both"/>
        <w:outlineLvl w:val="2"/>
      </w:pPr>
      <w:r>
        <w:rPr>
          <w:rFonts w:ascii="黑体" w:hAnsi="黑体" w:eastAsia="黑体"/>
          <w:sz w:val="32"/>
        </w:rPr>
        <w:t>二、机构设置及人员情况</w:t>
      </w:r>
    </w:p>
    <w:p w14:paraId="499D4934">
      <w:pPr>
        <w:spacing w:line="580" w:lineRule="exact"/>
        <w:ind w:firstLine="640"/>
        <w:jc w:val="both"/>
      </w:pPr>
      <w:r>
        <w:rPr>
          <w:rFonts w:ascii="仿宋_GB2312" w:hAnsi="仿宋_GB2312" w:eastAsia="仿宋_GB2312"/>
          <w:sz w:val="32"/>
        </w:rPr>
        <w:t>喀什地区农产品质量安全农作物种子质量监督综合检验检测中心2024年度，实有人数23人，其中：在职人员16人，增加0人；离休人员0人，增加0人；退休人员7人,增加1人。</w:t>
      </w:r>
    </w:p>
    <w:p w14:paraId="2F24DF85">
      <w:pPr>
        <w:spacing w:line="580" w:lineRule="exact"/>
        <w:ind w:firstLine="640"/>
        <w:jc w:val="both"/>
      </w:pPr>
      <w:r>
        <w:rPr>
          <w:rFonts w:ascii="仿宋_GB2312" w:hAnsi="仿宋_GB2312" w:eastAsia="仿宋_GB2312"/>
          <w:sz w:val="32"/>
        </w:rPr>
        <w:t>喀什地区农产品质量安全农作物种子质量监督综合检验检测中心无下属预算单位，下设2个科室，分别是：检验室、业务室。</w:t>
      </w:r>
    </w:p>
    <w:p w14:paraId="24F46DB5">
      <w:r>
        <w:br w:type="page"/>
      </w:r>
    </w:p>
    <w:p w14:paraId="58861C9E">
      <w:pPr>
        <w:spacing w:line="240" w:lineRule="auto"/>
        <w:jc w:val="center"/>
        <w:outlineLvl w:val="1"/>
      </w:pPr>
      <w:r>
        <w:rPr>
          <w:rFonts w:ascii="黑体" w:hAnsi="黑体" w:eastAsia="黑体"/>
          <w:sz w:val="32"/>
        </w:rPr>
        <w:t>第二部分 部门决算情况说明</w:t>
      </w:r>
    </w:p>
    <w:p w14:paraId="1D0CEFE0">
      <w:pPr>
        <w:spacing w:line="640" w:lineRule="exact"/>
        <w:ind w:firstLine="640"/>
        <w:jc w:val="both"/>
        <w:outlineLvl w:val="2"/>
      </w:pPr>
      <w:r>
        <w:rPr>
          <w:rFonts w:ascii="黑体" w:hAnsi="黑体" w:eastAsia="黑体"/>
          <w:sz w:val="32"/>
        </w:rPr>
        <w:t>一、收入支出决算总体情况说明</w:t>
      </w:r>
    </w:p>
    <w:p w14:paraId="6AFD8A40">
      <w:pPr>
        <w:spacing w:line="580" w:lineRule="exact"/>
        <w:ind w:firstLine="640"/>
        <w:jc w:val="both"/>
      </w:pPr>
      <w:r>
        <w:rPr>
          <w:rFonts w:ascii="仿宋_GB2312" w:hAnsi="仿宋_GB2312" w:eastAsia="仿宋_GB2312"/>
          <w:b/>
          <w:sz w:val="32"/>
        </w:rPr>
        <w:t>2024年度收入总计1,019.94万元，</w:t>
      </w:r>
      <w:r>
        <w:rPr>
          <w:rFonts w:ascii="仿宋_GB2312" w:hAnsi="仿宋_GB2312" w:eastAsia="仿宋_GB2312"/>
          <w:b w:val="0"/>
          <w:sz w:val="32"/>
        </w:rPr>
        <w:t>其中：本年收入合计1,019.94万元，使用非财政拨款结余（含专用结余）0.00万元，年初结转和结余0.00万元。</w:t>
      </w:r>
    </w:p>
    <w:p w14:paraId="64DF6B22">
      <w:pPr>
        <w:spacing w:line="580" w:lineRule="exact"/>
        <w:ind w:firstLine="640"/>
        <w:jc w:val="both"/>
      </w:pPr>
      <w:r>
        <w:rPr>
          <w:rFonts w:ascii="仿宋_GB2312" w:hAnsi="仿宋_GB2312" w:eastAsia="仿宋_GB2312"/>
          <w:b/>
          <w:sz w:val="32"/>
        </w:rPr>
        <w:t>2024年度支出总计1,019.94万元，</w:t>
      </w:r>
      <w:r>
        <w:rPr>
          <w:rFonts w:ascii="仿宋_GB2312" w:hAnsi="仿宋_GB2312" w:eastAsia="仿宋_GB2312"/>
          <w:b w:val="0"/>
          <w:sz w:val="32"/>
        </w:rPr>
        <w:t>其中：本年支出合计1,019.94万元，结余分配0.00万元，年末结转和结余0.00万元。</w:t>
      </w:r>
    </w:p>
    <w:p w14:paraId="05528D1D">
      <w:pPr>
        <w:spacing w:line="580" w:lineRule="exact"/>
        <w:ind w:firstLine="640"/>
        <w:jc w:val="both"/>
      </w:pPr>
      <w:r>
        <w:rPr>
          <w:rFonts w:ascii="仿宋_GB2312" w:hAnsi="仿宋_GB2312" w:eastAsia="仿宋_GB2312"/>
          <w:b w:val="0"/>
          <w:sz w:val="32"/>
        </w:rPr>
        <w:t>收入支出总体与上年相比，增加633.44万元，增长163.89%，主要原因是：1.本年在职人员工资调增，社保、公积金基数调增，人员经费增加；2.本年专项经费增加、2024年农产品质量安全项目、2024年自治区农产品质量安全奖补资金项目、地区农产品质量检测中心设备购置项目等项目经费增加。</w:t>
      </w:r>
    </w:p>
    <w:p w14:paraId="1CF7FE36">
      <w:pPr>
        <w:spacing w:line="640" w:lineRule="exact"/>
        <w:ind w:firstLine="640"/>
        <w:jc w:val="both"/>
        <w:outlineLvl w:val="2"/>
      </w:pPr>
      <w:r>
        <w:rPr>
          <w:rFonts w:ascii="黑体" w:hAnsi="黑体" w:eastAsia="黑体"/>
          <w:sz w:val="32"/>
        </w:rPr>
        <w:t>二、收入决算情况说明</w:t>
      </w:r>
    </w:p>
    <w:p w14:paraId="02426035">
      <w:pPr>
        <w:spacing w:line="580" w:lineRule="exact"/>
        <w:ind w:firstLine="640"/>
        <w:jc w:val="both"/>
      </w:pPr>
      <w:r>
        <w:rPr>
          <w:rFonts w:ascii="仿宋_GB2312" w:hAnsi="仿宋_GB2312" w:eastAsia="仿宋_GB2312"/>
          <w:b/>
          <w:sz w:val="32"/>
        </w:rPr>
        <w:t>本年收入1,019.94万元，</w:t>
      </w:r>
      <w:r>
        <w:rPr>
          <w:rFonts w:ascii="仿宋_GB2312" w:hAnsi="仿宋_GB2312" w:eastAsia="仿宋_GB2312"/>
          <w:b w:val="0"/>
          <w:sz w:val="32"/>
        </w:rPr>
        <w:t>其中：财政拨款收入1,019.94万元，占100.00%；上级补助收入0.00万元，占0.00%；事业收入0.00万元，占0.00%；经营收入0.00万元，占0.00%；附属单位上缴收入0.00万元，占0.00%；其他收入0.00万元，占0.00%。</w:t>
      </w:r>
    </w:p>
    <w:p w14:paraId="159811F1">
      <w:pPr>
        <w:spacing w:line="640" w:lineRule="exact"/>
        <w:ind w:firstLine="640"/>
        <w:jc w:val="both"/>
        <w:outlineLvl w:val="2"/>
      </w:pPr>
      <w:r>
        <w:rPr>
          <w:rFonts w:ascii="黑体" w:hAnsi="黑体" w:eastAsia="黑体"/>
          <w:sz w:val="32"/>
        </w:rPr>
        <w:t>三、支出决算情况说明</w:t>
      </w:r>
    </w:p>
    <w:p w14:paraId="56F9021D">
      <w:pPr>
        <w:spacing w:line="580" w:lineRule="exact"/>
        <w:ind w:firstLine="640"/>
        <w:jc w:val="both"/>
      </w:pPr>
      <w:r>
        <w:rPr>
          <w:rFonts w:ascii="仿宋_GB2312" w:hAnsi="仿宋_GB2312" w:eastAsia="仿宋_GB2312"/>
          <w:b/>
          <w:sz w:val="32"/>
        </w:rPr>
        <w:t>本年支出1,019.94万元，</w:t>
      </w:r>
      <w:r>
        <w:rPr>
          <w:rFonts w:ascii="仿宋_GB2312" w:hAnsi="仿宋_GB2312" w:eastAsia="仿宋_GB2312"/>
          <w:b w:val="0"/>
          <w:sz w:val="32"/>
        </w:rPr>
        <w:t>其中：基本支出302.75万元，占29.68%；项目支出717.19万元，占70.32%；上缴上级支出0.00万元，占0.00%；经营支出0.00万元，占0.00%；对附属单位补助支出0.00万元，占0.00%。</w:t>
      </w:r>
    </w:p>
    <w:p w14:paraId="78A45769">
      <w:pPr>
        <w:spacing w:line="640" w:lineRule="exact"/>
        <w:ind w:firstLine="640"/>
        <w:jc w:val="both"/>
        <w:outlineLvl w:val="2"/>
      </w:pPr>
      <w:r>
        <w:rPr>
          <w:rFonts w:ascii="黑体" w:hAnsi="黑体" w:eastAsia="黑体"/>
          <w:sz w:val="32"/>
        </w:rPr>
        <w:t>四、财政拨款收入支出决算总体情况说明</w:t>
      </w:r>
    </w:p>
    <w:p w14:paraId="3DBC8B2E">
      <w:pPr>
        <w:spacing w:line="580" w:lineRule="exact"/>
        <w:ind w:firstLine="640"/>
        <w:jc w:val="both"/>
      </w:pPr>
      <w:r>
        <w:rPr>
          <w:rFonts w:ascii="仿宋_GB2312" w:hAnsi="仿宋_GB2312" w:eastAsia="仿宋_GB2312"/>
          <w:b/>
          <w:sz w:val="32"/>
        </w:rPr>
        <w:t>2024年度财政拨款收入总计1,019.94万元，</w:t>
      </w:r>
      <w:r>
        <w:rPr>
          <w:rFonts w:ascii="仿宋_GB2312" w:hAnsi="仿宋_GB2312" w:eastAsia="仿宋_GB2312"/>
          <w:b w:val="0"/>
          <w:sz w:val="32"/>
        </w:rPr>
        <w:t>其中：年初财政拨款结转和结余0.00万元，本年财政拨款收入1,019.94万元。</w:t>
      </w:r>
      <w:r>
        <w:rPr>
          <w:rFonts w:ascii="仿宋_GB2312" w:hAnsi="仿宋_GB2312" w:eastAsia="仿宋_GB2312"/>
          <w:b/>
          <w:sz w:val="32"/>
        </w:rPr>
        <w:t>财政拨款支出总计1,019.94万元，</w:t>
      </w:r>
      <w:r>
        <w:rPr>
          <w:rFonts w:ascii="仿宋_GB2312" w:hAnsi="仿宋_GB2312" w:eastAsia="仿宋_GB2312"/>
          <w:b w:val="0"/>
          <w:sz w:val="32"/>
        </w:rPr>
        <w:t>其中：年末财政拨款结转和结余0.00万元，本年财政拨款支出1,019.94万元。</w:t>
      </w:r>
    </w:p>
    <w:p w14:paraId="20F5E9E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633.44万元，增长163.89%，主要原因是：1.本年在职人员工资调增，社保、公积金基数调增，人员经费增加；2.本年专项经费增加、2024年农产品质量安全项目、2024年自治区农产品质量安全奖补资金项目、地区农产品质量检测中心设备购置项目等项目经费增加。</w:t>
      </w:r>
      <w:r>
        <w:rPr>
          <w:rFonts w:ascii="仿宋_GB2312" w:hAnsi="仿宋_GB2312" w:eastAsia="仿宋_GB2312"/>
          <w:b/>
          <w:sz w:val="32"/>
        </w:rPr>
        <w:t>与年初预算相比，</w:t>
      </w:r>
      <w:r>
        <w:rPr>
          <w:rFonts w:ascii="仿宋_GB2312" w:hAnsi="仿宋_GB2312" w:eastAsia="仿宋_GB2312"/>
          <w:b w:val="0"/>
          <w:sz w:val="32"/>
        </w:rPr>
        <w:t>年初预算数478.74万元，决算数1,019.94万元，预决算差异率113.05%，主要原因是：年中追加2024年农产品质量安全项目、2024年自治区农产品质量安全奖补资金项目、地区农产品质量检测中心设备购置等项目资金，导致预决算存在差异。</w:t>
      </w:r>
    </w:p>
    <w:p w14:paraId="2A608852">
      <w:pPr>
        <w:spacing w:line="640" w:lineRule="exact"/>
        <w:ind w:firstLine="640"/>
        <w:jc w:val="both"/>
        <w:outlineLvl w:val="2"/>
      </w:pPr>
      <w:r>
        <w:rPr>
          <w:rFonts w:ascii="黑体" w:hAnsi="黑体" w:eastAsia="黑体"/>
          <w:sz w:val="32"/>
        </w:rPr>
        <w:t>五、一般公共预算财政拨款支出决算情况说明</w:t>
      </w:r>
    </w:p>
    <w:p w14:paraId="40788F1F">
      <w:pPr>
        <w:spacing w:line="640" w:lineRule="exact"/>
        <w:ind w:firstLine="640"/>
        <w:jc w:val="both"/>
        <w:outlineLvl w:val="3"/>
      </w:pPr>
      <w:r>
        <w:rPr>
          <w:rFonts w:ascii="楷体_GB2312" w:hAnsi="楷体_GB2312" w:eastAsia="楷体_GB2312"/>
          <w:b/>
          <w:sz w:val="32"/>
        </w:rPr>
        <w:t>（一）一般公共预算财政拨款支出决算总体情况</w:t>
      </w:r>
    </w:p>
    <w:p w14:paraId="0E11CEA8">
      <w:pPr>
        <w:spacing w:line="580" w:lineRule="exact"/>
        <w:ind w:firstLine="640"/>
        <w:jc w:val="both"/>
      </w:pPr>
      <w:r>
        <w:rPr>
          <w:rFonts w:ascii="仿宋_GB2312" w:hAnsi="仿宋_GB2312" w:eastAsia="仿宋_GB2312"/>
          <w:b/>
          <w:sz w:val="32"/>
        </w:rPr>
        <w:t>2024年度一般公共预算财政拨款支出1,019.94万元，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633.44万元，增长163.89%，主要原因是：1.本年在职人员工资调增，社保、公积金基数调增，人员经费增加；2.本年专项经费增加、2024年农产品质量安全项目、2024年自治区农产品质量安全奖补资金项目、地区农产品质量检测中心设备购置项目等项目经费增加。</w:t>
      </w:r>
      <w:r>
        <w:rPr>
          <w:rFonts w:ascii="仿宋_GB2312" w:hAnsi="仿宋_GB2312" w:eastAsia="仿宋_GB2312"/>
          <w:b/>
          <w:sz w:val="32"/>
        </w:rPr>
        <w:t>与年初预算相比,</w:t>
      </w:r>
      <w:r>
        <w:rPr>
          <w:rFonts w:ascii="仿宋_GB2312" w:hAnsi="仿宋_GB2312" w:eastAsia="仿宋_GB2312"/>
          <w:b w:val="0"/>
          <w:sz w:val="32"/>
        </w:rPr>
        <w:t>年初预算数478.74万元，决算数1,019.94万元，预决算差异率113.05%，主要原因是：年中追加2024年农产品质量安全项目、2024年自治区农产品质量安全奖补资金项目、地区农产品质量检测中心设备购置等项目资金，导致预决算存在差异。</w:t>
      </w:r>
    </w:p>
    <w:p w14:paraId="1B74BD78">
      <w:pPr>
        <w:spacing w:line="640" w:lineRule="exact"/>
        <w:ind w:firstLine="640"/>
        <w:jc w:val="both"/>
        <w:outlineLvl w:val="3"/>
      </w:pPr>
      <w:r>
        <w:rPr>
          <w:rFonts w:ascii="楷体_GB2312" w:hAnsi="楷体_GB2312" w:eastAsia="楷体_GB2312"/>
          <w:b/>
          <w:sz w:val="32"/>
        </w:rPr>
        <w:t>（二）一般公共预算财政拨款支出决算结构情况</w:t>
      </w:r>
    </w:p>
    <w:p w14:paraId="2F5E204A">
      <w:pPr>
        <w:spacing w:line="580" w:lineRule="exact"/>
        <w:ind w:firstLine="640"/>
        <w:jc w:val="both"/>
      </w:pPr>
      <w:r>
        <w:rPr>
          <w:rFonts w:ascii="仿宋_GB2312" w:hAnsi="仿宋_GB2312" w:eastAsia="仿宋_GB2312"/>
          <w:b w:val="0"/>
          <w:sz w:val="32"/>
        </w:rPr>
        <w:t>1.社会保障和就业支出(类)41.90万元,占4.11%。</w:t>
      </w:r>
    </w:p>
    <w:p w14:paraId="6282E682">
      <w:pPr>
        <w:spacing w:line="580" w:lineRule="exact"/>
        <w:ind w:firstLine="640"/>
        <w:jc w:val="both"/>
      </w:pPr>
      <w:r>
        <w:rPr>
          <w:rFonts w:ascii="仿宋_GB2312" w:hAnsi="仿宋_GB2312" w:eastAsia="仿宋_GB2312"/>
          <w:b w:val="0"/>
          <w:sz w:val="32"/>
        </w:rPr>
        <w:t>2.卫生健康支出(类)15.10万元,占1.48%。</w:t>
      </w:r>
    </w:p>
    <w:p w14:paraId="4C533C36">
      <w:pPr>
        <w:spacing w:line="580" w:lineRule="exact"/>
        <w:ind w:firstLine="640"/>
        <w:jc w:val="both"/>
      </w:pPr>
      <w:r>
        <w:rPr>
          <w:rFonts w:ascii="仿宋_GB2312" w:hAnsi="仿宋_GB2312" w:eastAsia="仿宋_GB2312"/>
          <w:b w:val="0"/>
          <w:sz w:val="32"/>
        </w:rPr>
        <w:t>3.农林水支出(类)939.20万元,占92.08%。</w:t>
      </w:r>
    </w:p>
    <w:p w14:paraId="5CCEB44D">
      <w:pPr>
        <w:spacing w:line="580" w:lineRule="exact"/>
        <w:ind w:firstLine="640"/>
        <w:jc w:val="both"/>
      </w:pPr>
      <w:r>
        <w:rPr>
          <w:rFonts w:ascii="仿宋_GB2312" w:hAnsi="仿宋_GB2312" w:eastAsia="仿宋_GB2312"/>
          <w:b w:val="0"/>
          <w:sz w:val="32"/>
        </w:rPr>
        <w:t>4.住房保障支出(类)23.74万元,占2.33%。</w:t>
      </w:r>
    </w:p>
    <w:p w14:paraId="5ED9107B">
      <w:pPr>
        <w:spacing w:line="640" w:lineRule="exact"/>
        <w:ind w:firstLine="640"/>
        <w:jc w:val="both"/>
        <w:outlineLvl w:val="3"/>
      </w:pPr>
      <w:r>
        <w:rPr>
          <w:rFonts w:ascii="楷体_GB2312" w:hAnsi="楷体_GB2312" w:eastAsia="楷体_GB2312"/>
          <w:b/>
          <w:sz w:val="32"/>
        </w:rPr>
        <w:t>（三）一般公共预算财政拨款支出决算具体情况</w:t>
      </w:r>
    </w:p>
    <w:p w14:paraId="520DA6B1">
      <w:pPr>
        <w:spacing w:line="580" w:lineRule="exact"/>
        <w:ind w:firstLine="640"/>
        <w:jc w:val="both"/>
      </w:pPr>
      <w:r>
        <w:rPr>
          <w:rFonts w:ascii="仿宋_GB2312" w:hAnsi="仿宋_GB2312" w:eastAsia="仿宋_GB2312"/>
          <w:b w:val="0"/>
          <w:sz w:val="32"/>
        </w:rPr>
        <w:t>1.一般公共服务支出(类)其他一般公共服务支出(款)其他一般公共服务支出(项):支出决算数为0.00万元，比上年决算减少0.20万元，下降100.00%,主要原因是：本年功能科目调整，退休干部党员教育经费上年度在其他一般公共服务支出列支、本年调整至行政单位离退休科目列支，导致经费较上年减少。</w:t>
      </w:r>
    </w:p>
    <w:p w14:paraId="58D5584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9.87万元，比上年决算增加3.41万元，增长52.79%,主要原因是：2023年12月在职1人转退休，退休费增加、退休人员绩效奖增加，导致退休费支出较上年增加。</w:t>
      </w:r>
    </w:p>
    <w:p w14:paraId="7B293D1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27.90万元，比上年决算增加1.78万元，增长6.81%,主要原因是：本年在职人员工资基数调增，养老缴费基数上涨，相应支出增加。</w:t>
      </w:r>
    </w:p>
    <w:p w14:paraId="5E967CF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4.13万元，比上年决算减少3.44万元，下降45.44%,主要原因是：本年新增退休人员较上年减少，职业年金缴费较上年减少。</w:t>
      </w:r>
    </w:p>
    <w:p w14:paraId="106FE129">
      <w:pPr>
        <w:spacing w:line="580" w:lineRule="exact"/>
        <w:ind w:firstLine="640"/>
        <w:jc w:val="both"/>
      </w:pPr>
      <w:r>
        <w:rPr>
          <w:rFonts w:ascii="仿宋_GB2312" w:hAnsi="仿宋_GB2312" w:eastAsia="仿宋_GB2312"/>
          <w:b w:val="0"/>
          <w:sz w:val="32"/>
        </w:rPr>
        <w:t>5.卫生健康支出(类)行政事业单位医疗(款)行政单位医疗(项):支出决算数为11.86万元，比上年决算增加0.79万元，增长7.14%,主要原因是：本年在职人员工资基数调增，医疗缴费基数上涨，相应支出增加。</w:t>
      </w:r>
    </w:p>
    <w:p w14:paraId="4E65E5FD">
      <w:pPr>
        <w:spacing w:line="580" w:lineRule="exact"/>
        <w:ind w:firstLine="640"/>
        <w:jc w:val="both"/>
      </w:pPr>
      <w:r>
        <w:rPr>
          <w:rFonts w:ascii="仿宋_GB2312" w:hAnsi="仿宋_GB2312" w:eastAsia="仿宋_GB2312"/>
          <w:b w:val="0"/>
          <w:sz w:val="32"/>
        </w:rPr>
        <w:t>6.卫生健康支出(类)行政事业单位医疗(款)公务员医疗补助(项):支出决算数为3.24万元，比上年决算增加0.20万元，增长6.58%,主要原因是：本年在职人员工资基数调增，公务员医疗补助缴费基数上涨，相应支出增加。</w:t>
      </w:r>
    </w:p>
    <w:p w14:paraId="5503BD16">
      <w:pPr>
        <w:spacing w:line="580" w:lineRule="exact"/>
        <w:ind w:firstLine="640"/>
        <w:jc w:val="both"/>
      </w:pPr>
      <w:r>
        <w:rPr>
          <w:rFonts w:ascii="仿宋_GB2312" w:hAnsi="仿宋_GB2312" w:eastAsia="仿宋_GB2312"/>
          <w:b w:val="0"/>
          <w:sz w:val="32"/>
        </w:rPr>
        <w:t>7.农林水支出(类)农业农村(款)行政运行(项):支出决算数为222.01万元，比上年决算增加11.09万元，增长5.26%,主要原因是：本年在职人员工资调增，导致相关人员经费较上年有所增加。</w:t>
      </w:r>
    </w:p>
    <w:p w14:paraId="5DDF2A1B">
      <w:pPr>
        <w:spacing w:line="580" w:lineRule="exact"/>
        <w:ind w:firstLine="640"/>
        <w:jc w:val="both"/>
      </w:pPr>
      <w:r>
        <w:rPr>
          <w:rFonts w:ascii="仿宋_GB2312" w:hAnsi="仿宋_GB2312" w:eastAsia="仿宋_GB2312"/>
          <w:b w:val="0"/>
          <w:sz w:val="32"/>
        </w:rPr>
        <w:t>8.农林水支出(类)农业农村(款)一般行政管理事务(项):支出决算数为657.80万元，比上年决算增加558.20万元，增长560.44%,主要原因是：本年增加喀什地区农产品质量安全检验检测项目、地区农产品质量检测中心设备购置项目，导致相关经费较上年有所增加。</w:t>
      </w:r>
    </w:p>
    <w:p w14:paraId="4FF1E93B">
      <w:pPr>
        <w:spacing w:line="580" w:lineRule="exact"/>
        <w:ind w:firstLine="640"/>
        <w:jc w:val="both"/>
      </w:pPr>
      <w:r>
        <w:rPr>
          <w:rFonts w:ascii="仿宋_GB2312" w:hAnsi="仿宋_GB2312" w:eastAsia="仿宋_GB2312"/>
          <w:b w:val="0"/>
          <w:sz w:val="32"/>
        </w:rPr>
        <w:t>9.农林水支出(类)农业农村(款)农产品质量安全(项):支出决算数为59.39万元，比上年决算增加59.39万元，增长100.00%,主要原因是：本年增加2024年农产品质量安全项目、2024年自治区农产品质量安全奖补资金项目、导致相关经费较上年有所增加。</w:t>
      </w:r>
    </w:p>
    <w:p w14:paraId="3C1548CC">
      <w:pPr>
        <w:spacing w:line="580" w:lineRule="exact"/>
        <w:ind w:firstLine="640"/>
        <w:jc w:val="both"/>
      </w:pPr>
      <w:r>
        <w:rPr>
          <w:rFonts w:ascii="仿宋_GB2312" w:hAnsi="仿宋_GB2312" w:eastAsia="仿宋_GB2312"/>
          <w:b w:val="0"/>
          <w:sz w:val="32"/>
        </w:rPr>
        <w:t>10.住房保障支出(类)住房改革支出(款)住房公积金(项):支出决算数为23.74万元，比上年决算增加2.23万元，增长10.37%,主要原因是：本年在职人员工资基数调增，公积金缴费基数上涨，相应支出增加。</w:t>
      </w:r>
    </w:p>
    <w:p w14:paraId="067CAADE">
      <w:pPr>
        <w:spacing w:line="640" w:lineRule="exact"/>
        <w:ind w:firstLine="640"/>
        <w:jc w:val="both"/>
        <w:outlineLvl w:val="2"/>
      </w:pPr>
      <w:r>
        <w:rPr>
          <w:rFonts w:ascii="黑体" w:hAnsi="黑体" w:eastAsia="黑体"/>
          <w:sz w:val="32"/>
        </w:rPr>
        <w:t>六、一般公共预算财政拨款基本支出决算情况说明</w:t>
      </w:r>
    </w:p>
    <w:p w14:paraId="71DA905D">
      <w:pPr>
        <w:spacing w:line="580" w:lineRule="exact"/>
        <w:ind w:firstLine="640"/>
        <w:jc w:val="both"/>
      </w:pPr>
      <w:r>
        <w:rPr>
          <w:rFonts w:ascii="仿宋_GB2312" w:hAnsi="仿宋_GB2312" w:eastAsia="仿宋_GB2312"/>
          <w:b w:val="0"/>
          <w:sz w:val="32"/>
        </w:rPr>
        <w:t>2024年度一般公共预算财政拨款基本支出302.75万元，其中：</w:t>
      </w:r>
      <w:r>
        <w:rPr>
          <w:rFonts w:ascii="仿宋_GB2312" w:hAnsi="仿宋_GB2312" w:eastAsia="仿宋_GB2312"/>
          <w:b/>
          <w:sz w:val="32"/>
        </w:rPr>
        <w:t>人员经费282.21万元，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14:paraId="5112B168">
      <w:pPr>
        <w:spacing w:line="580" w:lineRule="exact"/>
        <w:ind w:firstLine="640"/>
        <w:jc w:val="both"/>
      </w:pPr>
      <w:r>
        <w:rPr>
          <w:rFonts w:ascii="仿宋_GB2312" w:hAnsi="仿宋_GB2312" w:eastAsia="仿宋_GB2312"/>
          <w:b/>
          <w:sz w:val="32"/>
        </w:rPr>
        <w:t>公用经费20.54万元，</w:t>
      </w:r>
      <w:r>
        <w:rPr>
          <w:rFonts w:ascii="仿宋_GB2312" w:hAnsi="仿宋_GB2312" w:eastAsia="仿宋_GB2312"/>
          <w:b w:val="0"/>
          <w:sz w:val="32"/>
        </w:rPr>
        <w:t>包括：办公费、手续费、水费、电费、邮电费、物业管理费、差旅费、专用材料费、工会经费、其他交通费用、其他商品和服务支出。</w:t>
      </w:r>
    </w:p>
    <w:p w14:paraId="68EB9EDA">
      <w:pPr>
        <w:spacing w:line="640" w:lineRule="exact"/>
        <w:ind w:firstLine="640"/>
        <w:jc w:val="both"/>
        <w:outlineLvl w:val="2"/>
      </w:pPr>
      <w:r>
        <w:rPr>
          <w:rFonts w:ascii="黑体" w:hAnsi="黑体" w:eastAsia="黑体"/>
          <w:sz w:val="32"/>
        </w:rPr>
        <w:t>七、政府性基金预算财政拨款收入支出决算情况说明</w:t>
      </w:r>
    </w:p>
    <w:p w14:paraId="44639DA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5AE0E32">
      <w:pPr>
        <w:spacing w:line="640" w:lineRule="exact"/>
        <w:ind w:firstLine="640"/>
        <w:jc w:val="both"/>
        <w:outlineLvl w:val="2"/>
      </w:pPr>
      <w:r>
        <w:rPr>
          <w:rFonts w:ascii="黑体" w:hAnsi="黑体" w:eastAsia="黑体"/>
          <w:sz w:val="32"/>
        </w:rPr>
        <w:t>八、国有资本经营预算财政拨款收入支出决算情况说明</w:t>
      </w:r>
    </w:p>
    <w:p w14:paraId="6F18E52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FABAB20">
      <w:pPr>
        <w:spacing w:line="640" w:lineRule="exact"/>
        <w:ind w:firstLine="640"/>
        <w:jc w:val="both"/>
        <w:outlineLvl w:val="2"/>
      </w:pPr>
      <w:r>
        <w:rPr>
          <w:rFonts w:ascii="黑体" w:hAnsi="黑体" w:eastAsia="黑体"/>
          <w:sz w:val="32"/>
        </w:rPr>
        <w:t>九、财政拨款“三公”经费支出决算情况说明</w:t>
      </w:r>
    </w:p>
    <w:p w14:paraId="3C5D767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83CCCEE">
      <w:pPr>
        <w:spacing w:line="580" w:lineRule="exact"/>
        <w:ind w:firstLine="640"/>
        <w:jc w:val="both"/>
      </w:pPr>
      <w:r>
        <w:rPr>
          <w:rFonts w:ascii="仿宋_GB2312" w:hAnsi="仿宋_GB2312" w:eastAsia="仿宋_GB2312"/>
          <w:b/>
          <w:sz w:val="32"/>
        </w:rPr>
        <w:t>具体情况如下：</w:t>
      </w:r>
    </w:p>
    <w:p w14:paraId="4BEBBE8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BA1AA3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6533A48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7D6D83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5CE9A31B">
      <w:pPr>
        <w:spacing w:line="640" w:lineRule="exact"/>
        <w:ind w:firstLine="640"/>
        <w:jc w:val="both"/>
        <w:outlineLvl w:val="2"/>
      </w:pPr>
      <w:r>
        <w:rPr>
          <w:rFonts w:ascii="黑体" w:hAnsi="黑体" w:eastAsia="黑体"/>
          <w:sz w:val="32"/>
        </w:rPr>
        <w:t>十、其他重要事项的情况说明</w:t>
      </w:r>
    </w:p>
    <w:p w14:paraId="4E32306E">
      <w:pPr>
        <w:spacing w:line="640" w:lineRule="exact"/>
        <w:ind w:firstLine="640"/>
        <w:jc w:val="both"/>
        <w:outlineLvl w:val="3"/>
      </w:pPr>
      <w:r>
        <w:rPr>
          <w:rFonts w:ascii="楷体_GB2312" w:hAnsi="楷体_GB2312" w:eastAsia="楷体_GB2312"/>
          <w:b/>
          <w:sz w:val="32"/>
        </w:rPr>
        <w:t>（一）机关运行经费及公用经费支出情况</w:t>
      </w:r>
    </w:p>
    <w:p w14:paraId="2EECC3D0">
      <w:pPr>
        <w:spacing w:line="580" w:lineRule="exact"/>
        <w:ind w:firstLine="640"/>
        <w:jc w:val="both"/>
      </w:pPr>
      <w:r>
        <w:rPr>
          <w:rFonts w:ascii="仿宋_GB2312" w:hAnsi="仿宋_GB2312" w:eastAsia="仿宋_GB2312"/>
          <w:b w:val="0"/>
          <w:sz w:val="32"/>
        </w:rPr>
        <w:t>2024年度喀什地区农产品质量安全农作物种子质量监督综合检验检测中心（行政单位和参照公务员法管理事业单位）机关运行经费支出20.54万元，比上年增加12.26万元，增长148.07%，主要原因是：本年办公费、差旅费较上年增加，导致机关运行经费支出增加。</w:t>
      </w:r>
    </w:p>
    <w:p w14:paraId="475CE819">
      <w:pPr>
        <w:spacing w:line="640" w:lineRule="exact"/>
        <w:ind w:firstLine="640"/>
        <w:jc w:val="both"/>
        <w:outlineLvl w:val="3"/>
      </w:pPr>
      <w:r>
        <w:rPr>
          <w:rFonts w:ascii="楷体_GB2312" w:hAnsi="楷体_GB2312" w:eastAsia="楷体_GB2312"/>
          <w:b/>
          <w:sz w:val="32"/>
        </w:rPr>
        <w:t>（二）政府采购情况</w:t>
      </w:r>
    </w:p>
    <w:p w14:paraId="094100C3">
      <w:pPr>
        <w:spacing w:line="580" w:lineRule="exact"/>
        <w:ind w:firstLine="640"/>
        <w:jc w:val="both"/>
      </w:pPr>
      <w:r>
        <w:rPr>
          <w:rFonts w:ascii="仿宋_GB2312" w:hAnsi="仿宋_GB2312" w:eastAsia="仿宋_GB2312"/>
          <w:b w:val="0"/>
          <w:sz w:val="32"/>
        </w:rPr>
        <w:t>2024年度政府采购支出总额0.08万元，其中：政府采购货物支出0.08万元、政府采购工程支出0.00万元、政府采购服务支出0.00万元。</w:t>
      </w:r>
    </w:p>
    <w:p w14:paraId="2D04BCB0">
      <w:pPr>
        <w:spacing w:line="580" w:lineRule="exact"/>
        <w:ind w:firstLine="640"/>
        <w:jc w:val="both"/>
      </w:pPr>
      <w:r>
        <w:rPr>
          <w:rFonts w:ascii="仿宋_GB2312" w:hAnsi="仿宋_GB2312" w:eastAsia="仿宋_GB2312"/>
          <w:b w:val="0"/>
          <w:sz w:val="32"/>
        </w:rPr>
        <w:t>授予中小企业合同金额0.08万元，占政府采购支出总额的100.00%，其中：授予小微企业合同金额0.02万元，占政府采购支出总额的25.00%。</w:t>
      </w:r>
    </w:p>
    <w:p w14:paraId="2DBBCF61">
      <w:pPr>
        <w:spacing w:line="640" w:lineRule="exact"/>
        <w:ind w:firstLine="640"/>
        <w:jc w:val="both"/>
        <w:outlineLvl w:val="3"/>
      </w:pPr>
      <w:r>
        <w:rPr>
          <w:rFonts w:ascii="楷体_GB2312" w:hAnsi="楷体_GB2312" w:eastAsia="楷体_GB2312"/>
          <w:b/>
          <w:sz w:val="32"/>
        </w:rPr>
        <w:t>（三）国有资产占用情况说明</w:t>
      </w:r>
    </w:p>
    <w:p w14:paraId="0448E6DF">
      <w:pPr>
        <w:spacing w:line="580" w:lineRule="exact"/>
        <w:ind w:firstLine="640"/>
        <w:jc w:val="both"/>
      </w:pPr>
      <w:r>
        <w:rPr>
          <w:rFonts w:ascii="仿宋_GB2312" w:hAnsi="仿宋_GB2312" w:eastAsia="仿宋_GB2312"/>
          <w:b w:val="0"/>
          <w:sz w:val="32"/>
        </w:rPr>
        <w:t>截至2024年12月31日，房屋2,974.50平方米，价值212.23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1台（套）。</w:t>
      </w:r>
    </w:p>
    <w:p w14:paraId="27D56CF6">
      <w:pPr>
        <w:spacing w:line="640" w:lineRule="exact"/>
        <w:ind w:firstLine="640"/>
        <w:jc w:val="both"/>
        <w:outlineLvl w:val="2"/>
      </w:pPr>
      <w:r>
        <w:rPr>
          <w:rFonts w:ascii="黑体" w:hAnsi="黑体" w:eastAsia="黑体"/>
          <w:sz w:val="32"/>
        </w:rPr>
        <w:t>十一、预算绩效的情况说明</w:t>
      </w:r>
    </w:p>
    <w:p w14:paraId="4D26E900">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1,022.35万元，实际执行总额1,019.93万元；预算绩效评价项目4个，全年预算数719.60万元，全年执行数717.19万元。预算绩效管理取得的成效：绩效总体完成</w:t>
      </w:r>
      <w:r>
        <w:rPr>
          <w:rFonts w:hint="eastAsia" w:ascii="仿宋_GB2312" w:hAnsi="仿宋_GB2312" w:eastAsia="仿宋_GB2312"/>
          <w:b w:val="0"/>
          <w:sz w:val="32"/>
          <w:lang w:eastAsia="zh-CN"/>
        </w:rPr>
        <w:t>情况</w:t>
      </w:r>
      <w:r>
        <w:rPr>
          <w:rFonts w:ascii="仿宋_GB2312" w:hAnsi="仿宋_GB2312" w:eastAsia="仿宋_GB2312"/>
          <w:b w:val="0"/>
          <w:sz w:val="32"/>
        </w:rPr>
        <w:t>较好，达到了为民办实事的效益，完成了年初设定的目标。保障单位工资发放、福利及个人和家庭补助支出；保障了喀什地区农产品质量安全，守住了人民的食用安全；促进农业发展，促进农村繁荣，助力乡村振兴。发现的问题及原因：项目绩效目标设置不精准、业务与财务人员沟通不畅，需加强沟通。下一步改进措施：提高项目设置精准度、绩效目标精准度、压实项目负责人责任、加强沟通协调。具体附部门整体支出绩效自评表，项目支出绩效自评表。</w:t>
      </w:r>
    </w:p>
    <w:p w14:paraId="51B23DF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788720">
        <w:tblPrEx>
          <w:tblCellMar>
            <w:top w:w="0" w:type="dxa"/>
            <w:left w:w="108" w:type="dxa"/>
            <w:bottom w:w="0" w:type="dxa"/>
            <w:right w:w="108" w:type="dxa"/>
          </w:tblCellMar>
        </w:tblPrEx>
        <w:tc>
          <w:tcPr>
            <w:tcW w:w="8847" w:type="dxa"/>
            <w:gridSpan w:val="9"/>
            <w:vAlign w:val="center"/>
          </w:tcPr>
          <w:p w14:paraId="27C9582B">
            <w:pPr>
              <w:jc w:val="center"/>
            </w:pPr>
            <w:r>
              <w:rPr>
                <w:rFonts w:ascii="宋体" w:hAnsi="宋体" w:eastAsia="宋体"/>
                <w:sz w:val="24"/>
              </w:rPr>
              <w:t>部门整体支出绩效自评表</w:t>
            </w:r>
          </w:p>
        </w:tc>
      </w:tr>
      <w:tr w14:paraId="064608CC">
        <w:tblPrEx>
          <w:tblCellMar>
            <w:top w:w="0" w:type="dxa"/>
            <w:left w:w="108" w:type="dxa"/>
            <w:bottom w:w="0" w:type="dxa"/>
            <w:right w:w="108" w:type="dxa"/>
          </w:tblCellMar>
        </w:tblPrEx>
        <w:tc>
          <w:tcPr>
            <w:tcW w:w="8847" w:type="dxa"/>
            <w:gridSpan w:val="9"/>
            <w:vAlign w:val="center"/>
          </w:tcPr>
          <w:p w14:paraId="5143C757">
            <w:pPr>
              <w:jc w:val="center"/>
            </w:pPr>
            <w:r>
              <w:rPr>
                <w:rFonts w:ascii="宋体" w:hAnsi="宋体" w:eastAsia="宋体"/>
                <w:sz w:val="24"/>
              </w:rPr>
              <w:t>（2024年度）</w:t>
            </w:r>
          </w:p>
        </w:tc>
      </w:tr>
      <w:tr w14:paraId="30AFC2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A5DB">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094227B">
            <w:pPr>
              <w:jc w:val="center"/>
            </w:pPr>
            <w:r>
              <w:rPr>
                <w:rFonts w:ascii="宋体" w:hAnsi="宋体" w:eastAsia="宋体"/>
                <w:sz w:val="16"/>
              </w:rPr>
              <w:t>喀什地区农产品质量安全农作物种子质量监督综合检验检测中心</w:t>
            </w:r>
          </w:p>
        </w:tc>
      </w:tr>
      <w:tr w14:paraId="0DCFE0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B0B8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EA7B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48D6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8611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320B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48D4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7765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214EE">
            <w:pPr>
              <w:jc w:val="center"/>
            </w:pPr>
            <w:r>
              <w:rPr>
                <w:rFonts w:ascii="宋体" w:hAnsi="宋体" w:eastAsia="宋体"/>
                <w:sz w:val="16"/>
              </w:rPr>
              <w:t>得分</w:t>
            </w:r>
          </w:p>
        </w:tc>
      </w:tr>
      <w:tr w14:paraId="41918A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706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1A6F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6AE6E">
            <w:pPr>
              <w:jc w:val="center"/>
            </w:pPr>
            <w:r>
              <w:rPr>
                <w:rFonts w:ascii="宋体" w:hAnsi="宋体" w:eastAsia="宋体"/>
                <w:sz w:val="16"/>
              </w:rPr>
              <w:t>478.74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29635">
            <w:pPr>
              <w:jc w:val="center"/>
            </w:pPr>
            <w:r>
              <w:rPr>
                <w:rFonts w:ascii="宋体" w:hAnsi="宋体" w:eastAsia="宋体"/>
                <w:sz w:val="16"/>
              </w:rPr>
              <w:t>1,022.35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08EB5">
            <w:pPr>
              <w:jc w:val="center"/>
            </w:pPr>
            <w:r>
              <w:rPr>
                <w:rFonts w:ascii="宋体" w:hAnsi="宋体" w:eastAsia="宋体"/>
                <w:sz w:val="16"/>
              </w:rPr>
              <w:t>1,019.93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7C6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56190">
            <w:pPr>
              <w:jc w:val="center"/>
            </w:pPr>
            <w:r>
              <w:rPr>
                <w:rFonts w:ascii="宋体" w:hAnsi="宋体" w:eastAsia="宋体"/>
                <w:sz w:val="16"/>
              </w:rPr>
              <w:t>99.76%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C25B">
            <w:pPr>
              <w:jc w:val="center"/>
            </w:pPr>
            <w:r>
              <w:rPr>
                <w:rFonts w:ascii="宋体" w:hAnsi="宋体" w:eastAsia="宋体"/>
                <w:sz w:val="16"/>
              </w:rPr>
              <w:t>9.98</w:t>
            </w:r>
          </w:p>
        </w:tc>
      </w:tr>
      <w:tr w14:paraId="174F78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4F9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0CA0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92991">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A5EFF">
            <w:pPr>
              <w:jc w:val="center"/>
            </w:pPr>
            <w:r>
              <w:rPr>
                <w:rFonts w:ascii="宋体" w:hAnsi="宋体" w:eastAsia="宋体"/>
                <w:sz w:val="16"/>
              </w:rPr>
              <w:t>64.42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86FB7">
            <w:pPr>
              <w:jc w:val="center"/>
            </w:pPr>
            <w:r>
              <w:rPr>
                <w:rFonts w:ascii="宋体" w:hAnsi="宋体" w:eastAsia="宋体"/>
                <w:sz w:val="16"/>
              </w:rPr>
              <w:t>63.81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825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0CAC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FE665">
            <w:pPr>
              <w:jc w:val="center"/>
            </w:pPr>
            <w:r>
              <w:rPr>
                <w:rFonts w:ascii="宋体" w:hAnsi="宋体" w:eastAsia="宋体"/>
                <w:sz w:val="16"/>
              </w:rPr>
              <w:t>—</w:t>
            </w:r>
          </w:p>
        </w:tc>
      </w:tr>
      <w:tr w14:paraId="504298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B5D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950A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84B5A">
            <w:pPr>
              <w:jc w:val="center"/>
            </w:pPr>
            <w:r>
              <w:rPr>
                <w:rFonts w:ascii="宋体" w:hAnsi="宋体" w:eastAsia="宋体"/>
                <w:sz w:val="16"/>
              </w:rPr>
              <w:t>418.74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2CFDA">
            <w:pPr>
              <w:jc w:val="center"/>
            </w:pPr>
            <w:r>
              <w:rPr>
                <w:rFonts w:ascii="宋体" w:hAnsi="宋体" w:eastAsia="宋体"/>
                <w:sz w:val="16"/>
              </w:rPr>
              <w:t>957.93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E7535">
            <w:pPr>
              <w:jc w:val="center"/>
            </w:pPr>
            <w:r>
              <w:rPr>
                <w:rFonts w:ascii="宋体" w:hAnsi="宋体" w:eastAsia="宋体"/>
                <w:sz w:val="16"/>
              </w:rPr>
              <w:t>956.12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59C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F9D4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D509B">
            <w:pPr>
              <w:jc w:val="center"/>
            </w:pPr>
            <w:r>
              <w:rPr>
                <w:rFonts w:ascii="宋体" w:hAnsi="宋体" w:eastAsia="宋体"/>
                <w:sz w:val="16"/>
              </w:rPr>
              <w:t>—</w:t>
            </w:r>
          </w:p>
        </w:tc>
      </w:tr>
      <w:tr w14:paraId="7470C2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F64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3BD8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115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441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91C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FBA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94F3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8F24A">
            <w:pPr>
              <w:jc w:val="center"/>
            </w:pPr>
            <w:r>
              <w:rPr>
                <w:rFonts w:ascii="宋体" w:hAnsi="宋体" w:eastAsia="宋体"/>
                <w:sz w:val="16"/>
              </w:rPr>
              <w:t>—</w:t>
            </w:r>
          </w:p>
        </w:tc>
      </w:tr>
      <w:tr w14:paraId="3FE2AA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7E2F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9D090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7700FF">
            <w:pPr>
              <w:jc w:val="center"/>
            </w:pPr>
            <w:r>
              <w:rPr>
                <w:rFonts w:ascii="宋体" w:hAnsi="宋体" w:eastAsia="宋体"/>
                <w:sz w:val="16"/>
              </w:rPr>
              <w:t>实际完成情况</w:t>
            </w:r>
          </w:p>
        </w:tc>
      </w:tr>
      <w:tr w14:paraId="58B6FF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FA2B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00FDAE">
            <w:pPr>
              <w:jc w:val="both"/>
            </w:pPr>
            <w:r>
              <w:rPr>
                <w:rFonts w:ascii="宋体" w:hAnsi="宋体" w:eastAsia="宋体"/>
                <w:sz w:val="16"/>
              </w:rPr>
              <w:t>坚持以习近平新时代中国特色社会主义思想为指导 ，深入学习贯彻党的二十大精神，贯彻落实习近平总书记关于“三农”工作重要论述、第三次中央新疆工作座谈会精神 ，贯彻落实中央农村工作会议精神和全国农业农村厅局长会议精神，完整准确贯彻新时代党的治疆方略 ，牢牢扭住社会长治久安总目标 ，贯彻落实自治区党委十届七次全会和农村工作会议 、全区农业农村局长会议精神，深入学习贯彻党的二十大精神，用工作实效拥护“两个确立”、体现“两个维护”。（二）2024年地区农产品质检中心完成定量检测任务1100批次，其中种植业（蔬菜、食用菌）监测数量为总数量的70%，即770批次；水果监测数量为总数量的10%，即110批次；畜禽水产品监测数量为总数量的20%，即220批次，达到有效减少农产品安全事故的社会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468CEC">
            <w:pPr>
              <w:jc w:val="both"/>
            </w:pPr>
            <w:r>
              <w:rPr>
                <w:rFonts w:ascii="宋体" w:hAnsi="宋体" w:eastAsia="宋体"/>
                <w:sz w:val="16"/>
              </w:rPr>
              <w:t>2024年地区农产品质检中心完成定量检测任务1056批次，其中种植业（蔬菜、食用菌）监测数量完成819批次；水果监测数量完成60批次；畜禽水产品监测数量完成177批次，在一年的努力工作下，</w:t>
            </w:r>
            <w:r>
              <w:rPr>
                <w:rFonts w:hint="eastAsia" w:ascii="宋体" w:hAnsi="宋体"/>
                <w:sz w:val="16"/>
                <w:lang w:eastAsia="zh-CN"/>
              </w:rPr>
              <w:t>本部门</w:t>
            </w:r>
            <w:r>
              <w:rPr>
                <w:rFonts w:ascii="宋体" w:hAnsi="宋体" w:eastAsia="宋体"/>
                <w:sz w:val="16"/>
              </w:rPr>
              <w:t>有效减少了喀什地区农产品安全事故，守护住了人民群众“舌尖上的安全”。也保障了地区农产品质检中心全年的正常运转以及人员工资社保及七条福利的支出。</w:t>
            </w:r>
          </w:p>
        </w:tc>
      </w:tr>
      <w:tr w14:paraId="1B73CF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9C4C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8AF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1FFF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19D4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B8F3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62E4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EFD2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4D1F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8DCF8">
            <w:pPr>
              <w:jc w:val="center"/>
            </w:pPr>
            <w:r>
              <w:rPr>
                <w:rFonts w:ascii="宋体" w:hAnsi="宋体" w:eastAsia="宋体"/>
                <w:sz w:val="16"/>
              </w:rPr>
              <w:t>得分</w:t>
            </w:r>
          </w:p>
        </w:tc>
      </w:tr>
      <w:tr w14:paraId="596F79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887A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13E9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897EE">
            <w:pPr>
              <w:jc w:val="center"/>
            </w:pPr>
            <w:r>
              <w:rPr>
                <w:rFonts w:ascii="宋体" w:hAnsi="宋体" w:eastAsia="宋体"/>
                <w:sz w:val="16"/>
              </w:rPr>
              <w:t>种植业（蔬菜、食用菌）抽样次数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B8AE4">
            <w:pPr>
              <w:jc w:val="center"/>
            </w:pPr>
            <w:r>
              <w:rPr>
                <w:rFonts w:ascii="宋体" w:hAnsi="宋体" w:eastAsia="宋体"/>
                <w:sz w:val="16"/>
              </w:rPr>
              <w:t>&gt;=770批次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177C3">
            <w:pPr>
              <w:jc w:val="center"/>
            </w:pPr>
            <w:r>
              <w:rPr>
                <w:rFonts w:ascii="宋体" w:hAnsi="宋体" w:eastAsia="宋体"/>
                <w:sz w:val="16"/>
              </w:rPr>
              <w:t>喀地农字</w:t>
            </w:r>
            <w:r>
              <w:rPr>
                <w:rFonts w:hint="eastAsia" w:ascii="宋体" w:hAnsi="宋体"/>
                <w:sz w:val="16"/>
                <w:lang w:eastAsia="zh-CN"/>
              </w:rPr>
              <w:t>〔2024〕3号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A5BB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746A0">
            <w:pPr>
              <w:jc w:val="center"/>
            </w:pPr>
            <w:r>
              <w:rPr>
                <w:rFonts w:ascii="宋体" w:hAnsi="宋体" w:eastAsia="宋体"/>
                <w:sz w:val="16"/>
              </w:rPr>
              <w:t>819批次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D6EC1">
            <w:pPr>
              <w:jc w:val="center"/>
            </w:pPr>
            <w:r>
              <w:rPr>
                <w:rFonts w:ascii="宋体" w:hAnsi="宋体" w:eastAsia="宋体"/>
                <w:sz w:val="16"/>
              </w:rPr>
              <w:t>106.36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EF061">
            <w:pPr>
              <w:jc w:val="center"/>
            </w:pPr>
            <w:r>
              <w:rPr>
                <w:rFonts w:ascii="宋体" w:hAnsi="宋体" w:eastAsia="宋体"/>
                <w:sz w:val="16"/>
              </w:rPr>
              <w:t>20</w:t>
            </w:r>
          </w:p>
        </w:tc>
      </w:tr>
      <w:tr w14:paraId="2B0BF2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7E15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4B8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063B0">
            <w:pPr>
              <w:jc w:val="center"/>
            </w:pPr>
            <w:r>
              <w:rPr>
                <w:rFonts w:ascii="宋体" w:hAnsi="宋体" w:eastAsia="宋体"/>
                <w:sz w:val="16"/>
              </w:rPr>
              <w:t>畜禽产品检测数量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9CD0C">
            <w:pPr>
              <w:jc w:val="center"/>
            </w:pPr>
            <w:r>
              <w:rPr>
                <w:rFonts w:ascii="宋体" w:hAnsi="宋体" w:eastAsia="宋体"/>
                <w:sz w:val="16"/>
              </w:rPr>
              <w:t>&gt;=220批次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96F24">
            <w:pPr>
              <w:jc w:val="center"/>
            </w:pPr>
            <w:r>
              <w:rPr>
                <w:rFonts w:ascii="宋体" w:hAnsi="宋体" w:eastAsia="宋体"/>
                <w:sz w:val="16"/>
              </w:rPr>
              <w:t>喀地农字</w:t>
            </w:r>
            <w:r>
              <w:rPr>
                <w:rFonts w:hint="eastAsia" w:ascii="宋体" w:hAnsi="宋体"/>
                <w:sz w:val="16"/>
                <w:lang w:eastAsia="zh-CN"/>
              </w:rPr>
              <w:t>〔2024〕3号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354B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E01D0">
            <w:pPr>
              <w:jc w:val="center"/>
            </w:pPr>
            <w:r>
              <w:rPr>
                <w:rFonts w:ascii="宋体" w:hAnsi="宋体" w:eastAsia="宋体"/>
                <w:sz w:val="16"/>
              </w:rPr>
              <w:t>177批次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FB529">
            <w:pPr>
              <w:jc w:val="center"/>
            </w:pPr>
            <w:r>
              <w:rPr>
                <w:rFonts w:ascii="宋体" w:hAnsi="宋体" w:eastAsia="宋体"/>
                <w:sz w:val="16"/>
              </w:rPr>
              <w:t>80.45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9E6DA">
            <w:pPr>
              <w:jc w:val="center"/>
            </w:pPr>
            <w:r>
              <w:rPr>
                <w:rFonts w:ascii="宋体" w:hAnsi="宋体" w:eastAsia="宋体"/>
                <w:sz w:val="16"/>
              </w:rPr>
              <w:t>16.9</w:t>
            </w:r>
          </w:p>
        </w:tc>
      </w:tr>
      <w:tr w14:paraId="0E9B8B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18C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D75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4D75B">
            <w:pPr>
              <w:jc w:val="center"/>
            </w:pPr>
            <w:r>
              <w:rPr>
                <w:rFonts w:ascii="宋体" w:hAnsi="宋体" w:eastAsia="宋体"/>
                <w:sz w:val="16"/>
              </w:rPr>
              <w:t>林果产品检测数量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CD346">
            <w:pPr>
              <w:jc w:val="center"/>
            </w:pPr>
            <w:r>
              <w:rPr>
                <w:rFonts w:ascii="宋体" w:hAnsi="宋体" w:eastAsia="宋体"/>
                <w:sz w:val="16"/>
              </w:rPr>
              <w:t>&gt;=110批次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67336">
            <w:pPr>
              <w:jc w:val="center"/>
            </w:pPr>
            <w:r>
              <w:rPr>
                <w:rFonts w:ascii="宋体" w:hAnsi="宋体" w:eastAsia="宋体"/>
                <w:sz w:val="16"/>
              </w:rPr>
              <w:t>喀地农字</w:t>
            </w:r>
            <w:r>
              <w:rPr>
                <w:rFonts w:hint="eastAsia" w:ascii="宋体" w:hAnsi="宋体"/>
                <w:sz w:val="16"/>
                <w:lang w:eastAsia="zh-CN"/>
              </w:rPr>
              <w:t>〔2024〕3号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96E6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2C3ED">
            <w:pPr>
              <w:jc w:val="center"/>
            </w:pPr>
            <w:r>
              <w:rPr>
                <w:rFonts w:ascii="宋体" w:hAnsi="宋体" w:eastAsia="宋体"/>
                <w:sz w:val="16"/>
              </w:rPr>
              <w:t>110批次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85A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BB47B">
            <w:pPr>
              <w:jc w:val="center"/>
            </w:pPr>
            <w:r>
              <w:rPr>
                <w:rFonts w:ascii="宋体" w:hAnsi="宋体" w:eastAsia="宋体"/>
                <w:sz w:val="16"/>
              </w:rPr>
              <w:t>20</w:t>
            </w:r>
          </w:p>
        </w:tc>
      </w:tr>
      <w:tr w14:paraId="759F04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C32C4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A70B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7DB12">
            <w:pPr>
              <w:jc w:val="center"/>
            </w:pPr>
            <w:r>
              <w:rPr>
                <w:rFonts w:ascii="宋体" w:hAnsi="宋体" w:eastAsia="宋体"/>
                <w:sz w:val="16"/>
              </w:rPr>
              <w:t>农产品生产基地覆盖率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241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B3A3B">
            <w:pPr>
              <w:jc w:val="center"/>
            </w:pPr>
            <w:r>
              <w:rPr>
                <w:rFonts w:ascii="宋体" w:hAnsi="宋体" w:eastAsia="宋体"/>
                <w:sz w:val="16"/>
              </w:rPr>
              <w:t>喀地农字</w:t>
            </w:r>
            <w:r>
              <w:rPr>
                <w:rFonts w:hint="eastAsia" w:ascii="宋体" w:hAnsi="宋体"/>
                <w:sz w:val="16"/>
                <w:lang w:eastAsia="zh-CN"/>
              </w:rPr>
              <w:t>〔2024〕3号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3E0C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6EC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DF7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A3BDC">
            <w:pPr>
              <w:jc w:val="center"/>
            </w:pPr>
            <w:r>
              <w:rPr>
                <w:rFonts w:ascii="宋体" w:hAnsi="宋体" w:eastAsia="宋体"/>
                <w:sz w:val="16"/>
              </w:rPr>
              <w:t>15</w:t>
            </w:r>
          </w:p>
        </w:tc>
      </w:tr>
      <w:tr w14:paraId="469B1D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949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A275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F3619">
            <w:pPr>
              <w:jc w:val="center"/>
            </w:pPr>
            <w:r>
              <w:rPr>
                <w:rFonts w:ascii="宋体" w:hAnsi="宋体" w:eastAsia="宋体"/>
                <w:sz w:val="16"/>
              </w:rPr>
              <w:t>抽检农产品品种覆盖率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D58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23D8F">
            <w:pPr>
              <w:jc w:val="center"/>
            </w:pPr>
            <w:r>
              <w:rPr>
                <w:rFonts w:ascii="宋体" w:hAnsi="宋体" w:eastAsia="宋体"/>
                <w:sz w:val="16"/>
              </w:rPr>
              <w:t>喀地农字</w:t>
            </w:r>
            <w:r>
              <w:rPr>
                <w:rFonts w:hint="eastAsia" w:ascii="宋体" w:hAnsi="宋体"/>
                <w:sz w:val="16"/>
                <w:lang w:eastAsia="zh-CN"/>
              </w:rPr>
              <w:t>〔2024〕3号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27CF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401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113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1FE9D">
            <w:pPr>
              <w:jc w:val="center"/>
            </w:pPr>
            <w:r>
              <w:rPr>
                <w:rFonts w:ascii="宋体" w:hAnsi="宋体" w:eastAsia="宋体"/>
                <w:sz w:val="16"/>
              </w:rPr>
              <w:t>15</w:t>
            </w:r>
          </w:p>
        </w:tc>
      </w:tr>
    </w:tbl>
    <w:p w14:paraId="7ED9864C">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856"/>
        <w:gridCol w:w="617"/>
        <w:gridCol w:w="617"/>
        <w:gridCol w:w="617"/>
        <w:gridCol w:w="617"/>
        <w:gridCol w:w="617"/>
        <w:gridCol w:w="776"/>
        <w:gridCol w:w="631"/>
        <w:gridCol w:w="595"/>
        <w:gridCol w:w="631"/>
      </w:tblGrid>
      <w:tr w14:paraId="45F0C14A">
        <w:tblPrEx>
          <w:tblCellMar>
            <w:top w:w="0" w:type="dxa"/>
            <w:left w:w="108" w:type="dxa"/>
            <w:bottom w:w="0" w:type="dxa"/>
            <w:right w:w="108" w:type="dxa"/>
          </w:tblCellMar>
        </w:tblPrEx>
        <w:tc>
          <w:tcPr>
            <w:tcW w:w="8848" w:type="dxa"/>
            <w:gridSpan w:val="14"/>
            <w:vAlign w:val="center"/>
          </w:tcPr>
          <w:p w14:paraId="7103DABF">
            <w:pPr>
              <w:jc w:val="center"/>
            </w:pPr>
            <w:r>
              <w:rPr>
                <w:rFonts w:ascii="宋体" w:hAnsi="宋体" w:eastAsia="宋体"/>
                <w:sz w:val="24"/>
              </w:rPr>
              <w:t>项目支出绩效自评表</w:t>
            </w:r>
          </w:p>
        </w:tc>
      </w:tr>
      <w:tr w14:paraId="01D65455">
        <w:tblPrEx>
          <w:tblCellMar>
            <w:top w:w="0" w:type="dxa"/>
            <w:left w:w="108" w:type="dxa"/>
            <w:bottom w:w="0" w:type="dxa"/>
            <w:right w:w="108" w:type="dxa"/>
          </w:tblCellMar>
        </w:tblPrEx>
        <w:tc>
          <w:tcPr>
            <w:tcW w:w="8848" w:type="dxa"/>
            <w:gridSpan w:val="14"/>
            <w:vAlign w:val="center"/>
          </w:tcPr>
          <w:p w14:paraId="72EFD8AF">
            <w:pPr>
              <w:jc w:val="center"/>
            </w:pPr>
            <w:r>
              <w:rPr>
                <w:rFonts w:ascii="宋体" w:hAnsi="宋体" w:eastAsia="宋体"/>
                <w:sz w:val="24"/>
              </w:rPr>
              <w:t>(2024年度)</w:t>
            </w:r>
          </w:p>
        </w:tc>
      </w:tr>
      <w:tr w14:paraId="05EBD7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FE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E4ABC2">
            <w:pPr>
              <w:jc w:val="center"/>
            </w:pPr>
            <w:r>
              <w:rPr>
                <w:rFonts w:ascii="宋体" w:hAnsi="宋体" w:eastAsia="宋体"/>
                <w:sz w:val="16"/>
              </w:rPr>
              <w:t>2024年农产品质量安全项目</w:t>
            </w:r>
          </w:p>
        </w:tc>
      </w:tr>
      <w:tr w14:paraId="58CA1B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23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BCDD28">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65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4A8F5">
            <w:pPr>
              <w:jc w:val="center"/>
            </w:pPr>
            <w:r>
              <w:rPr>
                <w:rFonts w:ascii="宋体" w:hAnsi="宋体" w:eastAsia="宋体"/>
                <w:sz w:val="16"/>
              </w:rPr>
              <w:t>喀什地区农产品质量安全农作物种子质量监督综合检验检测中心</w:t>
            </w:r>
          </w:p>
        </w:tc>
      </w:tr>
      <w:tr w14:paraId="5E1D5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665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08E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862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657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DB5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7B8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93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FDC6">
            <w:pPr>
              <w:jc w:val="center"/>
            </w:pPr>
            <w:r>
              <w:rPr>
                <w:rFonts w:ascii="宋体" w:hAnsi="宋体" w:eastAsia="宋体"/>
                <w:sz w:val="16"/>
              </w:rPr>
              <w:t>得分</w:t>
            </w:r>
          </w:p>
        </w:tc>
      </w:tr>
      <w:tr w14:paraId="478C5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BDA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6DE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FB68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F91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0E1EB">
            <w:pPr>
              <w:jc w:val="center"/>
            </w:pPr>
            <w:r>
              <w:rPr>
                <w:rFonts w:ascii="宋体" w:hAnsi="宋体" w:eastAsia="宋体"/>
                <w:sz w:val="16"/>
              </w:rPr>
              <w:t>39.39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932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7028">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499A">
            <w:pPr>
              <w:jc w:val="center"/>
            </w:pPr>
            <w:r>
              <w:rPr>
                <w:rFonts w:ascii="宋体" w:hAnsi="宋体" w:eastAsia="宋体"/>
                <w:sz w:val="16"/>
              </w:rPr>
              <w:t>10.00分</w:t>
            </w:r>
          </w:p>
        </w:tc>
      </w:tr>
      <w:tr w14:paraId="48069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F5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512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0A82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8CB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EA9A9">
            <w:pPr>
              <w:jc w:val="center"/>
            </w:pPr>
            <w:r>
              <w:rPr>
                <w:rFonts w:ascii="宋体" w:hAnsi="宋体" w:eastAsia="宋体"/>
                <w:sz w:val="16"/>
              </w:rPr>
              <w:t>39.39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721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C74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F5C3">
            <w:pPr>
              <w:jc w:val="center"/>
            </w:pPr>
            <w:r>
              <w:rPr>
                <w:rFonts w:ascii="宋体" w:hAnsi="宋体" w:eastAsia="宋体"/>
                <w:sz w:val="16"/>
              </w:rPr>
              <w:t>—</w:t>
            </w:r>
          </w:p>
        </w:tc>
      </w:tr>
      <w:tr w14:paraId="49407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26F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5ED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F25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5A8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41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14E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C38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5BFC">
            <w:pPr>
              <w:jc w:val="center"/>
            </w:pPr>
            <w:r>
              <w:rPr>
                <w:rFonts w:ascii="宋体" w:hAnsi="宋体" w:eastAsia="宋体"/>
                <w:sz w:val="16"/>
              </w:rPr>
              <w:t>—</w:t>
            </w:r>
          </w:p>
        </w:tc>
      </w:tr>
      <w:tr w14:paraId="4C060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544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4D07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57D48A">
            <w:pPr>
              <w:jc w:val="center"/>
            </w:pPr>
            <w:r>
              <w:rPr>
                <w:rFonts w:ascii="宋体" w:hAnsi="宋体" w:eastAsia="宋体"/>
                <w:sz w:val="16"/>
              </w:rPr>
              <w:t>实际完成情况</w:t>
            </w:r>
          </w:p>
        </w:tc>
      </w:tr>
      <w:tr w14:paraId="013F4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765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B51E2E">
            <w:pPr>
              <w:jc w:val="both"/>
            </w:pPr>
            <w:r>
              <w:rPr>
                <w:rFonts w:ascii="宋体" w:hAnsi="宋体" w:eastAsia="宋体"/>
                <w:sz w:val="16"/>
              </w:rPr>
              <w:t>根据自治区农业农村厅相关要求，我中心承担自治区委托农产品质量安全例行监测、监督抽查任务，主要负责区域为克州地区，检测任务为700批次，检测食用农产品种类为蔬菜、水果、食用菌；达到降低克州地区重大农产品质量安全事件、提高</w:t>
            </w:r>
            <w:r>
              <w:rPr>
                <w:rFonts w:hint="eastAsia" w:ascii="宋体" w:hAnsi="宋体"/>
                <w:sz w:val="16"/>
                <w:lang w:eastAsia="zh-CN"/>
              </w:rPr>
              <w:t>本部门</w:t>
            </w:r>
            <w:r>
              <w:rPr>
                <w:rFonts w:ascii="宋体" w:hAnsi="宋体" w:eastAsia="宋体"/>
                <w:sz w:val="16"/>
              </w:rPr>
              <w:t>执法监管能力。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649AA">
            <w:pPr>
              <w:jc w:val="both"/>
            </w:pPr>
            <w:r>
              <w:rPr>
                <w:rFonts w:ascii="宋体" w:hAnsi="宋体" w:eastAsia="宋体"/>
                <w:sz w:val="16"/>
              </w:rPr>
              <w:t>根据自治区农业农村厅相关要求，我中心承担自治区委托农产品质量安全例行监测、监督抽查任务，主要负责区域为克州地区，检测任务为700批次，检测食用农产品种类为蔬菜、水果、食用菌；达到降低克州地区重大农产品质量安全事件、提高</w:t>
            </w:r>
            <w:r>
              <w:rPr>
                <w:rFonts w:hint="eastAsia" w:ascii="宋体" w:hAnsi="宋体"/>
                <w:sz w:val="16"/>
                <w:lang w:eastAsia="zh-CN"/>
              </w:rPr>
              <w:t>本部门</w:t>
            </w:r>
            <w:r>
              <w:rPr>
                <w:rFonts w:ascii="宋体" w:hAnsi="宋体" w:eastAsia="宋体"/>
                <w:sz w:val="16"/>
              </w:rPr>
              <w:t>执法监管能力。</w:t>
            </w:r>
          </w:p>
        </w:tc>
      </w:tr>
      <w:tr w14:paraId="0F5CE9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7BB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80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3B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7A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BF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0D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4B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F7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19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C2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DA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F1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35EFB">
            <w:pPr>
              <w:jc w:val="center"/>
            </w:pPr>
            <w:r>
              <w:rPr>
                <w:rFonts w:ascii="宋体" w:hAnsi="宋体" w:eastAsia="宋体"/>
                <w:sz w:val="16"/>
              </w:rPr>
              <w:t>偏差原因分析及改进措施</w:t>
            </w:r>
          </w:p>
        </w:tc>
      </w:tr>
      <w:tr w14:paraId="29E4F5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7FF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BEE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7D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DCE3">
            <w:pPr>
              <w:jc w:val="center"/>
            </w:pPr>
            <w:r>
              <w:rPr>
                <w:rFonts w:ascii="宋体" w:hAnsi="宋体" w:eastAsia="宋体"/>
                <w:sz w:val="16"/>
              </w:rPr>
              <w:t>检测批次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A4F8">
            <w:pPr>
              <w:jc w:val="center"/>
            </w:pPr>
            <w:r>
              <w:rPr>
                <w:rFonts w:ascii="宋体" w:hAnsi="宋体" w:eastAsia="宋体"/>
                <w:sz w:val="16"/>
              </w:rPr>
              <w:t>&gt;=700批次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28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A1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5E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9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2E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4249">
            <w:pPr>
              <w:jc w:val="center"/>
            </w:pPr>
            <w:r>
              <w:rPr>
                <w:rFonts w:ascii="宋体" w:hAnsi="宋体" w:eastAsia="宋体"/>
                <w:sz w:val="16"/>
              </w:rPr>
              <w:t>=700批次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61A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5E4D0">
            <w:pPr>
              <w:jc w:val="center"/>
            </w:pPr>
          </w:p>
        </w:tc>
      </w:tr>
      <w:tr w14:paraId="460D3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BA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B33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812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AA15">
            <w:pPr>
              <w:jc w:val="center"/>
            </w:pPr>
            <w:r>
              <w:rPr>
                <w:rFonts w:ascii="宋体" w:hAnsi="宋体" w:eastAsia="宋体"/>
                <w:sz w:val="16"/>
              </w:rPr>
              <w:t>年度资金执行率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A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5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D9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60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88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7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0A92">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71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8194">
            <w:pPr>
              <w:jc w:val="center"/>
            </w:pPr>
            <w:r>
              <w:rPr>
                <w:rFonts w:ascii="宋体" w:hAnsi="宋体" w:eastAsia="宋体"/>
                <w:sz w:val="16"/>
              </w:rPr>
              <w:t>在项目实施过程中统筹检测工作，降低了检测成本，减少了项目资金的支出。在今后的工作中，科学合理地设置绩效指标，做好项目成本预算，提高绩效目标编制的合理性和科学性。</w:t>
            </w:r>
          </w:p>
        </w:tc>
      </w:tr>
      <w:tr w14:paraId="52D31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8D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EE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19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ECE0">
            <w:pPr>
              <w:jc w:val="center"/>
            </w:pPr>
            <w:r>
              <w:rPr>
                <w:rFonts w:ascii="宋体" w:hAnsi="宋体" w:eastAsia="宋体"/>
                <w:sz w:val="16"/>
              </w:rPr>
              <w:t>检测人员持证上岗率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8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7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3E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34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EC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A5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C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34E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85A1">
            <w:pPr>
              <w:jc w:val="center"/>
            </w:pPr>
          </w:p>
        </w:tc>
      </w:tr>
      <w:tr w14:paraId="4C17D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6C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68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F0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B538">
            <w:pPr>
              <w:jc w:val="center"/>
            </w:pPr>
            <w:r>
              <w:rPr>
                <w:rFonts w:ascii="宋体" w:hAnsi="宋体" w:eastAsia="宋体"/>
                <w:sz w:val="16"/>
              </w:rPr>
              <w:t>检测数据准确率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E574">
            <w:pPr>
              <w:jc w:val="center"/>
            </w:pPr>
            <w:r>
              <w:rPr>
                <w:rFonts w:ascii="宋体" w:hAnsi="宋体" w:eastAsia="宋体"/>
                <w:sz w:val="16"/>
              </w:rPr>
              <w:t>&gt;=99.8%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44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9C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3F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2A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B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E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0BD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E0CFE">
            <w:pPr>
              <w:jc w:val="center"/>
            </w:pPr>
          </w:p>
        </w:tc>
      </w:tr>
      <w:tr w14:paraId="41140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741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050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EA8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532E">
            <w:pPr>
              <w:jc w:val="center"/>
            </w:pPr>
            <w:r>
              <w:rPr>
                <w:rFonts w:ascii="宋体" w:hAnsi="宋体" w:eastAsia="宋体"/>
                <w:sz w:val="16"/>
              </w:rPr>
              <w:t>分析报告及时率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5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99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80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B5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E4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0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37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417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B042F">
            <w:pPr>
              <w:jc w:val="center"/>
            </w:pPr>
          </w:p>
        </w:tc>
      </w:tr>
      <w:tr w14:paraId="3D32E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E3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EF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12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6E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666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40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41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68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5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80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C24A">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7CF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0B29">
            <w:pPr>
              <w:jc w:val="center"/>
            </w:pPr>
          </w:p>
        </w:tc>
      </w:tr>
      <w:tr w14:paraId="45461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CF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39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0C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1D35">
            <w:pPr>
              <w:jc w:val="center"/>
            </w:pPr>
            <w:r>
              <w:rPr>
                <w:rFonts w:ascii="宋体" w:hAnsi="宋体" w:eastAsia="宋体"/>
                <w:sz w:val="16"/>
              </w:rPr>
              <w:t>蔬菜、食用菌及畜禽产品检测成本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35AB">
            <w:pPr>
              <w:jc w:val="center"/>
            </w:pPr>
            <w:r>
              <w:rPr>
                <w:rFonts w:ascii="宋体" w:hAnsi="宋体" w:eastAsia="宋体"/>
                <w:sz w:val="16"/>
              </w:rPr>
              <w:t>&lt;=571.42元/批次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B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D2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4C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B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F7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EC9C">
            <w:pPr>
              <w:jc w:val="center"/>
            </w:pPr>
            <w:r>
              <w:rPr>
                <w:rFonts w:ascii="宋体" w:hAnsi="宋体" w:eastAsia="宋体"/>
                <w:sz w:val="16"/>
              </w:rPr>
              <w:t>=562.71元/批次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4DA2">
            <w:pPr>
              <w:jc w:val="center"/>
            </w:pPr>
            <w:r>
              <w:rPr>
                <w:rFonts w:ascii="宋体" w:hAnsi="宋体" w:eastAsia="宋体"/>
                <w:sz w:val="16"/>
              </w:rPr>
              <w:t>19.24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427C6">
            <w:pPr>
              <w:jc w:val="center"/>
            </w:pPr>
            <w:r>
              <w:rPr>
                <w:rFonts w:ascii="宋体" w:hAnsi="宋体" w:eastAsia="宋体"/>
                <w:sz w:val="16"/>
              </w:rPr>
              <w:t>在项目实施过程中统筹检测工作，降低了检测成本。在今后的工作中，科学合理地设置绩效指标，做好项目成本预算，提高绩效目标编制的合理性。</w:t>
            </w:r>
          </w:p>
        </w:tc>
      </w:tr>
      <w:tr w14:paraId="7BBE9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51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FB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FD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FFCC">
            <w:pPr>
              <w:jc w:val="center"/>
            </w:pPr>
            <w:r>
              <w:rPr>
                <w:rFonts w:ascii="宋体" w:hAnsi="宋体" w:eastAsia="宋体"/>
                <w:sz w:val="16"/>
              </w:rPr>
              <w:t>重大农产品质量安全事件（有/无）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4B95">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3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D6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0B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08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F1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B703">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7E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872FE">
            <w:pPr>
              <w:jc w:val="center"/>
            </w:pPr>
          </w:p>
        </w:tc>
      </w:tr>
      <w:tr w14:paraId="317F4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D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93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C6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8DF7">
            <w:pPr>
              <w:jc w:val="center"/>
            </w:pPr>
            <w:r>
              <w:rPr>
                <w:rFonts w:ascii="宋体" w:hAnsi="宋体" w:eastAsia="宋体"/>
                <w:sz w:val="16"/>
              </w:rPr>
              <w:t>服务群体满意度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94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64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32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A6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C0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C6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5208">
            <w:pPr>
              <w:jc w:val="center"/>
            </w:pPr>
            <w:r>
              <w:rPr>
                <w:rFonts w:ascii="宋体" w:hAnsi="宋体" w:eastAsia="宋体"/>
                <w:sz w:val="16"/>
              </w:rPr>
              <w:t>=99.56%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0F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30715">
            <w:pPr>
              <w:jc w:val="center"/>
            </w:pPr>
            <w:r>
              <w:rPr>
                <w:rFonts w:ascii="宋体" w:hAnsi="宋体" w:eastAsia="宋体"/>
                <w:sz w:val="16"/>
              </w:rPr>
              <w:t>在项目实施过程中，认真谋划，基本做到了检测范围全覆盖、检测品种全覆盖，能够为服务群体提供优质的检测服务。</w:t>
            </w:r>
          </w:p>
        </w:tc>
      </w:tr>
      <w:tr w14:paraId="1248D6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3B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E51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1BC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9EC0C2">
            <w:pPr>
              <w:jc w:val="center"/>
            </w:pPr>
            <w:r>
              <w:rPr>
                <w:rFonts w:ascii="宋体" w:hAnsi="宋体" w:eastAsia="宋体"/>
                <w:sz w:val="16"/>
              </w:rPr>
              <w:t>92.24分</w:t>
            </w:r>
          </w:p>
        </w:tc>
      </w:tr>
    </w:tbl>
    <w:p w14:paraId="113A1D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5B36A64">
        <w:tblPrEx>
          <w:tblCellMar>
            <w:top w:w="0" w:type="dxa"/>
            <w:left w:w="108" w:type="dxa"/>
            <w:bottom w:w="0" w:type="dxa"/>
            <w:right w:w="108" w:type="dxa"/>
          </w:tblCellMar>
        </w:tblPrEx>
        <w:tc>
          <w:tcPr>
            <w:tcW w:w="8848" w:type="dxa"/>
            <w:gridSpan w:val="14"/>
            <w:vAlign w:val="center"/>
          </w:tcPr>
          <w:p w14:paraId="345C5913">
            <w:pPr>
              <w:jc w:val="center"/>
            </w:pPr>
            <w:r>
              <w:rPr>
                <w:rFonts w:ascii="宋体" w:hAnsi="宋体" w:eastAsia="宋体"/>
                <w:sz w:val="24"/>
              </w:rPr>
              <w:t>项目支出绩效自评表</w:t>
            </w:r>
          </w:p>
        </w:tc>
      </w:tr>
      <w:tr w14:paraId="696EAC93">
        <w:tblPrEx>
          <w:tblCellMar>
            <w:top w:w="0" w:type="dxa"/>
            <w:left w:w="108" w:type="dxa"/>
            <w:bottom w:w="0" w:type="dxa"/>
            <w:right w:w="108" w:type="dxa"/>
          </w:tblCellMar>
        </w:tblPrEx>
        <w:tc>
          <w:tcPr>
            <w:tcW w:w="8848" w:type="dxa"/>
            <w:gridSpan w:val="14"/>
            <w:vAlign w:val="center"/>
          </w:tcPr>
          <w:p w14:paraId="46A8AE2C">
            <w:pPr>
              <w:jc w:val="center"/>
            </w:pPr>
            <w:r>
              <w:rPr>
                <w:rFonts w:ascii="宋体" w:hAnsi="宋体" w:eastAsia="宋体"/>
                <w:sz w:val="24"/>
              </w:rPr>
              <w:t>(2024年度)</w:t>
            </w:r>
          </w:p>
        </w:tc>
      </w:tr>
      <w:tr w14:paraId="660DD6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BB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E57902">
            <w:pPr>
              <w:jc w:val="center"/>
            </w:pPr>
            <w:r>
              <w:rPr>
                <w:rFonts w:ascii="宋体" w:hAnsi="宋体" w:eastAsia="宋体"/>
                <w:sz w:val="16"/>
              </w:rPr>
              <w:t>2024年自治区农产品质量安全奖补资金项目</w:t>
            </w:r>
          </w:p>
        </w:tc>
      </w:tr>
      <w:tr w14:paraId="0F1FF9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D2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F8FCB">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18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4E9711">
            <w:pPr>
              <w:jc w:val="center"/>
            </w:pPr>
            <w:r>
              <w:rPr>
                <w:rFonts w:ascii="宋体" w:hAnsi="宋体" w:eastAsia="宋体"/>
                <w:sz w:val="16"/>
              </w:rPr>
              <w:t>喀什地区农产品质量安全农作物种子质量监督综合检验检测中心</w:t>
            </w:r>
          </w:p>
        </w:tc>
      </w:tr>
      <w:tr w14:paraId="365390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1C7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37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27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B86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52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FBC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A44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F652">
            <w:pPr>
              <w:jc w:val="center"/>
            </w:pPr>
            <w:r>
              <w:rPr>
                <w:rFonts w:ascii="宋体" w:hAnsi="宋体" w:eastAsia="宋体"/>
                <w:sz w:val="16"/>
              </w:rPr>
              <w:t>得分</w:t>
            </w:r>
          </w:p>
        </w:tc>
      </w:tr>
      <w:tr w14:paraId="0B984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D5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A4D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EDA2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3CA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757B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452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E396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D553">
            <w:pPr>
              <w:jc w:val="center"/>
            </w:pPr>
            <w:r>
              <w:rPr>
                <w:rFonts w:ascii="宋体" w:hAnsi="宋体" w:eastAsia="宋体"/>
                <w:sz w:val="16"/>
              </w:rPr>
              <w:t>10.00分</w:t>
            </w:r>
          </w:p>
        </w:tc>
      </w:tr>
      <w:tr w14:paraId="47581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062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2C7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45DD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0688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0BC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CD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F36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5D52">
            <w:pPr>
              <w:jc w:val="center"/>
            </w:pPr>
            <w:r>
              <w:rPr>
                <w:rFonts w:ascii="宋体" w:hAnsi="宋体" w:eastAsia="宋体"/>
                <w:sz w:val="16"/>
              </w:rPr>
              <w:t>—</w:t>
            </w:r>
          </w:p>
        </w:tc>
      </w:tr>
      <w:tr w14:paraId="34902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17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F8A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75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14C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5B3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30B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BF1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DF3E">
            <w:pPr>
              <w:jc w:val="center"/>
            </w:pPr>
            <w:r>
              <w:rPr>
                <w:rFonts w:ascii="宋体" w:hAnsi="宋体" w:eastAsia="宋体"/>
                <w:sz w:val="16"/>
              </w:rPr>
              <w:t>—</w:t>
            </w:r>
          </w:p>
        </w:tc>
      </w:tr>
      <w:tr w14:paraId="7C1F76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0570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8EF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C6AF5E">
            <w:pPr>
              <w:jc w:val="center"/>
            </w:pPr>
            <w:r>
              <w:rPr>
                <w:rFonts w:ascii="宋体" w:hAnsi="宋体" w:eastAsia="宋体"/>
                <w:sz w:val="16"/>
              </w:rPr>
              <w:t>实际完成情况</w:t>
            </w:r>
          </w:p>
        </w:tc>
      </w:tr>
      <w:tr w14:paraId="30FE3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827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37A9C">
            <w:pPr>
              <w:jc w:val="both"/>
            </w:pPr>
            <w:r>
              <w:rPr>
                <w:rFonts w:ascii="宋体" w:hAnsi="宋体" w:eastAsia="宋体"/>
                <w:sz w:val="16"/>
              </w:rPr>
              <w:t>通过对胶体金采购及检测数量不低于100批次和举办培训场次不低于3场次、培训人数不低于60人次的项目实施要求，以此来提高检测人员持证上岗率，使喀什地区农产品质检中心体系运行更加顺畅，各部门之间配合更加紧密，提升业务工作效率和检验检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B5AEE">
            <w:pPr>
              <w:jc w:val="both"/>
            </w:pPr>
            <w:r>
              <w:rPr>
                <w:rFonts w:ascii="宋体" w:hAnsi="宋体" w:eastAsia="宋体"/>
                <w:sz w:val="16"/>
              </w:rPr>
              <w:t>通过项目实施，采购了一批检验检测所需的试剂耗材，印制了检验检测所需的单据，委托开展了检测设备检定校准，提升业务工作效率和检验检测效率；利用胶体金检测新技术补充认证参数不足，购买胶体金并开展快速检测100批次，为全面提高各级农产品质检机构检测水平积累经验；组织开展3场次检测技术人员培训，培训人次70余人次，不断提升喀什地区农产品检测技术水平。</w:t>
            </w:r>
          </w:p>
        </w:tc>
      </w:tr>
      <w:tr w14:paraId="7A282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AEE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4B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F3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BB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3A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DD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6E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F7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64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DE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4F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EB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56D44">
            <w:pPr>
              <w:jc w:val="center"/>
            </w:pPr>
            <w:r>
              <w:rPr>
                <w:rFonts w:ascii="宋体" w:hAnsi="宋体" w:eastAsia="宋体"/>
                <w:sz w:val="16"/>
              </w:rPr>
              <w:t>偏差原因分析及改进措施</w:t>
            </w:r>
          </w:p>
        </w:tc>
      </w:tr>
      <w:tr w14:paraId="4B1B56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89B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C57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359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70A1">
            <w:pPr>
              <w:jc w:val="center"/>
            </w:pPr>
            <w:r>
              <w:rPr>
                <w:rFonts w:ascii="宋体" w:hAnsi="宋体" w:eastAsia="宋体"/>
                <w:sz w:val="16"/>
              </w:rPr>
              <w:t>胶体金采购及检测数量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452C">
            <w:pPr>
              <w:jc w:val="center"/>
            </w:pPr>
            <w:r>
              <w:rPr>
                <w:rFonts w:ascii="宋体" w:hAnsi="宋体" w:eastAsia="宋体"/>
                <w:sz w:val="16"/>
              </w:rPr>
              <w:t>&gt;=100批次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0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86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1E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9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6A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0C37">
            <w:pPr>
              <w:jc w:val="center"/>
            </w:pPr>
            <w:r>
              <w:rPr>
                <w:rFonts w:ascii="宋体" w:hAnsi="宋体" w:eastAsia="宋体"/>
                <w:sz w:val="16"/>
              </w:rPr>
              <w:t>=100批次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F25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39ED0">
            <w:pPr>
              <w:jc w:val="center"/>
            </w:pPr>
          </w:p>
        </w:tc>
      </w:tr>
      <w:tr w14:paraId="2B38B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7A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F4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C69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5313">
            <w:pPr>
              <w:jc w:val="center"/>
            </w:pPr>
            <w:r>
              <w:rPr>
                <w:rFonts w:ascii="宋体" w:hAnsi="宋体" w:eastAsia="宋体"/>
                <w:sz w:val="16"/>
              </w:rPr>
              <w:t>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247E">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8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BE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BA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66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9B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5B1C">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535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7449B">
            <w:pPr>
              <w:jc w:val="center"/>
            </w:pPr>
          </w:p>
        </w:tc>
      </w:tr>
      <w:tr w14:paraId="205EE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DB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76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B3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302F">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4311">
            <w:pPr>
              <w:jc w:val="center"/>
            </w:pPr>
            <w:r>
              <w:rPr>
                <w:rFonts w:ascii="宋体" w:hAnsi="宋体" w:eastAsia="宋体"/>
                <w:sz w:val="16"/>
              </w:rPr>
              <w:t>&gt;=60人次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C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C0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CD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54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CD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9096">
            <w:pPr>
              <w:jc w:val="center"/>
            </w:pPr>
            <w:r>
              <w:rPr>
                <w:rFonts w:ascii="宋体" w:hAnsi="宋体" w:eastAsia="宋体"/>
                <w:sz w:val="16"/>
              </w:rPr>
              <w:t>=66人次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70B7">
            <w:pPr>
              <w:jc w:val="center"/>
            </w:pPr>
            <w:r>
              <w:rPr>
                <w:rFonts w:ascii="宋体" w:hAnsi="宋体" w:eastAsia="宋体"/>
                <w:sz w:val="16"/>
              </w:rPr>
              <w:t>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BD2A2">
            <w:pPr>
              <w:jc w:val="center"/>
            </w:pPr>
            <w:r>
              <w:rPr>
                <w:rFonts w:ascii="宋体" w:hAnsi="宋体" w:eastAsia="宋体"/>
                <w:sz w:val="16"/>
              </w:rPr>
              <w:t>根据喀什地区实际及工作需要，增加了检测培训力度。</w:t>
            </w:r>
          </w:p>
        </w:tc>
      </w:tr>
      <w:tr w14:paraId="21406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75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E1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4C7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C823">
            <w:pPr>
              <w:jc w:val="center"/>
            </w:pPr>
            <w:r>
              <w:rPr>
                <w:rFonts w:ascii="宋体" w:hAnsi="宋体" w:eastAsia="宋体"/>
                <w:sz w:val="16"/>
              </w:rPr>
              <w:t>年度资金执行率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3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6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71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5E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28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0E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C3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285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E9845">
            <w:pPr>
              <w:jc w:val="center"/>
            </w:pPr>
          </w:p>
        </w:tc>
      </w:tr>
      <w:tr w14:paraId="2D26D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BC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823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5C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4F6C">
            <w:pPr>
              <w:jc w:val="center"/>
            </w:pPr>
            <w:r>
              <w:rPr>
                <w:rFonts w:ascii="宋体" w:hAnsi="宋体" w:eastAsia="宋体"/>
                <w:sz w:val="16"/>
              </w:rPr>
              <w:t>检测人员持证上岗率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E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E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A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574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E8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A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7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8D7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EEB03">
            <w:pPr>
              <w:jc w:val="center"/>
            </w:pPr>
          </w:p>
        </w:tc>
      </w:tr>
      <w:tr w14:paraId="0768E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D9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E4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79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0BE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0326">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EF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5D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EE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3B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0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10F6">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19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ED2AA">
            <w:pPr>
              <w:jc w:val="center"/>
            </w:pPr>
          </w:p>
        </w:tc>
      </w:tr>
      <w:tr w14:paraId="09DF8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E8D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33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1A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A5DE">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10B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9D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0E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C3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AA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B2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73B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FC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8B5BC">
            <w:pPr>
              <w:jc w:val="center"/>
            </w:pPr>
          </w:p>
        </w:tc>
      </w:tr>
      <w:tr w14:paraId="74350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FC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944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C0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1B12">
            <w:pPr>
              <w:jc w:val="center"/>
            </w:pPr>
            <w:r>
              <w:rPr>
                <w:rFonts w:ascii="宋体" w:hAnsi="宋体" w:eastAsia="宋体"/>
                <w:sz w:val="16"/>
              </w:rPr>
              <w:t>专业检测技术人员能力得到提升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A9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B3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C7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D9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F9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2D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787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36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C9855">
            <w:pPr>
              <w:jc w:val="center"/>
            </w:pPr>
          </w:p>
        </w:tc>
      </w:tr>
      <w:tr w14:paraId="089FB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778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EF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3B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B871">
            <w:pPr>
              <w:jc w:val="center"/>
            </w:pPr>
            <w:r>
              <w:rPr>
                <w:rFonts w:ascii="宋体" w:hAnsi="宋体" w:eastAsia="宋体"/>
                <w:sz w:val="16"/>
              </w:rPr>
              <w:t>服务群体满意度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1C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A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D5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95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E4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4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C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17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311DD">
            <w:pPr>
              <w:jc w:val="center"/>
            </w:pPr>
            <w:r>
              <w:rPr>
                <w:rFonts w:ascii="宋体" w:hAnsi="宋体" w:eastAsia="宋体"/>
                <w:sz w:val="16"/>
              </w:rPr>
              <w:t>年度预期指标较低，项目执行情况较好，服务人员满意，导致出现正偏差</w:t>
            </w:r>
          </w:p>
        </w:tc>
      </w:tr>
      <w:tr w14:paraId="791985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0AF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6CC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4A2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8F520">
            <w:pPr>
              <w:jc w:val="center"/>
            </w:pPr>
            <w:r>
              <w:rPr>
                <w:rFonts w:ascii="宋体" w:hAnsi="宋体" w:eastAsia="宋体"/>
                <w:sz w:val="16"/>
              </w:rPr>
              <w:t>98.4分</w:t>
            </w:r>
          </w:p>
        </w:tc>
      </w:tr>
    </w:tbl>
    <w:p w14:paraId="567A538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579851AF">
        <w:tblPrEx>
          <w:tblCellMar>
            <w:top w:w="0" w:type="dxa"/>
            <w:left w:w="108" w:type="dxa"/>
            <w:bottom w:w="0" w:type="dxa"/>
            <w:right w:w="108" w:type="dxa"/>
          </w:tblCellMar>
        </w:tblPrEx>
        <w:tc>
          <w:tcPr>
            <w:tcW w:w="8848" w:type="dxa"/>
            <w:gridSpan w:val="14"/>
            <w:vAlign w:val="center"/>
          </w:tcPr>
          <w:p w14:paraId="20B4B022">
            <w:pPr>
              <w:jc w:val="center"/>
            </w:pPr>
            <w:r>
              <w:rPr>
                <w:rFonts w:ascii="宋体" w:hAnsi="宋体" w:eastAsia="宋体"/>
                <w:sz w:val="24"/>
              </w:rPr>
              <w:t>项目支出绩效自评表</w:t>
            </w:r>
          </w:p>
        </w:tc>
      </w:tr>
      <w:tr w14:paraId="6CB56672">
        <w:tblPrEx>
          <w:tblCellMar>
            <w:top w:w="0" w:type="dxa"/>
            <w:left w:w="108" w:type="dxa"/>
            <w:bottom w:w="0" w:type="dxa"/>
            <w:right w:w="108" w:type="dxa"/>
          </w:tblCellMar>
        </w:tblPrEx>
        <w:tc>
          <w:tcPr>
            <w:tcW w:w="8848" w:type="dxa"/>
            <w:gridSpan w:val="14"/>
            <w:vAlign w:val="center"/>
          </w:tcPr>
          <w:p w14:paraId="470237B1">
            <w:pPr>
              <w:jc w:val="center"/>
            </w:pPr>
            <w:r>
              <w:rPr>
                <w:rFonts w:ascii="宋体" w:hAnsi="宋体" w:eastAsia="宋体"/>
                <w:sz w:val="24"/>
              </w:rPr>
              <w:t>(2024年度)</w:t>
            </w:r>
          </w:p>
        </w:tc>
      </w:tr>
      <w:tr w14:paraId="1F1374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58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99D2C2">
            <w:pPr>
              <w:jc w:val="center"/>
            </w:pPr>
            <w:r>
              <w:rPr>
                <w:rFonts w:ascii="宋体" w:hAnsi="宋体" w:eastAsia="宋体"/>
                <w:sz w:val="16"/>
              </w:rPr>
              <w:t>喀什地区农产品质量安全检验检测项目</w:t>
            </w:r>
          </w:p>
        </w:tc>
      </w:tr>
      <w:tr w14:paraId="27A815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0A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C4FFA">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B3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170D05">
            <w:pPr>
              <w:jc w:val="center"/>
            </w:pPr>
            <w:r>
              <w:rPr>
                <w:rFonts w:ascii="宋体" w:hAnsi="宋体" w:eastAsia="宋体"/>
                <w:sz w:val="16"/>
              </w:rPr>
              <w:t>喀什地区农产品质量安全农作物种子质量监督综合检验检测中心</w:t>
            </w:r>
          </w:p>
        </w:tc>
      </w:tr>
      <w:tr w14:paraId="3B73DB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A80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EBE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E16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372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A45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A52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9E0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EA2A">
            <w:pPr>
              <w:jc w:val="center"/>
            </w:pPr>
            <w:r>
              <w:rPr>
                <w:rFonts w:ascii="宋体" w:hAnsi="宋体" w:eastAsia="宋体"/>
                <w:sz w:val="16"/>
              </w:rPr>
              <w:t>得分</w:t>
            </w:r>
          </w:p>
        </w:tc>
      </w:tr>
      <w:tr w14:paraId="67685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FBA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510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DB270">
            <w:pPr>
              <w:jc w:val="center"/>
            </w:pPr>
            <w:r>
              <w:rPr>
                <w:rFonts w:ascii="宋体" w:hAnsi="宋体" w:eastAsia="宋体"/>
                <w:sz w:val="16"/>
              </w:rPr>
              <w:t>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9A1E0">
            <w:pPr>
              <w:jc w:val="center"/>
            </w:pPr>
            <w:r>
              <w:rPr>
                <w:rFonts w:ascii="宋体" w:hAnsi="宋体" w:eastAsia="宋体"/>
                <w:sz w:val="16"/>
              </w:rPr>
              <w:t>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8E641">
            <w:pPr>
              <w:jc w:val="center"/>
            </w:pPr>
            <w:r>
              <w:rPr>
                <w:rFonts w:ascii="宋体" w:hAnsi="宋体" w:eastAsia="宋体"/>
                <w:sz w:val="16"/>
              </w:rPr>
              <w:t>97.80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12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790EC">
            <w:pPr>
              <w:jc w:val="center"/>
            </w:pPr>
            <w:r>
              <w:rPr>
                <w:rFonts w:ascii="宋体" w:hAnsi="宋体" w:eastAsia="宋体"/>
                <w:sz w:val="16"/>
              </w:rPr>
              <w:t>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48A8">
            <w:pPr>
              <w:jc w:val="center"/>
            </w:pPr>
            <w:r>
              <w:rPr>
                <w:rFonts w:ascii="宋体" w:hAnsi="宋体" w:eastAsia="宋体"/>
                <w:sz w:val="16"/>
              </w:rPr>
              <w:t>9.55分</w:t>
            </w:r>
          </w:p>
        </w:tc>
      </w:tr>
      <w:tr w14:paraId="338A2E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F3E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2AC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4881">
            <w:pPr>
              <w:jc w:val="center"/>
            </w:pPr>
            <w:r>
              <w:rPr>
                <w:rFonts w:ascii="宋体" w:hAnsi="宋体" w:eastAsia="宋体"/>
                <w:sz w:val="16"/>
              </w:rPr>
              <w:t>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36D8B">
            <w:pPr>
              <w:jc w:val="center"/>
            </w:pPr>
            <w:r>
              <w:rPr>
                <w:rFonts w:ascii="宋体" w:hAnsi="宋体" w:eastAsia="宋体"/>
                <w:sz w:val="16"/>
              </w:rPr>
              <w:t>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0FC40">
            <w:pPr>
              <w:jc w:val="center"/>
            </w:pPr>
            <w:r>
              <w:rPr>
                <w:rFonts w:ascii="宋体" w:hAnsi="宋体" w:eastAsia="宋体"/>
                <w:sz w:val="16"/>
              </w:rPr>
              <w:t>97.80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E6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31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286F">
            <w:pPr>
              <w:jc w:val="center"/>
            </w:pPr>
            <w:r>
              <w:rPr>
                <w:rFonts w:ascii="宋体" w:hAnsi="宋体" w:eastAsia="宋体"/>
                <w:sz w:val="16"/>
              </w:rPr>
              <w:t>—</w:t>
            </w:r>
          </w:p>
        </w:tc>
      </w:tr>
      <w:tr w14:paraId="0D309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AE9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BF9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085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E0C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D7A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C1F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94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60E6">
            <w:pPr>
              <w:jc w:val="center"/>
            </w:pPr>
            <w:r>
              <w:rPr>
                <w:rFonts w:ascii="宋体" w:hAnsi="宋体" w:eastAsia="宋体"/>
                <w:sz w:val="16"/>
              </w:rPr>
              <w:t>—</w:t>
            </w:r>
          </w:p>
        </w:tc>
      </w:tr>
      <w:tr w14:paraId="698804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1C3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105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F19B0">
            <w:pPr>
              <w:jc w:val="center"/>
            </w:pPr>
            <w:r>
              <w:rPr>
                <w:rFonts w:ascii="宋体" w:hAnsi="宋体" w:eastAsia="宋体"/>
                <w:sz w:val="16"/>
              </w:rPr>
              <w:t>实际完成情况</w:t>
            </w:r>
          </w:p>
        </w:tc>
      </w:tr>
      <w:tr w14:paraId="533A8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91D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CA5FA">
            <w:pPr>
              <w:jc w:val="both"/>
            </w:pPr>
            <w:r>
              <w:rPr>
                <w:rFonts w:ascii="宋体" w:hAnsi="宋体" w:eastAsia="宋体"/>
                <w:sz w:val="16"/>
              </w:rPr>
              <w:t>2024年地区农产品质检中心完成定量检测任务1100批次，其中例行监测需要完成320批次，监督抽查需要完成780批次。其中种养殖（蔬菜、食用菌）为总数量的70%，即770批次；禽产品监测数量为总数量的20%，即220批次，水果产品监测数量为总数量的10%，即110批次</w:t>
            </w:r>
            <w:r>
              <w:rPr>
                <w:rFonts w:hint="eastAsia" w:ascii="宋体" w:hAnsi="宋体"/>
                <w:sz w:val="16"/>
                <w:lang w:eastAsia="zh-CN"/>
              </w:rPr>
              <w:t>,</w:t>
            </w:r>
            <w:r>
              <w:rPr>
                <w:rFonts w:ascii="宋体" w:hAnsi="宋体" w:eastAsia="宋体"/>
                <w:sz w:val="16"/>
              </w:rPr>
              <w:t>通过定期对喀什地区农产品的例行监测和监督抽查方式来达到有效减少农产品安全事故的社会效益。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D9AF2">
            <w:pPr>
              <w:jc w:val="both"/>
            </w:pPr>
            <w:r>
              <w:rPr>
                <w:rFonts w:ascii="宋体" w:hAnsi="宋体" w:eastAsia="宋体"/>
                <w:sz w:val="16"/>
              </w:rPr>
              <w:t>根据自治区《2024年自治区地、县农产品质量安全检验检测工作计划》、喀什地区《关于印发&lt;2024年喀什地区农产品质量安全监测方案&gt;的通知》（喀地农字</w:t>
            </w:r>
            <w:r>
              <w:rPr>
                <w:rFonts w:hint="eastAsia" w:ascii="宋体" w:hAnsi="宋体"/>
                <w:sz w:val="16"/>
                <w:lang w:eastAsia="zh-CN"/>
              </w:rPr>
              <w:t>〔2024〕1号</w:t>
            </w:r>
            <w:r>
              <w:rPr>
                <w:rFonts w:ascii="宋体" w:hAnsi="宋体" w:eastAsia="宋体"/>
                <w:sz w:val="16"/>
              </w:rPr>
              <w:t>）文件要求，</w:t>
            </w:r>
            <w:r>
              <w:rPr>
                <w:rFonts w:hint="eastAsia" w:ascii="宋体" w:hAnsi="宋体"/>
                <w:sz w:val="16"/>
                <w:lang w:eastAsia="zh-CN"/>
              </w:rPr>
              <w:t>本部门</w:t>
            </w:r>
            <w:r>
              <w:rPr>
                <w:rFonts w:ascii="宋体" w:hAnsi="宋体" w:eastAsia="宋体"/>
                <w:sz w:val="16"/>
              </w:rPr>
              <w:t>2024年对喀什全地区农产品质量安全开展例行监测及监督抽查1106批次，其中蔬菜及食用菌819批次、水果110批次、畜禽产品177批次。通过项目实施有效保障农产品质量安全。</w:t>
            </w:r>
          </w:p>
        </w:tc>
      </w:tr>
      <w:tr w14:paraId="3A64B6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9C6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6D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87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64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8B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CA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DA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FD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FD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D5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39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93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1B99">
            <w:pPr>
              <w:jc w:val="center"/>
            </w:pPr>
            <w:r>
              <w:rPr>
                <w:rFonts w:ascii="宋体" w:hAnsi="宋体" w:eastAsia="宋体"/>
                <w:sz w:val="16"/>
              </w:rPr>
              <w:t>偏差原因分析及改进措施</w:t>
            </w:r>
          </w:p>
        </w:tc>
      </w:tr>
      <w:tr w14:paraId="35DEDC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58D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7E9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0E5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F187">
            <w:pPr>
              <w:jc w:val="center"/>
            </w:pPr>
            <w:r>
              <w:rPr>
                <w:rFonts w:ascii="宋体" w:hAnsi="宋体" w:eastAsia="宋体"/>
                <w:sz w:val="16"/>
              </w:rPr>
              <w:t>种植业（蔬菜、食用菌）抽样次数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69FB">
            <w:pPr>
              <w:jc w:val="center"/>
            </w:pPr>
            <w:r>
              <w:rPr>
                <w:rFonts w:ascii="宋体" w:hAnsi="宋体" w:eastAsia="宋体"/>
                <w:sz w:val="16"/>
              </w:rPr>
              <w:t>&gt;=770批次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4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BE15">
            <w:pPr>
              <w:jc w:val="center"/>
            </w:pPr>
            <w:r>
              <w:rPr>
                <w:rFonts w:ascii="宋体" w:hAnsi="宋体" w:eastAsia="宋体"/>
                <w:sz w:val="16"/>
              </w:rPr>
              <w:t>1170批次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3A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BC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0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8B5C">
            <w:pPr>
              <w:jc w:val="center"/>
            </w:pPr>
            <w:r>
              <w:rPr>
                <w:rFonts w:ascii="宋体" w:hAnsi="宋体" w:eastAsia="宋体"/>
                <w:sz w:val="16"/>
              </w:rPr>
              <w:t>=819批次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8F0F">
            <w:pPr>
              <w:jc w:val="center"/>
            </w:pPr>
            <w:r>
              <w:rPr>
                <w:rFonts w:ascii="宋体" w:hAnsi="宋体" w:eastAsia="宋体"/>
                <w:sz w:val="16"/>
              </w:rPr>
              <w:t>5.62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0325B">
            <w:pPr>
              <w:jc w:val="center"/>
            </w:pPr>
            <w:r>
              <w:rPr>
                <w:rFonts w:ascii="宋体" w:hAnsi="宋体" w:eastAsia="宋体"/>
                <w:sz w:val="16"/>
              </w:rPr>
              <w:t>根据自治区要求及地区实际，增加对蔬菜的检测频次，减少了对畜禽的监测频次</w:t>
            </w:r>
          </w:p>
        </w:tc>
      </w:tr>
      <w:tr w14:paraId="31147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B9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E2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4B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4BD6">
            <w:pPr>
              <w:jc w:val="center"/>
            </w:pPr>
            <w:r>
              <w:rPr>
                <w:rFonts w:ascii="宋体" w:hAnsi="宋体" w:eastAsia="宋体"/>
                <w:sz w:val="16"/>
              </w:rPr>
              <w:t>畜产品抽样次数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0935">
            <w:pPr>
              <w:jc w:val="center"/>
            </w:pPr>
            <w:r>
              <w:rPr>
                <w:rFonts w:ascii="宋体" w:hAnsi="宋体" w:eastAsia="宋体"/>
                <w:sz w:val="16"/>
              </w:rPr>
              <w:t>&gt;=220批次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1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4EEF">
            <w:pPr>
              <w:jc w:val="center"/>
            </w:pPr>
            <w:r>
              <w:rPr>
                <w:rFonts w:ascii="宋体" w:hAnsi="宋体" w:eastAsia="宋体"/>
                <w:sz w:val="16"/>
              </w:rPr>
              <w:t>130批次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7A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F0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9D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2D8E">
            <w:pPr>
              <w:jc w:val="center"/>
            </w:pPr>
            <w:r>
              <w:rPr>
                <w:rFonts w:ascii="宋体" w:hAnsi="宋体" w:eastAsia="宋体"/>
                <w:sz w:val="16"/>
              </w:rPr>
              <w:t>=177批次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71B0">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48E98">
            <w:pPr>
              <w:jc w:val="center"/>
            </w:pPr>
            <w:r>
              <w:rPr>
                <w:rFonts w:ascii="宋体" w:hAnsi="宋体" w:eastAsia="宋体"/>
                <w:sz w:val="16"/>
              </w:rPr>
              <w:t>根据自治区要求及地区实际，增加对蔬菜的检测频次，减少了对畜禽的监测频次，因此减少了对畜禽产品的检测频次。改进措施：根据工作任务，科学合理地设置绩效指标，做好项目成本预算，提高绩效目标编制的合理性</w:t>
            </w:r>
          </w:p>
        </w:tc>
      </w:tr>
      <w:tr w14:paraId="7C921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04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4C2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6B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4A62">
            <w:pPr>
              <w:jc w:val="center"/>
            </w:pPr>
            <w:r>
              <w:rPr>
                <w:rFonts w:ascii="宋体" w:hAnsi="宋体" w:eastAsia="宋体"/>
                <w:sz w:val="16"/>
              </w:rPr>
              <w:t>水果抽检批次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5E9F">
            <w:pPr>
              <w:jc w:val="center"/>
            </w:pPr>
            <w:r>
              <w:rPr>
                <w:rFonts w:ascii="宋体" w:hAnsi="宋体" w:eastAsia="宋体"/>
                <w:sz w:val="16"/>
              </w:rPr>
              <w:t>&gt;=110批次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C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5DC5">
            <w:pPr>
              <w:jc w:val="center"/>
            </w:pPr>
            <w:r>
              <w:rPr>
                <w:rFonts w:ascii="宋体" w:hAnsi="宋体" w:eastAsia="宋体"/>
                <w:sz w:val="16"/>
              </w:rPr>
              <w:t>130批次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22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2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A2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FD7F">
            <w:pPr>
              <w:jc w:val="center"/>
            </w:pPr>
            <w:r>
              <w:rPr>
                <w:rFonts w:ascii="宋体" w:hAnsi="宋体" w:eastAsia="宋体"/>
                <w:sz w:val="16"/>
              </w:rPr>
              <w:t>=110批次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645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D987F">
            <w:pPr>
              <w:jc w:val="center"/>
            </w:pPr>
          </w:p>
        </w:tc>
      </w:tr>
      <w:tr w14:paraId="2BFB7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B0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7EF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214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6338">
            <w:pPr>
              <w:jc w:val="center"/>
            </w:pPr>
            <w:r>
              <w:rPr>
                <w:rFonts w:ascii="宋体" w:hAnsi="宋体" w:eastAsia="宋体"/>
                <w:sz w:val="16"/>
              </w:rPr>
              <w:t>农产品质量安全检测产品覆盖率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E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2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64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5F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D0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25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38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5EF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DE2F3">
            <w:pPr>
              <w:jc w:val="center"/>
            </w:pPr>
          </w:p>
        </w:tc>
      </w:tr>
      <w:tr w14:paraId="18E07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01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04B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C1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A079">
            <w:pPr>
              <w:jc w:val="center"/>
            </w:pPr>
            <w:r>
              <w:rPr>
                <w:rFonts w:ascii="宋体" w:hAnsi="宋体" w:eastAsia="宋体"/>
                <w:sz w:val="16"/>
              </w:rPr>
              <w:t>农产品质量安全检测产地覆盖率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E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AA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27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B2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17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45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9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0AA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1005">
            <w:pPr>
              <w:jc w:val="center"/>
            </w:pPr>
          </w:p>
        </w:tc>
      </w:tr>
      <w:tr w14:paraId="2D9F2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44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F33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EB7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AE48">
            <w:pPr>
              <w:jc w:val="center"/>
            </w:pPr>
            <w:r>
              <w:rPr>
                <w:rFonts w:ascii="宋体" w:hAnsi="宋体" w:eastAsia="宋体"/>
                <w:sz w:val="16"/>
              </w:rPr>
              <w:t>产品质量安全开展检测完成及时率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B483">
            <w:pPr>
              <w:jc w:val="center"/>
            </w:pPr>
            <w:r>
              <w:rPr>
                <w:rFonts w:ascii="宋体" w:hAnsi="宋体" w:eastAsia="宋体"/>
                <w:sz w:val="16"/>
              </w:rPr>
              <w:t>&lt;=15个工作日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C1B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5E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AE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2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CA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70C7">
            <w:pPr>
              <w:jc w:val="center"/>
            </w:pPr>
            <w:r>
              <w:rPr>
                <w:rFonts w:ascii="宋体" w:hAnsi="宋体" w:eastAsia="宋体"/>
                <w:sz w:val="16"/>
              </w:rPr>
              <w:t>=15个工作日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D4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62B4">
            <w:pPr>
              <w:jc w:val="center"/>
            </w:pPr>
          </w:p>
        </w:tc>
      </w:tr>
      <w:tr w14:paraId="4F0DF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B28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88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B8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06F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1E27">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8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09B3">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BF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DA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F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34C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87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8F304">
            <w:pPr>
              <w:jc w:val="center"/>
            </w:pPr>
            <w:r>
              <w:rPr>
                <w:rFonts w:ascii="宋体" w:hAnsi="宋体" w:eastAsia="宋体"/>
                <w:sz w:val="16"/>
              </w:rPr>
              <w:t>项目预算时时间预算不精准，致使预算时间不够。改进措施：科学合理地设置绩效指标，做好项目成本预算，提高绩效目标编制的合理性，确保能够在计划时间内完成项目内容。</w:t>
            </w:r>
          </w:p>
        </w:tc>
      </w:tr>
      <w:tr w14:paraId="59335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224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65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0D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D6DE">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24AD">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DE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B9C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3B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D6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95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C9EA">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E4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84B10">
            <w:pPr>
              <w:jc w:val="center"/>
            </w:pPr>
          </w:p>
        </w:tc>
      </w:tr>
      <w:tr w14:paraId="3B2D7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C73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56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FF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3A45">
            <w:pPr>
              <w:jc w:val="center"/>
            </w:pPr>
            <w:r>
              <w:rPr>
                <w:rFonts w:ascii="宋体" w:hAnsi="宋体" w:eastAsia="宋体"/>
                <w:sz w:val="16"/>
              </w:rPr>
              <w:t>保障农产品质量安全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2E5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7C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F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1F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4A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14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BEC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41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51E50">
            <w:pPr>
              <w:jc w:val="center"/>
            </w:pPr>
          </w:p>
        </w:tc>
      </w:tr>
      <w:tr w14:paraId="0DD9EA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52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13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7C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BB18">
            <w:pPr>
              <w:jc w:val="center"/>
            </w:pPr>
            <w:r>
              <w:rPr>
                <w:rFonts w:ascii="宋体" w:hAnsi="宋体" w:eastAsia="宋体"/>
                <w:sz w:val="16"/>
              </w:rPr>
              <w:t>受惠人员满意度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5B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7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12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B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69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A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E517">
            <w:pPr>
              <w:jc w:val="center"/>
            </w:pPr>
            <w:r>
              <w:rPr>
                <w:rFonts w:ascii="宋体" w:hAnsi="宋体" w:eastAsia="宋体"/>
                <w:sz w:val="16"/>
              </w:rPr>
              <w:t>=99.56%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47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390C">
            <w:pPr>
              <w:jc w:val="center"/>
            </w:pPr>
            <w:r>
              <w:rPr>
                <w:rFonts w:ascii="宋体" w:hAnsi="宋体" w:eastAsia="宋体"/>
                <w:sz w:val="16"/>
              </w:rPr>
              <w:t>在检测工作中，认真谋划，做到了检测范围全覆盖、检测品种全覆盖，为服务群体提供高质量检测服务。</w:t>
            </w:r>
          </w:p>
        </w:tc>
      </w:tr>
      <w:tr w14:paraId="75BCA4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30E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57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63D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85514A">
            <w:pPr>
              <w:jc w:val="center"/>
            </w:pPr>
            <w:r>
              <w:rPr>
                <w:rFonts w:ascii="宋体" w:hAnsi="宋体" w:eastAsia="宋体"/>
                <w:sz w:val="16"/>
              </w:rPr>
              <w:t>91.24分</w:t>
            </w:r>
          </w:p>
        </w:tc>
      </w:tr>
    </w:tbl>
    <w:p w14:paraId="532AE02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16"/>
        <w:gridCol w:w="616"/>
        <w:gridCol w:w="616"/>
        <w:gridCol w:w="776"/>
        <w:gridCol w:w="632"/>
        <w:gridCol w:w="600"/>
        <w:gridCol w:w="632"/>
      </w:tblGrid>
      <w:tr w14:paraId="0B473567">
        <w:tblPrEx>
          <w:tblCellMar>
            <w:top w:w="0" w:type="dxa"/>
            <w:left w:w="108" w:type="dxa"/>
            <w:bottom w:w="0" w:type="dxa"/>
            <w:right w:w="108" w:type="dxa"/>
          </w:tblCellMar>
        </w:tblPrEx>
        <w:tc>
          <w:tcPr>
            <w:tcW w:w="8848" w:type="dxa"/>
            <w:gridSpan w:val="14"/>
            <w:vAlign w:val="center"/>
          </w:tcPr>
          <w:p w14:paraId="5D6DF37B">
            <w:pPr>
              <w:jc w:val="center"/>
            </w:pPr>
            <w:r>
              <w:rPr>
                <w:rFonts w:ascii="宋体" w:hAnsi="宋体" w:eastAsia="宋体"/>
                <w:sz w:val="24"/>
              </w:rPr>
              <w:t>项目支出绩效自评表</w:t>
            </w:r>
          </w:p>
        </w:tc>
      </w:tr>
      <w:tr w14:paraId="1F74FA43">
        <w:tblPrEx>
          <w:tblCellMar>
            <w:top w:w="0" w:type="dxa"/>
            <w:left w:w="108" w:type="dxa"/>
            <w:bottom w:w="0" w:type="dxa"/>
            <w:right w:w="108" w:type="dxa"/>
          </w:tblCellMar>
        </w:tblPrEx>
        <w:tc>
          <w:tcPr>
            <w:tcW w:w="8848" w:type="dxa"/>
            <w:gridSpan w:val="14"/>
            <w:vAlign w:val="center"/>
          </w:tcPr>
          <w:p w14:paraId="564642EC">
            <w:pPr>
              <w:jc w:val="center"/>
            </w:pPr>
            <w:r>
              <w:rPr>
                <w:rFonts w:ascii="宋体" w:hAnsi="宋体" w:eastAsia="宋体"/>
                <w:sz w:val="24"/>
              </w:rPr>
              <w:t>(2024年度)</w:t>
            </w:r>
          </w:p>
        </w:tc>
      </w:tr>
      <w:tr w14:paraId="2C02B7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8A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813154">
            <w:pPr>
              <w:jc w:val="center"/>
            </w:pPr>
            <w:r>
              <w:rPr>
                <w:rFonts w:ascii="宋体" w:hAnsi="宋体" w:eastAsia="宋体"/>
                <w:sz w:val="16"/>
              </w:rPr>
              <w:t>地区农产品质量检测中心设备购置项目</w:t>
            </w:r>
          </w:p>
        </w:tc>
      </w:tr>
      <w:tr w14:paraId="5B75D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5A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90246">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32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7BDBF5">
            <w:pPr>
              <w:jc w:val="center"/>
            </w:pPr>
            <w:r>
              <w:rPr>
                <w:rFonts w:ascii="宋体" w:hAnsi="宋体" w:eastAsia="宋体"/>
                <w:sz w:val="16"/>
              </w:rPr>
              <w:t>喀什地区农产品质量安全农作物种子质量监督综合检验检测中心</w:t>
            </w:r>
          </w:p>
        </w:tc>
      </w:tr>
      <w:tr w14:paraId="6F7921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E4B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3F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0D0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380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2B6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00F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DB5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140B">
            <w:pPr>
              <w:jc w:val="center"/>
            </w:pPr>
            <w:r>
              <w:rPr>
                <w:rFonts w:ascii="宋体" w:hAnsi="宋体" w:eastAsia="宋体"/>
                <w:sz w:val="16"/>
              </w:rPr>
              <w:t>得分</w:t>
            </w:r>
          </w:p>
        </w:tc>
      </w:tr>
      <w:tr w14:paraId="6425D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19F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735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F2278">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06BFD">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736A">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947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3583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B82F">
            <w:pPr>
              <w:jc w:val="center"/>
            </w:pPr>
            <w:r>
              <w:rPr>
                <w:rFonts w:ascii="宋体" w:hAnsi="宋体" w:eastAsia="宋体"/>
                <w:sz w:val="16"/>
              </w:rPr>
              <w:t>10.00分</w:t>
            </w:r>
          </w:p>
        </w:tc>
      </w:tr>
      <w:tr w14:paraId="39FE9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7C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BF3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90CC9">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C0F4">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C6913">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A4E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554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3DEA">
            <w:pPr>
              <w:jc w:val="center"/>
            </w:pPr>
            <w:r>
              <w:rPr>
                <w:rFonts w:ascii="宋体" w:hAnsi="宋体" w:eastAsia="宋体"/>
                <w:sz w:val="16"/>
              </w:rPr>
              <w:t>—</w:t>
            </w:r>
          </w:p>
        </w:tc>
      </w:tr>
      <w:tr w14:paraId="6EA3A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0F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84B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EF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BB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7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292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15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BA6D">
            <w:pPr>
              <w:jc w:val="center"/>
            </w:pPr>
            <w:r>
              <w:rPr>
                <w:rFonts w:ascii="宋体" w:hAnsi="宋体" w:eastAsia="宋体"/>
                <w:sz w:val="16"/>
              </w:rPr>
              <w:t>—</w:t>
            </w:r>
          </w:p>
        </w:tc>
      </w:tr>
      <w:tr w14:paraId="71CF89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73C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348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9A7BC5">
            <w:pPr>
              <w:jc w:val="center"/>
            </w:pPr>
            <w:r>
              <w:rPr>
                <w:rFonts w:ascii="宋体" w:hAnsi="宋体" w:eastAsia="宋体"/>
                <w:sz w:val="16"/>
              </w:rPr>
              <w:t>实际完成情况</w:t>
            </w:r>
          </w:p>
        </w:tc>
      </w:tr>
      <w:tr w14:paraId="29848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F76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40F38">
            <w:pPr>
              <w:jc w:val="both"/>
            </w:pPr>
            <w:r>
              <w:rPr>
                <w:rFonts w:ascii="宋体" w:hAnsi="宋体" w:eastAsia="宋体"/>
                <w:sz w:val="16"/>
              </w:rPr>
              <w:t>通过公开招标的方式采购大型设备3台，其中2台液相色谱质谱联用仪（1台用于畜禽产品检测、1台用于水产品检测）和1台三重</w:t>
            </w:r>
            <w:r>
              <w:rPr>
                <w:rFonts w:hint="eastAsia" w:ascii="宋体" w:hAnsi="宋体"/>
                <w:sz w:val="16"/>
                <w:lang w:eastAsia="zh-CN"/>
              </w:rPr>
              <w:t>四极杆</w:t>
            </w:r>
            <w:r>
              <w:rPr>
                <w:rFonts w:ascii="宋体" w:hAnsi="宋体" w:eastAsia="宋体"/>
                <w:sz w:val="16"/>
              </w:rPr>
              <w:t>气相色谱质谱联用仪（用于农残检测），有效提升地区农产品质检中心的硬件水平。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973C26">
            <w:pPr>
              <w:jc w:val="both"/>
            </w:pPr>
            <w:r>
              <w:rPr>
                <w:rFonts w:ascii="宋体" w:hAnsi="宋体" w:eastAsia="宋体"/>
                <w:sz w:val="16"/>
              </w:rPr>
              <w:t>截至目前，已购买3台大型设备，其中液相色谱质谱联用仪2台（1台用于畜禽产品检测、1台用于水产品检测）和三重</w:t>
            </w:r>
            <w:r>
              <w:rPr>
                <w:rFonts w:hint="eastAsia" w:ascii="宋体" w:hAnsi="宋体"/>
                <w:sz w:val="16"/>
                <w:lang w:eastAsia="zh-CN"/>
              </w:rPr>
              <w:t>四极杆</w:t>
            </w:r>
            <w:r>
              <w:rPr>
                <w:rFonts w:ascii="宋体" w:hAnsi="宋体" w:eastAsia="宋体"/>
                <w:sz w:val="16"/>
              </w:rPr>
              <w:t>气相色谱质谱联用仪（用于农残检测），快速检测农产品中的农药残留，重金属、微生物等有害物质，防止不合格产品流入市场，降低消费者健康风险；有效提升地区农产品质检中心的硬件水平，把控质量，增强产品在市场上的信誉和竞争力。</w:t>
            </w:r>
          </w:p>
        </w:tc>
      </w:tr>
      <w:tr w14:paraId="01F20B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E925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D7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3D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41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2F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B4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4B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FC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54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95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96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70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57C7">
            <w:pPr>
              <w:jc w:val="center"/>
            </w:pPr>
            <w:r>
              <w:rPr>
                <w:rFonts w:ascii="宋体" w:hAnsi="宋体" w:eastAsia="宋体"/>
                <w:sz w:val="16"/>
              </w:rPr>
              <w:t>偏差原因分析及改进措施</w:t>
            </w:r>
          </w:p>
        </w:tc>
      </w:tr>
      <w:tr w14:paraId="561089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722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AAA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327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F6E1">
            <w:pPr>
              <w:jc w:val="center"/>
            </w:pPr>
            <w:r>
              <w:rPr>
                <w:rFonts w:ascii="宋体" w:hAnsi="宋体" w:eastAsia="宋体"/>
                <w:sz w:val="16"/>
              </w:rPr>
              <w:t>采购三重四极杆气相色谱联用仪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8347">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7C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5D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84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7F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E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9893">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A8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3A0C8">
            <w:pPr>
              <w:jc w:val="center"/>
            </w:pPr>
          </w:p>
        </w:tc>
      </w:tr>
      <w:tr w14:paraId="520E1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67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83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EA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9E0F">
            <w:pPr>
              <w:jc w:val="center"/>
            </w:pPr>
            <w:r>
              <w:rPr>
                <w:rFonts w:ascii="宋体" w:hAnsi="宋体" w:eastAsia="宋体"/>
                <w:sz w:val="16"/>
              </w:rPr>
              <w:t>采购三重四极杆液相色谱联用仪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606B">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2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E4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4D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FB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BB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BEC7">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32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8207F">
            <w:pPr>
              <w:jc w:val="center"/>
            </w:pPr>
          </w:p>
        </w:tc>
      </w:tr>
      <w:tr w14:paraId="68DD8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E6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BA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17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8A7F">
            <w:pPr>
              <w:jc w:val="center"/>
            </w:pPr>
            <w:r>
              <w:rPr>
                <w:rFonts w:ascii="宋体" w:hAnsi="宋体" w:eastAsia="宋体"/>
                <w:sz w:val="16"/>
              </w:rPr>
              <w:t>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3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5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EE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E1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95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D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6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89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77F30">
            <w:pPr>
              <w:jc w:val="center"/>
            </w:pPr>
          </w:p>
        </w:tc>
      </w:tr>
      <w:tr w14:paraId="5FB70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05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9E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8C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DF5D">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A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8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21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10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A2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1D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4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E5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70C6A">
            <w:pPr>
              <w:jc w:val="center"/>
            </w:pPr>
          </w:p>
        </w:tc>
      </w:tr>
      <w:tr w14:paraId="0BFBF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4E8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302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968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5B79">
            <w:pPr>
              <w:jc w:val="center"/>
            </w:pPr>
            <w:r>
              <w:rPr>
                <w:rFonts w:ascii="宋体" w:hAnsi="宋体" w:eastAsia="宋体"/>
                <w:sz w:val="16"/>
              </w:rPr>
              <w:t>三重四极杆气相色谱质谱联用仪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FA57">
            <w:pPr>
              <w:jc w:val="center"/>
            </w:pPr>
            <w:r>
              <w:rPr>
                <w:rFonts w:ascii="宋体" w:hAnsi="宋体" w:eastAsia="宋体"/>
                <w:sz w:val="16"/>
              </w:rPr>
              <w:t>&lt;=134.88万元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BC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AC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E6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32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B1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B1AC">
            <w:pPr>
              <w:jc w:val="center"/>
            </w:pPr>
            <w:r>
              <w:rPr>
                <w:rFonts w:ascii="宋体" w:hAnsi="宋体" w:eastAsia="宋体"/>
                <w:sz w:val="16"/>
              </w:rPr>
              <w:t>=134.88万元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C9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51EB5">
            <w:pPr>
              <w:jc w:val="center"/>
            </w:pPr>
            <w:r>
              <w:rPr>
                <w:rFonts w:ascii="宋体" w:hAnsi="宋体" w:eastAsia="宋体"/>
                <w:sz w:val="16"/>
              </w:rPr>
              <w:t>根据采购合同中标金额和约定支付比例进行支付。改进措施：科学合理地设置绩效指标，做好项目成本预算，提高绩效目标编制的合理性和可操作性。</w:t>
            </w:r>
          </w:p>
        </w:tc>
      </w:tr>
      <w:tr w14:paraId="2404C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26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59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37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059C">
            <w:pPr>
              <w:jc w:val="center"/>
            </w:pPr>
            <w:r>
              <w:rPr>
                <w:rFonts w:ascii="宋体" w:hAnsi="宋体" w:eastAsia="宋体"/>
                <w:sz w:val="16"/>
              </w:rPr>
              <w:t>三重四极杆液相色谱质谱联用仪（2台）平均成本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F3F6">
            <w:pPr>
              <w:jc w:val="center"/>
            </w:pPr>
            <w:r>
              <w:rPr>
                <w:rFonts w:ascii="宋体" w:hAnsi="宋体" w:eastAsia="宋体"/>
                <w:sz w:val="16"/>
              </w:rPr>
              <w:t>&lt;=212.56万元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A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51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F3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8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E0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3BA7">
            <w:pPr>
              <w:jc w:val="center"/>
            </w:pPr>
            <w:r>
              <w:rPr>
                <w:rFonts w:ascii="宋体" w:hAnsi="宋体" w:eastAsia="宋体"/>
                <w:sz w:val="16"/>
              </w:rPr>
              <w:t>=212.56万元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65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64B92">
            <w:pPr>
              <w:jc w:val="center"/>
            </w:pPr>
          </w:p>
        </w:tc>
      </w:tr>
      <w:tr w14:paraId="23186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B7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3A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74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9022">
            <w:pPr>
              <w:jc w:val="center"/>
            </w:pPr>
            <w:r>
              <w:rPr>
                <w:rFonts w:ascii="宋体" w:hAnsi="宋体" w:eastAsia="宋体"/>
                <w:sz w:val="16"/>
              </w:rPr>
              <w:t>提高农产品质量安全水平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195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7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86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98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27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BC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472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25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C6457">
            <w:pPr>
              <w:jc w:val="center"/>
            </w:pPr>
          </w:p>
        </w:tc>
      </w:tr>
      <w:tr w14:paraId="06578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64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86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30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AFF3">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539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7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D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82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DE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34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B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12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40376">
            <w:pPr>
              <w:jc w:val="center"/>
            </w:pPr>
            <w:r>
              <w:rPr>
                <w:rFonts w:ascii="宋体" w:hAnsi="宋体" w:eastAsia="宋体"/>
                <w:sz w:val="16"/>
              </w:rPr>
              <w:t>采购的设备是中心调研后决定的设备型号，性能完好，能够满足检测业务工作需要。</w:t>
            </w:r>
          </w:p>
        </w:tc>
      </w:tr>
      <w:tr w14:paraId="3D3FF4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F1E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8E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BC3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7E76F5">
            <w:pPr>
              <w:jc w:val="center"/>
            </w:pPr>
            <w:r>
              <w:rPr>
                <w:rFonts w:ascii="宋体" w:hAnsi="宋体" w:eastAsia="宋体"/>
                <w:sz w:val="16"/>
              </w:rPr>
              <w:t>100分</w:t>
            </w:r>
          </w:p>
        </w:tc>
      </w:tr>
    </w:tbl>
    <w:p w14:paraId="5ED2DE84">
      <w:r>
        <w:br w:type="page"/>
      </w:r>
    </w:p>
    <w:p w14:paraId="2D0130CF">
      <w:pPr>
        <w:spacing w:line="640" w:lineRule="exact"/>
        <w:ind w:firstLine="640"/>
        <w:jc w:val="both"/>
        <w:outlineLvl w:val="2"/>
      </w:pPr>
      <w:r>
        <w:rPr>
          <w:rFonts w:ascii="黑体" w:hAnsi="黑体" w:eastAsia="黑体"/>
          <w:sz w:val="32"/>
        </w:rPr>
        <w:t>十二、其他需说明的事项</w:t>
      </w:r>
    </w:p>
    <w:p w14:paraId="43029F6E">
      <w:pPr>
        <w:spacing w:line="580" w:lineRule="exact"/>
        <w:ind w:firstLine="640"/>
        <w:jc w:val="both"/>
      </w:pPr>
      <w:r>
        <w:rPr>
          <w:rFonts w:ascii="仿宋_GB2312" w:hAnsi="仿宋_GB2312" w:eastAsia="仿宋_GB2312"/>
          <w:b w:val="0"/>
          <w:sz w:val="32"/>
        </w:rPr>
        <w:t>本部门无其他需说明的事项。</w:t>
      </w:r>
    </w:p>
    <w:p w14:paraId="45C337F1">
      <w:r>
        <w:br w:type="page"/>
      </w:r>
    </w:p>
    <w:p w14:paraId="53CC2C6C">
      <w:pPr>
        <w:spacing w:line="240" w:lineRule="auto"/>
        <w:jc w:val="center"/>
        <w:outlineLvl w:val="1"/>
      </w:pPr>
      <w:r>
        <w:rPr>
          <w:rFonts w:ascii="黑体" w:hAnsi="黑体" w:eastAsia="黑体"/>
          <w:sz w:val="32"/>
        </w:rPr>
        <w:t>第三部分 专业名词解释</w:t>
      </w:r>
    </w:p>
    <w:p w14:paraId="4A3BEE2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5CF2A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2969C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DFF69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5ACC3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A5D27A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380EB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BEAE0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4BB31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C8153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D40F0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A87F62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D7D3C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75768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CA0EF11">
      <w:r>
        <w:br w:type="page"/>
      </w:r>
    </w:p>
    <w:p w14:paraId="3A4392CD">
      <w:pPr>
        <w:spacing w:line="240" w:lineRule="auto"/>
        <w:jc w:val="center"/>
        <w:outlineLvl w:val="1"/>
      </w:pPr>
      <w:r>
        <w:rPr>
          <w:rFonts w:ascii="黑体" w:hAnsi="黑体" w:eastAsia="黑体"/>
          <w:sz w:val="32"/>
        </w:rPr>
        <w:t>第四部分 部门决算报表（见附表）</w:t>
      </w:r>
    </w:p>
    <w:p w14:paraId="6082D36F">
      <w:pPr>
        <w:spacing w:line="240" w:lineRule="auto"/>
        <w:ind w:firstLine="640"/>
        <w:jc w:val="both"/>
      </w:pPr>
      <w:r>
        <w:rPr>
          <w:rFonts w:ascii="仿宋_GB2312" w:hAnsi="仿宋_GB2312" w:eastAsia="仿宋_GB2312"/>
          <w:b w:val="0"/>
          <w:sz w:val="32"/>
        </w:rPr>
        <w:t>一、《收入支出决算总表》</w:t>
      </w:r>
    </w:p>
    <w:p w14:paraId="253D5871">
      <w:pPr>
        <w:spacing w:line="240" w:lineRule="auto"/>
        <w:ind w:firstLine="640"/>
        <w:jc w:val="both"/>
      </w:pPr>
      <w:r>
        <w:rPr>
          <w:rFonts w:ascii="仿宋_GB2312" w:hAnsi="仿宋_GB2312" w:eastAsia="仿宋_GB2312"/>
          <w:b w:val="0"/>
          <w:sz w:val="32"/>
        </w:rPr>
        <w:t>二、《收入决算表》</w:t>
      </w:r>
    </w:p>
    <w:p w14:paraId="2D68C50C">
      <w:pPr>
        <w:spacing w:line="240" w:lineRule="auto"/>
        <w:ind w:firstLine="640"/>
        <w:jc w:val="both"/>
      </w:pPr>
      <w:r>
        <w:rPr>
          <w:rFonts w:ascii="仿宋_GB2312" w:hAnsi="仿宋_GB2312" w:eastAsia="仿宋_GB2312"/>
          <w:b w:val="0"/>
          <w:sz w:val="32"/>
        </w:rPr>
        <w:t>三、《支出决算表》</w:t>
      </w:r>
    </w:p>
    <w:p w14:paraId="39949253">
      <w:pPr>
        <w:spacing w:line="240" w:lineRule="auto"/>
        <w:ind w:firstLine="640"/>
        <w:jc w:val="both"/>
      </w:pPr>
      <w:r>
        <w:rPr>
          <w:rFonts w:ascii="仿宋_GB2312" w:hAnsi="仿宋_GB2312" w:eastAsia="仿宋_GB2312"/>
          <w:b w:val="0"/>
          <w:sz w:val="32"/>
        </w:rPr>
        <w:t>四、《财政拨款收入支出决算总表》</w:t>
      </w:r>
    </w:p>
    <w:p w14:paraId="63B36798">
      <w:pPr>
        <w:spacing w:line="240" w:lineRule="auto"/>
        <w:ind w:firstLine="640"/>
        <w:jc w:val="both"/>
      </w:pPr>
      <w:r>
        <w:rPr>
          <w:rFonts w:ascii="仿宋_GB2312" w:hAnsi="仿宋_GB2312" w:eastAsia="仿宋_GB2312"/>
          <w:b w:val="0"/>
          <w:sz w:val="32"/>
        </w:rPr>
        <w:t>五、《一般公共预算财政拨款支出决算表》</w:t>
      </w:r>
    </w:p>
    <w:p w14:paraId="4C46A773">
      <w:pPr>
        <w:spacing w:line="240" w:lineRule="auto"/>
        <w:ind w:firstLine="640"/>
        <w:jc w:val="both"/>
      </w:pPr>
      <w:r>
        <w:rPr>
          <w:rFonts w:ascii="仿宋_GB2312" w:hAnsi="仿宋_GB2312" w:eastAsia="仿宋_GB2312"/>
          <w:b w:val="0"/>
          <w:sz w:val="32"/>
        </w:rPr>
        <w:t>六、《一般公共预算财政拨款基本支出决算表》</w:t>
      </w:r>
    </w:p>
    <w:p w14:paraId="577BFE74">
      <w:pPr>
        <w:spacing w:line="240" w:lineRule="auto"/>
        <w:ind w:firstLine="640"/>
        <w:jc w:val="both"/>
      </w:pPr>
      <w:r>
        <w:rPr>
          <w:rFonts w:ascii="仿宋_GB2312" w:hAnsi="仿宋_GB2312" w:eastAsia="仿宋_GB2312"/>
          <w:b w:val="0"/>
          <w:sz w:val="32"/>
        </w:rPr>
        <w:t>七、《政府性基金预算财政拨款收入支出决算表》</w:t>
      </w:r>
    </w:p>
    <w:p w14:paraId="6ED44A48">
      <w:pPr>
        <w:spacing w:line="240" w:lineRule="auto"/>
        <w:ind w:firstLine="640"/>
        <w:jc w:val="both"/>
      </w:pPr>
      <w:r>
        <w:rPr>
          <w:rFonts w:ascii="仿宋_GB2312" w:hAnsi="仿宋_GB2312" w:eastAsia="仿宋_GB2312"/>
          <w:b w:val="0"/>
          <w:sz w:val="32"/>
        </w:rPr>
        <w:t>八、《国有资本经营预算财政拨款收入支出决算表》</w:t>
      </w:r>
    </w:p>
    <w:p w14:paraId="5326C472">
      <w:pPr>
        <w:spacing w:line="240" w:lineRule="auto"/>
        <w:ind w:firstLine="640"/>
        <w:jc w:val="both"/>
      </w:pPr>
      <w:r>
        <w:rPr>
          <w:rFonts w:ascii="仿宋_GB2312" w:hAnsi="仿宋_GB2312" w:eastAsia="仿宋_GB2312"/>
          <w:b w:val="0"/>
          <w:sz w:val="32"/>
        </w:rPr>
        <w:t>九、《财政拨款“三公”经费支出决算表》</w:t>
      </w:r>
    </w:p>
    <w:p w14:paraId="6C6B0FC1">
      <w:pPr>
        <w:spacing w:line="240" w:lineRule="auto"/>
        <w:ind w:firstLine="640"/>
        <w:jc w:val="both"/>
      </w:pPr>
    </w:p>
    <w:p w14:paraId="49CA82D0">
      <w:pPr>
        <w:spacing w:line="240" w:lineRule="auto"/>
        <w:ind w:firstLine="640"/>
        <w:jc w:val="both"/>
      </w:pPr>
    </w:p>
    <w:p w14:paraId="63494EB5">
      <w:pPr>
        <w:spacing w:line="240" w:lineRule="auto"/>
        <w:ind w:firstLine="640"/>
        <w:jc w:val="both"/>
      </w:pPr>
    </w:p>
    <w:p w14:paraId="77CFE566">
      <w:pPr>
        <w:spacing w:line="240" w:lineRule="auto"/>
        <w:ind w:firstLine="640"/>
        <w:jc w:val="both"/>
      </w:pPr>
    </w:p>
    <w:p w14:paraId="626643E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BB38F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F105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5874</Words>
  <Characters>6826</Characters>
  <Lines>0</Lines>
  <Paragraphs>0</Paragraphs>
  <TotalTime>6</TotalTime>
  <ScaleCrop>false</ScaleCrop>
  <LinksUpToDate>false</LinksUpToDate>
  <CharactersWithSpaces>6839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