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081C2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喀什地区农村合作经济发展中心2024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DAF1EA">
      <w:r>
        <w:br w:type="page"/>
      </w:r>
    </w:p>
    <w:p w14:paraId="495D750A">
      <w:pPr>
        <w:spacing w:line="640" w:lineRule="exact"/>
        <w:jc w:val="center"/>
        <w:outlineLvl w:val="1"/>
      </w:pPr>
      <w:r>
        <w:rPr>
          <w:rFonts w:ascii="黑体" w:hAnsi="黑体" w:eastAsia="黑体"/>
          <w:sz w:val="32"/>
        </w:rPr>
        <w:t>第一部分 部门概况</w:t>
      </w:r>
    </w:p>
    <w:p w14:paraId="455B45BF">
      <w:pPr>
        <w:spacing w:line="640" w:lineRule="exact"/>
        <w:ind w:firstLine="640"/>
        <w:jc w:val="both"/>
        <w:outlineLvl w:val="2"/>
      </w:pPr>
      <w:r>
        <w:rPr>
          <w:rFonts w:ascii="黑体" w:hAnsi="黑体" w:eastAsia="黑体"/>
          <w:sz w:val="32"/>
        </w:rPr>
        <w:t>一、主要职能</w:t>
      </w:r>
    </w:p>
    <w:p w14:paraId="73C4E4C4">
      <w:pPr>
        <w:spacing w:line="580" w:lineRule="exact"/>
        <w:ind w:firstLine="640"/>
        <w:jc w:val="both"/>
      </w:pPr>
      <w:r>
        <w:rPr>
          <w:rFonts w:ascii="仿宋_GB2312" w:hAnsi="仿宋_GB2312" w:eastAsia="仿宋_GB2312"/>
          <w:sz w:val="32"/>
        </w:rPr>
        <w:t>承担农民专业合作社、家庭农场、大户规范建立、运作及人才培育，组织开展示范性农民专业合作社、家庭农场评定和监测；开展农业社会化服务体系建设，指导农业生产性服务组织规范发展；提出培育新型农业经营主体、健全新型农业经营体系的指导措施；承担全地区农村土地经营权流转指导服务工作；承担全地区农村土地清理指导工作；承担农民承包地改革指导服务、农村集体产权制度改革指导服务和信访工作；承担农村集体经济组织登记赋码和规范化建设；指导农村宅基地分配、使用、流转、纠纷调解和合理布局、用地标准；指导闲置宅基地和闲置农房利用；指导农村集体资产和财务管理；指导农村集体财务会计业务和经济审计工作；承担农村经营管理信息化平台建设、运行和维护工作；收集、整理农村经营管理统计数据；承担全地区农村经济收益分配统计汇总工作；承担农村合作经济发展相关业务培训工作；完成地区农业农村局办公室交办的各项工作。</w:t>
      </w:r>
    </w:p>
    <w:p w14:paraId="300DD423">
      <w:pPr>
        <w:spacing w:line="640" w:lineRule="exact"/>
        <w:ind w:firstLine="640"/>
        <w:jc w:val="both"/>
        <w:outlineLvl w:val="2"/>
      </w:pPr>
      <w:r>
        <w:rPr>
          <w:rFonts w:ascii="黑体" w:hAnsi="黑体" w:eastAsia="黑体"/>
          <w:sz w:val="32"/>
        </w:rPr>
        <w:t>二、机构设置及人员情况</w:t>
      </w:r>
    </w:p>
    <w:p w14:paraId="243EB207">
      <w:pPr>
        <w:spacing w:line="580" w:lineRule="exact"/>
        <w:ind w:firstLine="640"/>
        <w:jc w:val="both"/>
      </w:pPr>
      <w:r>
        <w:rPr>
          <w:rFonts w:ascii="仿宋_GB2312" w:hAnsi="仿宋_GB2312" w:eastAsia="仿宋_GB2312"/>
          <w:sz w:val="32"/>
        </w:rPr>
        <w:t>喀什地区农村合作经济发展中心2024年度，实有人数27人，其中：在职人员15人，减少2人；离休人员0人，增加0人；退休人员12人,增加2人。</w:t>
      </w:r>
    </w:p>
    <w:p w14:paraId="4BF10AD2">
      <w:pPr>
        <w:spacing w:line="580" w:lineRule="exact"/>
        <w:ind w:firstLine="640"/>
        <w:jc w:val="both"/>
      </w:pPr>
      <w:r>
        <w:rPr>
          <w:rFonts w:ascii="仿宋_GB2312" w:hAnsi="仿宋_GB2312" w:eastAsia="仿宋_GB2312"/>
          <w:sz w:val="32"/>
        </w:rPr>
        <w:t>喀什地区农村合作经济发展中心无下属预算单位，下设4个科室，分别是：办公室、新型农业经营主体发展科、农村集体资产指导科、农村经济统计培训科。</w:t>
      </w:r>
    </w:p>
    <w:p w14:paraId="4D9EB076">
      <w:r>
        <w:br w:type="page"/>
      </w:r>
    </w:p>
    <w:p w14:paraId="2613650D">
      <w:pPr>
        <w:spacing w:line="240" w:lineRule="auto"/>
        <w:jc w:val="center"/>
        <w:outlineLvl w:val="1"/>
      </w:pPr>
      <w:r>
        <w:rPr>
          <w:rFonts w:ascii="黑体" w:hAnsi="黑体" w:eastAsia="黑体"/>
          <w:sz w:val="32"/>
        </w:rPr>
        <w:t>第二部分 部门决算情况说明</w:t>
      </w:r>
    </w:p>
    <w:p w14:paraId="60215CFE">
      <w:pPr>
        <w:spacing w:line="640" w:lineRule="exact"/>
        <w:ind w:firstLine="640"/>
        <w:jc w:val="both"/>
        <w:outlineLvl w:val="2"/>
      </w:pPr>
      <w:r>
        <w:rPr>
          <w:rFonts w:ascii="黑体" w:hAnsi="黑体" w:eastAsia="黑体"/>
          <w:sz w:val="32"/>
        </w:rPr>
        <w:t>一、收入支出决算总体情况说明</w:t>
      </w:r>
    </w:p>
    <w:p w14:paraId="34EC1B09">
      <w:pPr>
        <w:spacing w:line="580" w:lineRule="exact"/>
        <w:ind w:firstLine="640"/>
        <w:jc w:val="both"/>
      </w:pPr>
      <w:r>
        <w:rPr>
          <w:rFonts w:ascii="仿宋_GB2312" w:hAnsi="仿宋_GB2312" w:eastAsia="仿宋_GB2312"/>
          <w:b/>
          <w:sz w:val="32"/>
        </w:rPr>
        <w:t>2024年度收入总计397.69万元，</w:t>
      </w:r>
      <w:r>
        <w:rPr>
          <w:rFonts w:ascii="仿宋_GB2312" w:hAnsi="仿宋_GB2312" w:eastAsia="仿宋_GB2312"/>
          <w:b w:val="0"/>
          <w:sz w:val="32"/>
        </w:rPr>
        <w:t>其中：本年收入合计397.69万元，使用非财政拨款结余（含专用结余）0.00万元，年初结转和结余0.00万元。</w:t>
      </w:r>
    </w:p>
    <w:p w14:paraId="22E94FED">
      <w:pPr>
        <w:spacing w:line="580" w:lineRule="exact"/>
        <w:ind w:firstLine="640"/>
        <w:jc w:val="both"/>
      </w:pPr>
      <w:r>
        <w:rPr>
          <w:rFonts w:ascii="仿宋_GB2312" w:hAnsi="仿宋_GB2312" w:eastAsia="仿宋_GB2312"/>
          <w:b/>
          <w:sz w:val="32"/>
        </w:rPr>
        <w:t>2024年度支出总计397.69万元，</w:t>
      </w:r>
      <w:r>
        <w:rPr>
          <w:rFonts w:ascii="仿宋_GB2312" w:hAnsi="仿宋_GB2312" w:eastAsia="仿宋_GB2312"/>
          <w:b w:val="0"/>
          <w:sz w:val="32"/>
        </w:rPr>
        <w:t>其中：本年支出合计397.69万元，结余分配0.00万元，年末结转和结余0.00万元。</w:t>
      </w:r>
    </w:p>
    <w:p w14:paraId="076F5ED2">
      <w:pPr>
        <w:spacing w:line="580" w:lineRule="exact"/>
        <w:ind w:firstLine="640"/>
        <w:jc w:val="both"/>
      </w:pPr>
      <w:r>
        <w:rPr>
          <w:rFonts w:ascii="仿宋_GB2312" w:hAnsi="仿宋_GB2312" w:eastAsia="仿宋_GB2312"/>
          <w:b w:val="0"/>
          <w:sz w:val="32"/>
        </w:rPr>
        <w:t>收入支出总体与上年相比，增加53.65万元，增长15.59%，主要原因是：本年在职人员工资调增，社保、公积金基数调增，人员经费增加。本年增加新型农业经营主体培育项目。</w:t>
      </w:r>
    </w:p>
    <w:p w14:paraId="6E502C28">
      <w:pPr>
        <w:spacing w:line="640" w:lineRule="exact"/>
        <w:ind w:firstLine="640"/>
        <w:jc w:val="both"/>
        <w:outlineLvl w:val="2"/>
      </w:pPr>
      <w:r>
        <w:rPr>
          <w:rFonts w:ascii="黑体" w:hAnsi="黑体" w:eastAsia="黑体"/>
          <w:sz w:val="32"/>
        </w:rPr>
        <w:t>二、收入决算情况说明</w:t>
      </w:r>
    </w:p>
    <w:p w14:paraId="4748FEE6">
      <w:pPr>
        <w:spacing w:line="580" w:lineRule="exact"/>
        <w:ind w:firstLine="640"/>
        <w:jc w:val="both"/>
      </w:pPr>
      <w:r>
        <w:rPr>
          <w:rFonts w:ascii="仿宋_GB2312" w:hAnsi="仿宋_GB2312" w:eastAsia="仿宋_GB2312"/>
          <w:b/>
          <w:sz w:val="32"/>
        </w:rPr>
        <w:t>本年收入397.69万元，</w:t>
      </w:r>
      <w:r>
        <w:rPr>
          <w:rFonts w:ascii="仿宋_GB2312" w:hAnsi="仿宋_GB2312" w:eastAsia="仿宋_GB2312"/>
          <w:b w:val="0"/>
          <w:sz w:val="32"/>
        </w:rPr>
        <w:t>其中：财政拨款收入397.69万元，占100.00%；上级补助收入0.00万元，占0.00%；事业收入0.00万元，占0.00%；经营收入0.00万元，占0.00%；附属单位上缴收入0.00万元，占0.00%；其他收入0.00万元，占0.00%。</w:t>
      </w:r>
    </w:p>
    <w:p w14:paraId="638C0949">
      <w:pPr>
        <w:spacing w:line="640" w:lineRule="exact"/>
        <w:ind w:firstLine="640"/>
        <w:jc w:val="both"/>
        <w:outlineLvl w:val="2"/>
      </w:pPr>
      <w:r>
        <w:rPr>
          <w:rFonts w:ascii="黑体" w:hAnsi="黑体" w:eastAsia="黑体"/>
          <w:sz w:val="32"/>
        </w:rPr>
        <w:t>三、支出决算情况说明</w:t>
      </w:r>
    </w:p>
    <w:p w14:paraId="67A2EB5F">
      <w:pPr>
        <w:spacing w:line="580" w:lineRule="exact"/>
        <w:ind w:firstLine="640"/>
        <w:jc w:val="both"/>
      </w:pPr>
      <w:r>
        <w:rPr>
          <w:rFonts w:ascii="仿宋_GB2312" w:hAnsi="仿宋_GB2312" w:eastAsia="仿宋_GB2312"/>
          <w:b/>
          <w:sz w:val="32"/>
        </w:rPr>
        <w:t>本年支出397.69万元，</w:t>
      </w:r>
      <w:r>
        <w:rPr>
          <w:rFonts w:ascii="仿宋_GB2312" w:hAnsi="仿宋_GB2312" w:eastAsia="仿宋_GB2312"/>
          <w:b w:val="0"/>
          <w:sz w:val="32"/>
        </w:rPr>
        <w:t>其中：基本支出361.85万元，占90.99%；项目支出35.84万元，占9.01%；上缴上级支出0.00万元，占0.00%；经营支出0.00万元，占0.00%；对附属单位补助支出0.00万元，占0.00%。</w:t>
      </w:r>
    </w:p>
    <w:p w14:paraId="397FB302">
      <w:pPr>
        <w:spacing w:line="640" w:lineRule="exact"/>
        <w:ind w:firstLine="640"/>
        <w:jc w:val="both"/>
        <w:outlineLvl w:val="2"/>
      </w:pPr>
      <w:r>
        <w:rPr>
          <w:rFonts w:ascii="黑体" w:hAnsi="黑体" w:eastAsia="黑体"/>
          <w:sz w:val="32"/>
        </w:rPr>
        <w:t>四、财政拨款收入支出决算总体情况说明</w:t>
      </w:r>
    </w:p>
    <w:p w14:paraId="692D803E">
      <w:pPr>
        <w:spacing w:line="580" w:lineRule="exact"/>
        <w:ind w:firstLine="640"/>
        <w:jc w:val="both"/>
      </w:pPr>
      <w:r>
        <w:rPr>
          <w:rFonts w:ascii="仿宋_GB2312" w:hAnsi="仿宋_GB2312" w:eastAsia="仿宋_GB2312"/>
          <w:b/>
          <w:sz w:val="32"/>
        </w:rPr>
        <w:t>2024年度财政拨款收入总计397.69万元，</w:t>
      </w:r>
      <w:r>
        <w:rPr>
          <w:rFonts w:ascii="仿宋_GB2312" w:hAnsi="仿宋_GB2312" w:eastAsia="仿宋_GB2312"/>
          <w:b w:val="0"/>
          <w:sz w:val="32"/>
        </w:rPr>
        <w:t>其中：年初财政拨款结转和结余0.00万元，本年财政拨款收入397.69万元。</w:t>
      </w:r>
      <w:r>
        <w:rPr>
          <w:rFonts w:ascii="仿宋_GB2312" w:hAnsi="仿宋_GB2312" w:eastAsia="仿宋_GB2312"/>
          <w:b/>
          <w:sz w:val="32"/>
        </w:rPr>
        <w:t>财政拨款支出总计397.69万元，</w:t>
      </w:r>
      <w:r>
        <w:rPr>
          <w:rFonts w:ascii="仿宋_GB2312" w:hAnsi="仿宋_GB2312" w:eastAsia="仿宋_GB2312"/>
          <w:b w:val="0"/>
          <w:sz w:val="32"/>
        </w:rPr>
        <w:t>其中：年末财政拨款结转和结余0.00万元，本年财政拨款支出397.69万元。</w:t>
      </w:r>
    </w:p>
    <w:p w14:paraId="5B0F26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增加53.65万元，增长15.59%，主要原因是：本年在职人员工资调增，社保、公积金基数调增，人员经费增加。本年增加新型农业经营主体培育项目。</w:t>
      </w:r>
      <w:r>
        <w:rPr>
          <w:rFonts w:ascii="仿宋_GB2312" w:hAnsi="仿宋_GB2312" w:eastAsia="仿宋_GB2312"/>
          <w:b/>
          <w:sz w:val="32"/>
        </w:rPr>
        <w:t>与年初预算相比，</w:t>
      </w:r>
      <w:r>
        <w:rPr>
          <w:rFonts w:ascii="仿宋_GB2312" w:hAnsi="仿宋_GB2312" w:eastAsia="仿宋_GB2312"/>
          <w:b w:val="0"/>
          <w:sz w:val="32"/>
        </w:rPr>
        <w:t>年初预算数378.78万元，决算数397.69万元，预决算差异率4.99%，主要原因是：年中追加人员工资、社保、公积金基数调增部分资金，导致预决算存在差异。</w:t>
      </w:r>
    </w:p>
    <w:p w14:paraId="4F093D3A">
      <w:pPr>
        <w:spacing w:line="640" w:lineRule="exact"/>
        <w:ind w:firstLine="640"/>
        <w:jc w:val="both"/>
        <w:outlineLvl w:val="2"/>
      </w:pPr>
      <w:r>
        <w:rPr>
          <w:rFonts w:ascii="黑体" w:hAnsi="黑体" w:eastAsia="黑体"/>
          <w:sz w:val="32"/>
        </w:rPr>
        <w:t>五、一般公共预算财政拨款支出决算情况说明</w:t>
      </w:r>
    </w:p>
    <w:p w14:paraId="2E40C05C">
      <w:pPr>
        <w:spacing w:line="640" w:lineRule="exact"/>
        <w:ind w:firstLine="640"/>
        <w:jc w:val="both"/>
        <w:outlineLvl w:val="3"/>
      </w:pPr>
      <w:r>
        <w:rPr>
          <w:rFonts w:ascii="楷体_GB2312" w:hAnsi="楷体_GB2312" w:eastAsia="楷体_GB2312"/>
          <w:b/>
          <w:sz w:val="32"/>
        </w:rPr>
        <w:t>（一）一般公共预算财政拨款支出决算总体情况</w:t>
      </w:r>
    </w:p>
    <w:p w14:paraId="2629BA5A">
      <w:pPr>
        <w:spacing w:line="580" w:lineRule="exact"/>
        <w:ind w:firstLine="640"/>
        <w:jc w:val="both"/>
      </w:pPr>
      <w:r>
        <w:rPr>
          <w:rFonts w:ascii="仿宋_GB2312" w:hAnsi="仿宋_GB2312" w:eastAsia="仿宋_GB2312"/>
          <w:b/>
          <w:sz w:val="32"/>
        </w:rPr>
        <w:t>2024年度一般公共预算财政拨款支出397.69万元，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增加53.65万元，增长15.59%，主要原因是：本年在职人员工资调增，社保、公积金基数调增，人员经费增加。本年增加新型农业经营主体培育项目。</w:t>
      </w:r>
      <w:r>
        <w:rPr>
          <w:rFonts w:ascii="仿宋_GB2312" w:hAnsi="仿宋_GB2312" w:eastAsia="仿宋_GB2312"/>
          <w:b/>
          <w:sz w:val="32"/>
        </w:rPr>
        <w:t>与年初预算相比,</w:t>
      </w:r>
      <w:r>
        <w:rPr>
          <w:rFonts w:ascii="仿宋_GB2312" w:hAnsi="仿宋_GB2312" w:eastAsia="仿宋_GB2312"/>
          <w:b w:val="0"/>
          <w:sz w:val="32"/>
        </w:rPr>
        <w:t>年初预算数378.78万元，决算数397.69万元，预决算差异率4.99%，主要原因是：年中追加人员工资、社保、公积金基数调增部分资金，导致预决算存在差异。</w:t>
      </w:r>
    </w:p>
    <w:p w14:paraId="4BA867C9">
      <w:pPr>
        <w:spacing w:line="640" w:lineRule="exact"/>
        <w:ind w:firstLine="640"/>
        <w:jc w:val="both"/>
        <w:outlineLvl w:val="3"/>
      </w:pPr>
      <w:r>
        <w:rPr>
          <w:rFonts w:ascii="楷体_GB2312" w:hAnsi="楷体_GB2312" w:eastAsia="楷体_GB2312"/>
          <w:b/>
          <w:sz w:val="32"/>
        </w:rPr>
        <w:t>（二）一般公共预算财政拨款支出决算结构情况</w:t>
      </w:r>
    </w:p>
    <w:p w14:paraId="532A31EB">
      <w:pPr>
        <w:spacing w:line="580" w:lineRule="exact"/>
        <w:ind w:firstLine="640"/>
        <w:jc w:val="both"/>
      </w:pPr>
      <w:r>
        <w:rPr>
          <w:rFonts w:ascii="仿宋_GB2312" w:hAnsi="仿宋_GB2312" w:eastAsia="仿宋_GB2312"/>
          <w:b w:val="0"/>
          <w:sz w:val="32"/>
        </w:rPr>
        <w:t>1.一般公共服务支出(类)1.82万元,占0.46%。</w:t>
      </w:r>
    </w:p>
    <w:p w14:paraId="79EEE4AD">
      <w:pPr>
        <w:spacing w:line="580" w:lineRule="exact"/>
        <w:ind w:firstLine="640"/>
        <w:jc w:val="both"/>
      </w:pPr>
      <w:r>
        <w:rPr>
          <w:rFonts w:ascii="仿宋_GB2312" w:hAnsi="仿宋_GB2312" w:eastAsia="仿宋_GB2312"/>
          <w:b w:val="0"/>
          <w:sz w:val="32"/>
        </w:rPr>
        <w:t>2.社会保障和就业支出(类)64.63万元,占16.25%。</w:t>
      </w:r>
    </w:p>
    <w:p w14:paraId="62F73122">
      <w:pPr>
        <w:spacing w:line="580" w:lineRule="exact"/>
        <w:ind w:firstLine="640"/>
        <w:jc w:val="both"/>
      </w:pPr>
      <w:r>
        <w:rPr>
          <w:rFonts w:ascii="仿宋_GB2312" w:hAnsi="仿宋_GB2312" w:eastAsia="仿宋_GB2312"/>
          <w:b w:val="0"/>
          <w:sz w:val="32"/>
        </w:rPr>
        <w:t>3.卫生健康支出(类)16.28万元,占4.09%。</w:t>
      </w:r>
    </w:p>
    <w:p w14:paraId="2BAEC678">
      <w:pPr>
        <w:spacing w:line="580" w:lineRule="exact"/>
        <w:ind w:firstLine="640"/>
        <w:jc w:val="both"/>
      </w:pPr>
      <w:r>
        <w:rPr>
          <w:rFonts w:ascii="仿宋_GB2312" w:hAnsi="仿宋_GB2312" w:eastAsia="仿宋_GB2312"/>
          <w:b w:val="0"/>
          <w:sz w:val="32"/>
        </w:rPr>
        <w:t>4.农林水支出(类)289.69万元,占72.84%。</w:t>
      </w:r>
    </w:p>
    <w:p w14:paraId="6F3C65FE">
      <w:pPr>
        <w:spacing w:line="580" w:lineRule="exact"/>
        <w:ind w:firstLine="640"/>
        <w:jc w:val="both"/>
      </w:pPr>
      <w:r>
        <w:rPr>
          <w:rFonts w:ascii="仿宋_GB2312" w:hAnsi="仿宋_GB2312" w:eastAsia="仿宋_GB2312"/>
          <w:b w:val="0"/>
          <w:sz w:val="32"/>
        </w:rPr>
        <w:t>5.住房保障支出(类)25.27万元,占6.35%。</w:t>
      </w:r>
    </w:p>
    <w:p w14:paraId="08467C7D">
      <w:pPr>
        <w:spacing w:line="640" w:lineRule="exact"/>
        <w:ind w:firstLine="640"/>
        <w:jc w:val="both"/>
        <w:outlineLvl w:val="3"/>
      </w:pPr>
      <w:r>
        <w:rPr>
          <w:rFonts w:ascii="楷体_GB2312" w:hAnsi="楷体_GB2312" w:eastAsia="楷体_GB2312"/>
          <w:b/>
          <w:sz w:val="32"/>
        </w:rPr>
        <w:t>（三）一般公共预算财政拨款支出决算具体情况</w:t>
      </w:r>
    </w:p>
    <w:p w14:paraId="45C7E381">
      <w:pPr>
        <w:spacing w:line="580" w:lineRule="exact"/>
        <w:ind w:firstLine="640"/>
        <w:jc w:val="both"/>
      </w:pPr>
      <w:r>
        <w:rPr>
          <w:rFonts w:ascii="仿宋_GB2312" w:hAnsi="仿宋_GB2312" w:eastAsia="仿宋_GB2312"/>
          <w:b w:val="0"/>
          <w:sz w:val="32"/>
        </w:rPr>
        <w:t>1.一般公共服务支出(类)统战事务(款)宗教事务(项):支出决算数为1.82万元，比上年决算增加1.82万元，增长100.00%,主要原因是：本年度科目调整，工作人员生活补助从主科目调整至此科目。</w:t>
      </w:r>
    </w:p>
    <w:p w14:paraId="1CA9A2F8">
      <w:pPr>
        <w:spacing w:line="580" w:lineRule="exact"/>
        <w:ind w:firstLine="640"/>
        <w:jc w:val="both"/>
        <w:rPr>
          <w:rFonts w:hint="default" w:eastAsia="仿宋_GB2312"/>
          <w:lang w:val="en-US" w:eastAsia="zh-CN"/>
        </w:rPr>
      </w:pPr>
      <w:r>
        <w:rPr>
          <w:rFonts w:ascii="仿宋_GB2312" w:hAnsi="仿宋_GB2312" w:eastAsia="仿宋_GB2312"/>
          <w:b w:val="0"/>
          <w:sz w:val="32"/>
        </w:rPr>
        <w:t>2.社会保障和就业支出(类)行政事业单位养老支出(款)行政单位离退休(项):支出决算数为16.14万元，比上年决算增加5.46万元，增长51.12%,主要原因是：本年增加退休人员基础绩效奖及在职转退休2人，导致退休费支出增加。</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科目调整，将此科目经费调整至行政单位离退休科目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13F35CE6">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3.社会保障和就业支出(类)行政事业单位养老支出(款)事业单位离退休(项):支出决算数为0.00万元，比上年决算减少0.33万元，下降100.00%,主要原因是：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科目调整，将此科目经费调整至行政单位离退休科目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r>
        <w:rPr>
          <w:rFonts w:ascii="仿宋_GB2312" w:hAnsi="仿宋_GB2312" w:eastAsia="仿宋_GB2312"/>
          <w:b w:val="0"/>
          <w:sz w:val="32"/>
        </w:rPr>
        <w:t>。</w:t>
      </w:r>
    </w:p>
    <w:p w14:paraId="578DEEA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29.60万元，比上年决算增加1.57万元，增长5.60%,主要原因是：本年在职人员工资基数调增，养老缴费基数上涨，相应支出增加。</w:t>
      </w:r>
    </w:p>
    <w:p w14:paraId="3BA8BACB">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5.社会保障和就业支出(类)行政事业单位养老支出(款)机关事业单位职业年金缴费支出(项):支出决算数为18.88万元，比上年决算增加18.88万元，增长100.00%,主要原因是：本年新增退休人员，职业年金缴费支出增加。</w:t>
      </w:r>
    </w:p>
    <w:p w14:paraId="663AE841">
      <w:pPr>
        <w:spacing w:line="580" w:lineRule="exact"/>
        <w:ind w:firstLine="640"/>
        <w:jc w:val="both"/>
      </w:pPr>
      <w:r>
        <w:rPr>
          <w:rFonts w:ascii="仿宋_GB2312" w:hAnsi="仿宋_GB2312" w:eastAsia="仿宋_GB2312"/>
          <w:b w:val="0"/>
          <w:sz w:val="32"/>
        </w:rPr>
        <w:t>6.卫生健康支出(类)行政事业单位医疗(款)行政单位医疗(项):支出决算数为12.58万元，比上年决算增加0.35万元，增长2.86%,主要原因是：本年在职人员工资基数调增，医疗保险缴费基数上涨，相应支出增加。</w:t>
      </w:r>
    </w:p>
    <w:p w14:paraId="14267AA9">
      <w:pPr>
        <w:spacing w:line="580" w:lineRule="exact"/>
        <w:ind w:firstLine="640"/>
        <w:jc w:val="both"/>
      </w:pPr>
      <w:r>
        <w:rPr>
          <w:rFonts w:ascii="仿宋_GB2312" w:hAnsi="仿宋_GB2312" w:eastAsia="仿宋_GB2312"/>
          <w:b w:val="0"/>
          <w:sz w:val="32"/>
        </w:rPr>
        <w:t>7.卫生健康支出(类)行政事业单位医疗(款)公务员医疗补助(项):支出决算数为3.70万元，比上年决算增加0.10万元，增长2.78%,主要原因是：本年在职人员工资基数调增，公务员医疗补助缴费基数上涨，相应支出增加。</w:t>
      </w:r>
    </w:p>
    <w:p w14:paraId="4C25EFB8">
      <w:pPr>
        <w:spacing w:line="580" w:lineRule="exact"/>
        <w:ind w:firstLine="640"/>
        <w:jc w:val="both"/>
      </w:pPr>
      <w:r>
        <w:rPr>
          <w:rFonts w:ascii="仿宋_GB2312" w:hAnsi="仿宋_GB2312" w:eastAsia="仿宋_GB2312"/>
          <w:b w:val="0"/>
          <w:sz w:val="32"/>
        </w:rPr>
        <w:t>8.农林水支出(类)农业农村(款)行政运行(项):支出决算数为253.85万元，比上年决算增加1.50万元，增长0.59%,主要原因是：本年在职人员工资调增，导致相关人员经费较上年有所增加。</w:t>
      </w:r>
    </w:p>
    <w:p w14:paraId="3808AE80">
      <w:pPr>
        <w:spacing w:line="580" w:lineRule="exact"/>
        <w:ind w:firstLine="640"/>
        <w:jc w:val="both"/>
      </w:pPr>
      <w:r>
        <w:rPr>
          <w:rFonts w:ascii="仿宋_GB2312" w:hAnsi="仿宋_GB2312" w:eastAsia="仿宋_GB2312"/>
          <w:b w:val="0"/>
          <w:sz w:val="32"/>
        </w:rPr>
        <w:t>9.农林水支出(类)农业农村(款)一般行政管理事务(项):支出决算数为10.84万元，比上年决算增加0.84万元，增长8.40%,主要原因是：本年人员生活补助费增加。</w:t>
      </w:r>
    </w:p>
    <w:p w14:paraId="60D550E1">
      <w:pPr>
        <w:spacing w:line="580" w:lineRule="exact"/>
        <w:ind w:firstLine="640"/>
        <w:jc w:val="both"/>
      </w:pPr>
      <w:r>
        <w:rPr>
          <w:rFonts w:ascii="仿宋_GB2312" w:hAnsi="仿宋_GB2312" w:eastAsia="仿宋_GB2312"/>
          <w:b w:val="0"/>
          <w:sz w:val="32"/>
        </w:rPr>
        <w:t>10.农林水支出(类)农业农村(款)农业生产发展(项):支出决算数为0.00万元，比上年决算减少3.00万元，下降100.00%,主要原因是：本年功能科目调整，新型农业经营主体培育项目调整至农村合作经济科目，导致此科目经费减少。</w:t>
      </w:r>
    </w:p>
    <w:p w14:paraId="5C246926">
      <w:pPr>
        <w:spacing w:line="580" w:lineRule="exact"/>
        <w:ind w:firstLine="640"/>
        <w:jc w:val="both"/>
      </w:pPr>
      <w:r>
        <w:rPr>
          <w:rFonts w:ascii="仿宋_GB2312" w:hAnsi="仿宋_GB2312" w:eastAsia="仿宋_GB2312"/>
          <w:b w:val="0"/>
          <w:sz w:val="32"/>
        </w:rPr>
        <w:t>11.农林水支出(类)农业农村(款)农村合作经济(项):支出决算数为25.00万元，比上年决算增加25.00万元，增长100.00%,主要原因是：本年功能科目调整，新型农业经营主体培育项目调整至此科目，导致此科目经费增加。</w:t>
      </w:r>
    </w:p>
    <w:p w14:paraId="4B20A093">
      <w:pPr>
        <w:spacing w:line="580" w:lineRule="exact"/>
        <w:ind w:firstLine="640"/>
        <w:jc w:val="both"/>
      </w:pPr>
      <w:r>
        <w:rPr>
          <w:rFonts w:ascii="仿宋_GB2312" w:hAnsi="仿宋_GB2312" w:eastAsia="仿宋_GB2312"/>
          <w:b w:val="0"/>
          <w:sz w:val="32"/>
        </w:rPr>
        <w:t>12.住房保障支出(类)住房改革支出(款)住房公积金(项):支出决算数为25.27万元，比上年决算增加1.44万元，增长6.04%,主要原因是：本年在职人员工资基数调增，住房公积金缴费基数上涨，相应支出增加。</w:t>
      </w:r>
    </w:p>
    <w:p w14:paraId="66C079CF">
      <w:pPr>
        <w:spacing w:line="640" w:lineRule="exact"/>
        <w:ind w:firstLine="640"/>
        <w:jc w:val="both"/>
        <w:outlineLvl w:val="2"/>
      </w:pPr>
      <w:r>
        <w:rPr>
          <w:rFonts w:ascii="黑体" w:hAnsi="黑体" w:eastAsia="黑体"/>
          <w:sz w:val="32"/>
        </w:rPr>
        <w:t>六、一般公共预算财政拨款基本支出决算情况说明</w:t>
      </w:r>
    </w:p>
    <w:p w14:paraId="47A0C53D">
      <w:pPr>
        <w:spacing w:line="580" w:lineRule="exact"/>
        <w:ind w:firstLine="640"/>
        <w:jc w:val="both"/>
      </w:pPr>
      <w:r>
        <w:rPr>
          <w:rFonts w:ascii="仿宋_GB2312" w:hAnsi="仿宋_GB2312" w:eastAsia="仿宋_GB2312"/>
          <w:b w:val="0"/>
          <w:sz w:val="32"/>
        </w:rPr>
        <w:t>2024年度一般公共预算财政拨款基本支出361.85万元，其中：</w:t>
      </w:r>
      <w:r>
        <w:rPr>
          <w:rFonts w:ascii="仿宋_GB2312" w:hAnsi="仿宋_GB2312" w:eastAsia="仿宋_GB2312"/>
          <w:b/>
          <w:sz w:val="32"/>
        </w:rPr>
        <w:t>人员经费342.83万元，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43DC5B79">
      <w:pPr>
        <w:spacing w:line="580" w:lineRule="exact"/>
        <w:ind w:firstLine="640"/>
        <w:jc w:val="both"/>
      </w:pPr>
      <w:r>
        <w:rPr>
          <w:rFonts w:ascii="仿宋_GB2312" w:hAnsi="仿宋_GB2312" w:eastAsia="仿宋_GB2312"/>
          <w:b/>
          <w:sz w:val="32"/>
        </w:rPr>
        <w:t>公用经费19.02万元，</w:t>
      </w:r>
      <w:r>
        <w:rPr>
          <w:rFonts w:ascii="仿宋_GB2312" w:hAnsi="仿宋_GB2312" w:eastAsia="仿宋_GB2312"/>
          <w:b w:val="0"/>
          <w:sz w:val="32"/>
        </w:rPr>
        <w:t>包括：办公费、水费、电费、邮电费、差旅费、专用材料费、工会经费、公务用车运行维护费、其他交通费用、其他商品和服务支出。</w:t>
      </w:r>
    </w:p>
    <w:p w14:paraId="6DCF9CF0">
      <w:pPr>
        <w:spacing w:line="640" w:lineRule="exact"/>
        <w:ind w:firstLine="640"/>
        <w:jc w:val="both"/>
        <w:outlineLvl w:val="2"/>
      </w:pPr>
      <w:r>
        <w:rPr>
          <w:rFonts w:ascii="黑体" w:hAnsi="黑体" w:eastAsia="黑体"/>
          <w:sz w:val="32"/>
        </w:rPr>
        <w:t>七、政府性基金预算财政拨款收入支出决算情况说明</w:t>
      </w:r>
    </w:p>
    <w:p w14:paraId="1F830D4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1B285D3">
      <w:pPr>
        <w:spacing w:line="640" w:lineRule="exact"/>
        <w:ind w:firstLine="640"/>
        <w:jc w:val="both"/>
        <w:outlineLvl w:val="2"/>
      </w:pPr>
      <w:r>
        <w:rPr>
          <w:rFonts w:ascii="黑体" w:hAnsi="黑体" w:eastAsia="黑体"/>
          <w:sz w:val="32"/>
        </w:rPr>
        <w:t>八、国有资本经营预算财政拨款收入支出决算情况说明</w:t>
      </w:r>
    </w:p>
    <w:p w14:paraId="6C42B61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6E7BBBC">
      <w:pPr>
        <w:spacing w:line="640" w:lineRule="exact"/>
        <w:ind w:firstLine="640"/>
        <w:jc w:val="both"/>
        <w:outlineLvl w:val="2"/>
      </w:pPr>
      <w:r>
        <w:rPr>
          <w:rFonts w:ascii="黑体" w:hAnsi="黑体" w:eastAsia="黑体"/>
          <w:sz w:val="32"/>
        </w:rPr>
        <w:t>九、财政拨款“三公”经费支出决算情况说明</w:t>
      </w:r>
    </w:p>
    <w:p w14:paraId="2FD75B60">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045E2498">
      <w:pPr>
        <w:spacing w:line="580" w:lineRule="exact"/>
        <w:ind w:firstLine="640"/>
        <w:jc w:val="both"/>
      </w:pPr>
      <w:r>
        <w:rPr>
          <w:rFonts w:ascii="仿宋_GB2312" w:hAnsi="仿宋_GB2312" w:eastAsia="仿宋_GB2312"/>
          <w:b/>
          <w:sz w:val="32"/>
        </w:rPr>
        <w:t>具体情况如下：</w:t>
      </w:r>
    </w:p>
    <w:p w14:paraId="5846032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4D2D1E5">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公车过路费，公车加油费，公车车辆保险费，车辆维修费等。公务用车购置数0辆，公务用车保有量1辆。国有资产占用情况中固定资产车辆1辆，与公务用车保有量差异原因是：本部门固定资产车辆与公务用车保有量一致无差异。</w:t>
      </w:r>
    </w:p>
    <w:p w14:paraId="23212F6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82F933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1.80万元，决算数1.80万元，预决算差异率0.00%，主要原因是：严格按照预算执行，预决算无差异。公务接待费全年预算数0.00万元，决算数0.00万元，预决算差异率0.00%，主要原因是：本部门无公务接待费。</w:t>
      </w:r>
    </w:p>
    <w:p w14:paraId="213B5747">
      <w:pPr>
        <w:spacing w:line="640" w:lineRule="exact"/>
        <w:ind w:firstLine="640"/>
        <w:jc w:val="both"/>
        <w:outlineLvl w:val="2"/>
      </w:pPr>
      <w:r>
        <w:rPr>
          <w:rFonts w:ascii="黑体" w:hAnsi="黑体" w:eastAsia="黑体"/>
          <w:sz w:val="32"/>
        </w:rPr>
        <w:t>十、其他重要事项的情况说明</w:t>
      </w:r>
    </w:p>
    <w:p w14:paraId="2AE83721">
      <w:pPr>
        <w:spacing w:line="640" w:lineRule="exact"/>
        <w:ind w:firstLine="640"/>
        <w:jc w:val="both"/>
        <w:outlineLvl w:val="3"/>
      </w:pPr>
      <w:r>
        <w:rPr>
          <w:rFonts w:ascii="楷体_GB2312" w:hAnsi="楷体_GB2312" w:eastAsia="楷体_GB2312"/>
          <w:b/>
          <w:sz w:val="32"/>
        </w:rPr>
        <w:t>（一）机关运行经费及公用经费支出情况</w:t>
      </w:r>
    </w:p>
    <w:p w14:paraId="66CA066A">
      <w:pPr>
        <w:spacing w:line="580" w:lineRule="exact"/>
        <w:ind w:firstLine="640"/>
        <w:jc w:val="both"/>
      </w:pPr>
      <w:r>
        <w:rPr>
          <w:rFonts w:ascii="仿宋_GB2312" w:hAnsi="仿宋_GB2312" w:eastAsia="仿宋_GB2312"/>
          <w:b w:val="0"/>
          <w:sz w:val="32"/>
        </w:rPr>
        <w:t>2024年度喀什地区农村合作经济发展中心（行政单位和参照公务员法管理事业单位）机关运行经费支出19.02万元，比上年增加4.87万元，增长34.42%，主要原因是：本年业务需要，办公费、差旅费增加，导致机关运行经费增加。</w:t>
      </w:r>
    </w:p>
    <w:p w14:paraId="0E62132F">
      <w:pPr>
        <w:spacing w:line="640" w:lineRule="exact"/>
        <w:ind w:firstLine="640"/>
        <w:jc w:val="both"/>
        <w:outlineLvl w:val="3"/>
      </w:pPr>
      <w:r>
        <w:rPr>
          <w:rFonts w:ascii="楷体_GB2312" w:hAnsi="楷体_GB2312" w:eastAsia="楷体_GB2312"/>
          <w:b/>
          <w:sz w:val="32"/>
        </w:rPr>
        <w:t>（二）政府采购情况</w:t>
      </w:r>
    </w:p>
    <w:p w14:paraId="0C6BAB86">
      <w:pPr>
        <w:spacing w:line="580" w:lineRule="exact"/>
        <w:ind w:firstLine="640"/>
        <w:jc w:val="both"/>
      </w:pPr>
      <w:r>
        <w:rPr>
          <w:rFonts w:ascii="仿宋_GB2312" w:hAnsi="仿宋_GB2312" w:eastAsia="仿宋_GB2312"/>
          <w:b w:val="0"/>
          <w:sz w:val="32"/>
        </w:rPr>
        <w:t>2024年度政府采购支出总额21.74万元，其中：政府采购货物支出10.31万元、政府采购工程支出0.00万元、政府采购服务支出11.44万元。</w:t>
      </w:r>
    </w:p>
    <w:p w14:paraId="438D9FF3">
      <w:pPr>
        <w:spacing w:line="580" w:lineRule="exact"/>
        <w:ind w:firstLine="640"/>
        <w:jc w:val="both"/>
      </w:pPr>
      <w:r>
        <w:rPr>
          <w:rFonts w:ascii="仿宋_GB2312" w:hAnsi="仿宋_GB2312" w:eastAsia="仿宋_GB2312"/>
          <w:b w:val="0"/>
          <w:sz w:val="32"/>
        </w:rPr>
        <w:t>授予中小企业合同金额21.74万元，占政府采购支出总额的100.00%，其中：授予小微企业合同金额21.74万元，占政府采购支出总额的100.00%。</w:t>
      </w:r>
    </w:p>
    <w:p w14:paraId="75561C89">
      <w:pPr>
        <w:spacing w:line="640" w:lineRule="exact"/>
        <w:ind w:firstLine="640"/>
        <w:jc w:val="both"/>
        <w:outlineLvl w:val="3"/>
      </w:pPr>
      <w:r>
        <w:rPr>
          <w:rFonts w:ascii="楷体_GB2312" w:hAnsi="楷体_GB2312" w:eastAsia="楷体_GB2312"/>
          <w:b/>
          <w:sz w:val="32"/>
        </w:rPr>
        <w:t>（三）国有资产占用情况说明</w:t>
      </w:r>
    </w:p>
    <w:p w14:paraId="28C16094">
      <w:pPr>
        <w:spacing w:line="580" w:lineRule="exact"/>
        <w:ind w:firstLine="640"/>
        <w:jc w:val="both"/>
      </w:pPr>
      <w:r>
        <w:rPr>
          <w:rFonts w:ascii="仿宋_GB2312" w:hAnsi="仿宋_GB2312" w:eastAsia="仿宋_GB2312"/>
          <w:b w:val="0"/>
          <w:sz w:val="32"/>
        </w:rPr>
        <w:t>截至2024年12月31日，房屋0.00平方米，价值0.00万元。车辆1辆，价值17.83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981B088">
      <w:pPr>
        <w:spacing w:line="640" w:lineRule="exact"/>
        <w:ind w:firstLine="640"/>
        <w:jc w:val="both"/>
        <w:outlineLvl w:val="2"/>
      </w:pPr>
      <w:r>
        <w:rPr>
          <w:rFonts w:ascii="黑体" w:hAnsi="黑体" w:eastAsia="黑体"/>
          <w:sz w:val="32"/>
        </w:rPr>
        <w:t>十一、预算绩效的情况说明</w:t>
      </w:r>
    </w:p>
    <w:p w14:paraId="6766804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根据预算绩效管理要求，本部门2024年度预算绩效管理形成整体支出绩效自评表1个，全年预算总额402.94万元，实际执行总额397.69万元；预算绩效评价项目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个，全年预算数3</w:t>
      </w:r>
      <w:r>
        <w:rPr>
          <w:rFonts w:hint="eastAsia" w:ascii="仿宋_GB2312" w:hAnsi="仿宋_GB2312" w:eastAsia="仿宋_GB2312"/>
          <w:b w:val="0"/>
          <w:sz w:val="32"/>
          <w:lang w:val="en-US" w:eastAsia="zh-CN"/>
        </w:rPr>
        <w:t>9</w:t>
      </w:r>
      <w:r>
        <w:rPr>
          <w:rFonts w:ascii="仿宋_GB2312" w:hAnsi="仿宋_GB2312" w:eastAsia="仿宋_GB2312"/>
          <w:b w:val="0"/>
          <w:sz w:val="32"/>
        </w:rPr>
        <w:t>.00万元，全年执行数3</w:t>
      </w:r>
      <w:r>
        <w:rPr>
          <w:rFonts w:hint="eastAsia" w:ascii="仿宋_GB2312" w:hAnsi="仿宋_GB2312" w:eastAsia="仿宋_GB2312"/>
          <w:b w:val="0"/>
          <w:sz w:val="32"/>
          <w:lang w:val="en-US" w:eastAsia="zh-CN"/>
        </w:rPr>
        <w:t>5</w:t>
      </w:r>
      <w:r>
        <w:rPr>
          <w:rFonts w:ascii="仿宋_GB2312" w:hAnsi="仿宋_GB2312" w:eastAsia="仿宋_GB2312"/>
          <w:b w:val="0"/>
          <w:sz w:val="32"/>
        </w:rPr>
        <w:t>.84万元。预算绩效管理取得的成效：单位建立绩效运行跟踪机制，定期采集绩效运行信息并汇总分析，对绩效目标运行情况进行跟踪管理。对上年度开展的重点项目评价工作进行绩效跟踪。进一步提高预算绩效管理认识，强化以“绩效为中心、对支出结果负责、对社会公众负责”的理念，对各项工作过程进行了详细的测算和评估，并且制定了合理的时间和资源规划。通过这些措施，我们提升了工作效率，为单位的快速发展提供了有力的支持，成果有效地推动了单位的发展和进步，并且为工作注入了新的活力和动力。加强绩效评估的监督管理，进一步提高工作的质量和效率，推动单位的持续发展。发现的问题及原因：一是本部门财务管理方面，会计核算还不够细致,对于有些能够细分的工作,未能详细分类核算,绩效评价基础数据不够精准。二是部分业务人员绩效管理意识有待增强，未能全面深入认识理解绩效管理工作的意义。绩效管理经验不足，预算绩效管理工作有待进一步落实。下一步改进措施：一是继续完善预算绩效管理相关工作制度，建立全过程预算绩效管理链条，有效贯彻落实全面实施绩效管理的精神。二是加大绩效工作宣传力度，强化绩效理念。完善绩效指标，提高整体绩效目标质量。提升业务人员绩效管理方面的意识，加强与财政部门的紧密配合,开展好整体支出及项目资金绩效管理工作,运用好绩效评价的结果,有效保障绩效工作的顺利开展。具体附部门整体支出绩效自评表，项目支出绩效自评表和部门评价报告。</w:t>
      </w:r>
    </w:p>
    <w:p w14:paraId="7C53DC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971A274">
        <w:tc>
          <w:tcPr>
            <w:tcW w:w="8847" w:type="dxa"/>
            <w:gridSpan w:val="9"/>
            <w:vAlign w:val="center"/>
          </w:tcPr>
          <w:p w14:paraId="3EA8D729">
            <w:pPr>
              <w:jc w:val="center"/>
            </w:pPr>
            <w:r>
              <w:rPr>
                <w:rFonts w:ascii="宋体" w:hAnsi="宋体" w:eastAsia="宋体"/>
                <w:sz w:val="24"/>
              </w:rPr>
              <w:t>部门整体支出绩效自评表</w:t>
            </w:r>
          </w:p>
        </w:tc>
      </w:tr>
      <w:tr w14:paraId="28FAC206">
        <w:tblPrEx>
          <w:tblCellMar>
            <w:top w:w="0" w:type="dxa"/>
            <w:left w:w="108" w:type="dxa"/>
            <w:bottom w:w="0" w:type="dxa"/>
            <w:right w:w="108" w:type="dxa"/>
          </w:tblCellMar>
        </w:tblPrEx>
        <w:tc>
          <w:tcPr>
            <w:tcW w:w="8847" w:type="dxa"/>
            <w:gridSpan w:val="9"/>
            <w:vAlign w:val="center"/>
          </w:tcPr>
          <w:p w14:paraId="345C6344">
            <w:pPr>
              <w:jc w:val="center"/>
            </w:pPr>
            <w:r>
              <w:rPr>
                <w:rFonts w:ascii="宋体" w:hAnsi="宋体" w:eastAsia="宋体"/>
                <w:sz w:val="24"/>
              </w:rPr>
              <w:t>（2024年度）</w:t>
            </w:r>
          </w:p>
        </w:tc>
      </w:tr>
      <w:tr w14:paraId="697F4E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F0A2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36BF51">
            <w:pPr>
              <w:jc w:val="center"/>
            </w:pPr>
            <w:r>
              <w:rPr>
                <w:rFonts w:ascii="宋体" w:hAnsi="宋体" w:eastAsia="宋体"/>
                <w:sz w:val="16"/>
              </w:rPr>
              <w:t>喀什地区农村合作经济发展中心</w:t>
            </w:r>
          </w:p>
        </w:tc>
      </w:tr>
      <w:tr w14:paraId="6445FD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81AE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604B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A5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4E4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116D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4827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F66D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10927">
            <w:pPr>
              <w:jc w:val="center"/>
            </w:pPr>
            <w:r>
              <w:rPr>
                <w:rFonts w:ascii="宋体" w:hAnsi="宋体" w:eastAsia="宋体"/>
                <w:sz w:val="16"/>
              </w:rPr>
              <w:t>得分</w:t>
            </w:r>
          </w:p>
        </w:tc>
      </w:tr>
      <w:tr w14:paraId="7BE3B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706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024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96692">
            <w:pPr>
              <w:jc w:val="center"/>
            </w:pPr>
            <w:r>
              <w:rPr>
                <w:rFonts w:ascii="宋体" w:hAnsi="宋体" w:eastAsia="宋体"/>
                <w:sz w:val="16"/>
              </w:rPr>
              <w:t>378.78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65B99">
            <w:pPr>
              <w:jc w:val="center"/>
            </w:pPr>
            <w:r>
              <w:rPr>
                <w:rFonts w:ascii="宋体" w:hAnsi="宋体" w:eastAsia="宋体"/>
                <w:sz w:val="16"/>
              </w:rPr>
              <w:t>402.94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AD7A6">
            <w:pPr>
              <w:jc w:val="center"/>
            </w:pPr>
            <w:r>
              <w:rPr>
                <w:rFonts w:ascii="宋体" w:hAnsi="宋体" w:eastAsia="宋体"/>
                <w:sz w:val="16"/>
              </w:rPr>
              <w:t>397.69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53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76E25">
            <w:pPr>
              <w:jc w:val="center"/>
            </w:pPr>
            <w:r>
              <w:rPr>
                <w:rFonts w:ascii="宋体" w:hAnsi="宋体" w:eastAsia="宋体"/>
                <w:sz w:val="16"/>
              </w:rPr>
              <w:t>98.70%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DD4FA">
            <w:pPr>
              <w:jc w:val="center"/>
            </w:pPr>
            <w:r>
              <w:rPr>
                <w:rFonts w:ascii="宋体" w:hAnsi="宋体" w:eastAsia="宋体"/>
                <w:sz w:val="16"/>
              </w:rPr>
              <w:t>9.87</w:t>
            </w:r>
          </w:p>
        </w:tc>
      </w:tr>
      <w:tr w14:paraId="6052C6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2B1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59F6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35866">
            <w:pPr>
              <w:jc w:val="center"/>
            </w:pPr>
            <w:r>
              <w:rPr>
                <w:rFonts w:ascii="宋体" w:hAnsi="宋体" w:eastAsia="宋体"/>
                <w:sz w:val="16"/>
              </w:rPr>
              <w:t>27.93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51D5">
            <w:pPr>
              <w:jc w:val="center"/>
            </w:pPr>
            <w:r>
              <w:rPr>
                <w:rFonts w:ascii="宋体" w:hAnsi="宋体" w:eastAsia="宋体"/>
                <w:sz w:val="16"/>
              </w:rPr>
              <w:t>44.86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1D54A">
            <w:pPr>
              <w:jc w:val="center"/>
            </w:pPr>
            <w:r>
              <w:rPr>
                <w:rFonts w:ascii="宋体" w:hAnsi="宋体" w:eastAsia="宋体"/>
                <w:sz w:val="16"/>
              </w:rPr>
              <w:t>42.77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F7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370E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932A">
            <w:pPr>
              <w:jc w:val="center"/>
            </w:pPr>
            <w:r>
              <w:rPr>
                <w:rFonts w:ascii="宋体" w:hAnsi="宋体" w:eastAsia="宋体"/>
                <w:sz w:val="16"/>
              </w:rPr>
              <w:t>—</w:t>
            </w:r>
          </w:p>
        </w:tc>
      </w:tr>
      <w:tr w14:paraId="4B4EA3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23B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1127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9BFAA">
            <w:pPr>
              <w:jc w:val="center"/>
            </w:pPr>
            <w:r>
              <w:rPr>
                <w:rFonts w:ascii="宋体" w:hAnsi="宋体" w:eastAsia="宋体"/>
                <w:sz w:val="16"/>
              </w:rPr>
              <w:t>350.85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A0707">
            <w:pPr>
              <w:jc w:val="center"/>
            </w:pPr>
            <w:r>
              <w:rPr>
                <w:rFonts w:ascii="宋体" w:hAnsi="宋体" w:eastAsia="宋体"/>
                <w:sz w:val="16"/>
              </w:rPr>
              <w:t>358.08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05B30">
            <w:pPr>
              <w:jc w:val="center"/>
            </w:pPr>
            <w:r>
              <w:rPr>
                <w:rFonts w:ascii="宋体" w:hAnsi="宋体" w:eastAsia="宋体"/>
                <w:sz w:val="16"/>
              </w:rPr>
              <w:t>354.92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04A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F57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D80D">
            <w:pPr>
              <w:jc w:val="center"/>
            </w:pPr>
            <w:r>
              <w:rPr>
                <w:rFonts w:ascii="宋体" w:hAnsi="宋体" w:eastAsia="宋体"/>
                <w:sz w:val="16"/>
              </w:rPr>
              <w:t>—</w:t>
            </w:r>
          </w:p>
        </w:tc>
      </w:tr>
      <w:tr w14:paraId="4AD976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73D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FB36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B22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C8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D77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6F3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1D18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2522">
            <w:pPr>
              <w:jc w:val="center"/>
            </w:pPr>
            <w:r>
              <w:rPr>
                <w:rFonts w:ascii="宋体" w:hAnsi="宋体" w:eastAsia="宋体"/>
                <w:sz w:val="16"/>
              </w:rPr>
              <w:t>—</w:t>
            </w:r>
          </w:p>
        </w:tc>
      </w:tr>
      <w:tr w14:paraId="214032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90C5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F7B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EFDCBC">
            <w:pPr>
              <w:jc w:val="center"/>
            </w:pPr>
            <w:r>
              <w:rPr>
                <w:rFonts w:ascii="宋体" w:hAnsi="宋体" w:eastAsia="宋体"/>
                <w:sz w:val="16"/>
              </w:rPr>
              <w:t>实际完成情况</w:t>
            </w:r>
          </w:p>
        </w:tc>
      </w:tr>
      <w:tr w14:paraId="544A2D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B1A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CEBB46">
            <w:pPr>
              <w:jc w:val="both"/>
            </w:pPr>
            <w:r>
              <w:rPr>
                <w:rFonts w:ascii="宋体" w:hAnsi="宋体" w:eastAsia="宋体"/>
                <w:sz w:val="16"/>
              </w:rPr>
              <w:t>保障单位工资发放、福利及个人和家庭补助支出。单位运转保障、农经体系建设指导、调研、政策宣传，日常办公水电暖等工作正常开展。2024年度完成4次收益分配数据，保证4个季度数据按时上报，保证数据准确性。积极开展6次及以上业务调研活动，针对宅基地改革、村级财务管理、合作社示范社建设等工作，提升全区农经领域工作质量，调研指导保证12县市全覆盖，建设60家地区级合作社示范社，提升合作社在乡村振兴领域的作用。开展新型农业经营主体培训，培养150人以上辅导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9ED94">
            <w:pPr>
              <w:jc w:val="both"/>
            </w:pPr>
            <w:r>
              <w:rPr>
                <w:rFonts w:ascii="宋体" w:hAnsi="宋体" w:eastAsia="宋体"/>
                <w:sz w:val="16"/>
              </w:rPr>
              <w:t>有效保障了单位工资发放、福利及个人和家庭补助支出。保障了单位运转、农经体系建设指导、调研、政策宣传，日常办公水电暖等工作正常开展。2024年度完成了4次收益分配数据。开展了6次业务调研活动，覆盖了12县市，针对宅基地改革、村级财务管理、合作社示范社建设等工作，提升全区农经领域工作质量，建设了63家地区级合作社示范社，提升合作社在乡村振兴领域的作用。开展了新型农业经营主体培训，培养150名辅导员。</w:t>
            </w:r>
          </w:p>
        </w:tc>
      </w:tr>
      <w:tr w14:paraId="1D450B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181C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8C11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2EB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4E1B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AF54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F39F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F68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034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28BEA">
            <w:pPr>
              <w:jc w:val="center"/>
            </w:pPr>
            <w:r>
              <w:rPr>
                <w:rFonts w:ascii="宋体" w:hAnsi="宋体" w:eastAsia="宋体"/>
                <w:sz w:val="16"/>
              </w:rPr>
              <w:t>得分</w:t>
            </w:r>
          </w:p>
        </w:tc>
      </w:tr>
      <w:tr w14:paraId="208CE0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15BB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0D0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17BC9">
            <w:pPr>
              <w:jc w:val="center"/>
            </w:pPr>
            <w:r>
              <w:rPr>
                <w:rFonts w:ascii="宋体" w:hAnsi="宋体" w:eastAsia="宋体"/>
                <w:sz w:val="16"/>
              </w:rPr>
              <w:t>上报收益分配次数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42ADF">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01ADF">
            <w:pPr>
              <w:jc w:val="center"/>
            </w:pPr>
            <w:r>
              <w:rPr>
                <w:rFonts w:ascii="宋体" w:hAnsi="宋体" w:eastAsia="宋体"/>
                <w:sz w:val="16"/>
              </w:rPr>
              <w:t>地区农经中心2023年工作总结及2024年工作计划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E2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9A6F7">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A1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17275">
            <w:pPr>
              <w:jc w:val="center"/>
            </w:pPr>
            <w:r>
              <w:rPr>
                <w:rFonts w:ascii="宋体" w:hAnsi="宋体" w:eastAsia="宋体"/>
                <w:sz w:val="16"/>
              </w:rPr>
              <w:t>20</w:t>
            </w:r>
          </w:p>
        </w:tc>
      </w:tr>
      <w:tr w14:paraId="3B6A42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364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746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03C20">
            <w:pPr>
              <w:jc w:val="center"/>
            </w:pPr>
            <w:r>
              <w:rPr>
                <w:rFonts w:ascii="宋体" w:hAnsi="宋体" w:eastAsia="宋体"/>
                <w:sz w:val="16"/>
              </w:rPr>
              <w:t>业务调研指导次数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46D21">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7137">
            <w:pPr>
              <w:jc w:val="center"/>
            </w:pPr>
            <w:r>
              <w:rPr>
                <w:rFonts w:ascii="宋体" w:hAnsi="宋体" w:eastAsia="宋体"/>
                <w:sz w:val="16"/>
              </w:rPr>
              <w:t>地区农经中心2023年工作总结及2024年工作计划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39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A3D27">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4FE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B4634">
            <w:pPr>
              <w:jc w:val="center"/>
            </w:pPr>
            <w:r>
              <w:rPr>
                <w:rFonts w:ascii="宋体" w:hAnsi="宋体" w:eastAsia="宋体"/>
                <w:sz w:val="16"/>
              </w:rPr>
              <w:t>20</w:t>
            </w:r>
          </w:p>
        </w:tc>
      </w:tr>
      <w:tr w14:paraId="3A6356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DEF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C58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BD13F">
            <w:pPr>
              <w:jc w:val="center"/>
            </w:pPr>
            <w:r>
              <w:rPr>
                <w:rFonts w:ascii="宋体" w:hAnsi="宋体" w:eastAsia="宋体"/>
                <w:sz w:val="16"/>
              </w:rPr>
              <w:t>调研指导县市覆盖率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551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E0589">
            <w:pPr>
              <w:jc w:val="center"/>
            </w:pPr>
            <w:r>
              <w:rPr>
                <w:rFonts w:ascii="宋体" w:hAnsi="宋体" w:eastAsia="宋体"/>
                <w:sz w:val="16"/>
              </w:rPr>
              <w:t>地区农经中心2023年工作总结及2024年工作计划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D08E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793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32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67705">
            <w:pPr>
              <w:jc w:val="center"/>
            </w:pPr>
            <w:r>
              <w:rPr>
                <w:rFonts w:ascii="宋体" w:hAnsi="宋体" w:eastAsia="宋体"/>
                <w:sz w:val="16"/>
              </w:rPr>
              <w:t>15</w:t>
            </w:r>
          </w:p>
        </w:tc>
      </w:tr>
      <w:tr w14:paraId="2D577E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5DC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72DA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5767D">
            <w:pPr>
              <w:jc w:val="center"/>
            </w:pPr>
            <w:r>
              <w:rPr>
                <w:rFonts w:ascii="宋体" w:hAnsi="宋体" w:eastAsia="宋体"/>
                <w:sz w:val="16"/>
              </w:rPr>
              <w:t>创建地区级农民合作社示范社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C43FD">
            <w:pPr>
              <w:jc w:val="center"/>
            </w:pPr>
            <w:r>
              <w:rPr>
                <w:rFonts w:ascii="宋体" w:hAnsi="宋体" w:eastAsia="宋体"/>
                <w:sz w:val="16"/>
              </w:rPr>
              <w:t>&gt;=60家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F2F54">
            <w:pPr>
              <w:jc w:val="center"/>
            </w:pPr>
            <w:r>
              <w:rPr>
                <w:rFonts w:ascii="宋体" w:hAnsi="宋体" w:eastAsia="宋体"/>
                <w:sz w:val="16"/>
              </w:rPr>
              <w:t>地区农经中心2023年工作总结及2024年工作计划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B373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235DC">
            <w:pPr>
              <w:jc w:val="center"/>
            </w:pPr>
            <w:r>
              <w:rPr>
                <w:rFonts w:ascii="宋体" w:hAnsi="宋体" w:eastAsia="宋体"/>
                <w:sz w:val="16"/>
              </w:rPr>
              <w:t>63家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D293">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70F8F">
            <w:pPr>
              <w:jc w:val="center"/>
            </w:pPr>
            <w:r>
              <w:rPr>
                <w:rFonts w:ascii="宋体" w:hAnsi="宋体" w:eastAsia="宋体"/>
                <w:sz w:val="16"/>
              </w:rPr>
              <w:t>15</w:t>
            </w:r>
          </w:p>
        </w:tc>
      </w:tr>
      <w:tr w14:paraId="5B085C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B7D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A9B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CE875">
            <w:pPr>
              <w:jc w:val="center"/>
            </w:pPr>
            <w:r>
              <w:rPr>
                <w:rFonts w:ascii="宋体" w:hAnsi="宋体" w:eastAsia="宋体"/>
                <w:sz w:val="16"/>
              </w:rPr>
              <w:t>培训新型农业经营主体辅导员人数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1B6E6">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AED74">
            <w:pPr>
              <w:jc w:val="center"/>
            </w:pPr>
            <w:r>
              <w:rPr>
                <w:rFonts w:ascii="宋体" w:hAnsi="宋体" w:eastAsia="宋体"/>
                <w:sz w:val="16"/>
              </w:rPr>
              <w:t>地区农经中心2023年工作总结及2024年工作计划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7D8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BD808">
            <w:pPr>
              <w:jc w:val="center"/>
            </w:pPr>
            <w:r>
              <w:rPr>
                <w:rFonts w:ascii="宋体" w:hAnsi="宋体" w:eastAsia="宋体"/>
                <w:sz w:val="16"/>
              </w:rPr>
              <w: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67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AF099">
            <w:pPr>
              <w:jc w:val="center"/>
            </w:pPr>
            <w:r>
              <w:rPr>
                <w:rFonts w:ascii="宋体" w:hAnsi="宋体" w:eastAsia="宋体"/>
                <w:sz w:val="16"/>
              </w:rPr>
              <w:t>20</w:t>
            </w:r>
          </w:p>
        </w:tc>
      </w:tr>
    </w:tbl>
    <w:p w14:paraId="37972A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6B6276">
        <w:tblPrEx>
          <w:tblCellMar>
            <w:top w:w="0" w:type="dxa"/>
            <w:left w:w="108" w:type="dxa"/>
            <w:bottom w:w="0" w:type="dxa"/>
            <w:right w:w="108" w:type="dxa"/>
          </w:tblCellMar>
        </w:tblPrEx>
        <w:tc>
          <w:tcPr>
            <w:tcW w:w="8848" w:type="dxa"/>
            <w:gridSpan w:val="14"/>
            <w:vAlign w:val="center"/>
          </w:tcPr>
          <w:p w14:paraId="13E9D6F1">
            <w:pPr>
              <w:jc w:val="center"/>
            </w:pPr>
            <w:r>
              <w:rPr>
                <w:rFonts w:ascii="宋体" w:hAnsi="宋体" w:eastAsia="宋体"/>
                <w:sz w:val="24"/>
              </w:rPr>
              <w:t>项目支出绩效自评表</w:t>
            </w:r>
          </w:p>
        </w:tc>
      </w:tr>
      <w:tr w14:paraId="0032B0B6">
        <w:tblPrEx>
          <w:tblCellMar>
            <w:top w:w="0" w:type="dxa"/>
            <w:left w:w="108" w:type="dxa"/>
            <w:bottom w:w="0" w:type="dxa"/>
            <w:right w:w="108" w:type="dxa"/>
          </w:tblCellMar>
        </w:tblPrEx>
        <w:tc>
          <w:tcPr>
            <w:tcW w:w="8848" w:type="dxa"/>
            <w:gridSpan w:val="14"/>
            <w:vAlign w:val="center"/>
          </w:tcPr>
          <w:p w14:paraId="7FAB46FD">
            <w:pPr>
              <w:jc w:val="center"/>
            </w:pPr>
            <w:r>
              <w:rPr>
                <w:rFonts w:ascii="宋体" w:hAnsi="宋体" w:eastAsia="宋体"/>
                <w:sz w:val="24"/>
              </w:rPr>
              <w:t>(2024年度)</w:t>
            </w:r>
          </w:p>
        </w:tc>
      </w:tr>
      <w:tr w14:paraId="0DB2E2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DE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3AD8F9">
            <w:pPr>
              <w:jc w:val="center"/>
            </w:pPr>
            <w:r>
              <w:rPr>
                <w:rFonts w:ascii="宋体" w:hAnsi="宋体" w:eastAsia="宋体"/>
                <w:sz w:val="16"/>
              </w:rPr>
              <w:t>2024年自治区农业生产发展（新型农业经营主体培育）项目</w:t>
            </w:r>
          </w:p>
        </w:tc>
      </w:tr>
      <w:tr w14:paraId="6C2654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41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D1F51">
            <w:pPr>
              <w:jc w:val="center"/>
            </w:pPr>
            <w:r>
              <w:rPr>
                <w:rFonts w:ascii="宋体" w:hAnsi="宋体" w:eastAsia="宋体"/>
                <w:sz w:val="16"/>
              </w:rPr>
              <w:t>喀什地区农村合作经济发展中心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BB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C6693D">
            <w:pPr>
              <w:jc w:val="center"/>
            </w:pPr>
            <w:r>
              <w:rPr>
                <w:rFonts w:ascii="宋体" w:hAnsi="宋体" w:eastAsia="宋体"/>
                <w:sz w:val="16"/>
              </w:rPr>
              <w:t>喀什地区农村合作经济发展中心</w:t>
            </w:r>
          </w:p>
        </w:tc>
      </w:tr>
      <w:tr w14:paraId="3DAE5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25A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0EA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F32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F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8F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8F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5EC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1309">
            <w:pPr>
              <w:jc w:val="center"/>
            </w:pPr>
            <w:r>
              <w:rPr>
                <w:rFonts w:ascii="宋体" w:hAnsi="宋体" w:eastAsia="宋体"/>
                <w:sz w:val="16"/>
              </w:rPr>
              <w:t>得分</w:t>
            </w:r>
          </w:p>
        </w:tc>
      </w:tr>
      <w:tr w14:paraId="41620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B86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CE9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78C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0A46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76E5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86A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49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F196">
            <w:pPr>
              <w:jc w:val="center"/>
            </w:pPr>
            <w:r>
              <w:rPr>
                <w:rFonts w:ascii="宋体" w:hAnsi="宋体" w:eastAsia="宋体"/>
                <w:sz w:val="16"/>
              </w:rPr>
              <w:t>10.00分</w:t>
            </w:r>
          </w:p>
        </w:tc>
      </w:tr>
      <w:tr w14:paraId="501A7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1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DE6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A99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17DA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137F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58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803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72C2">
            <w:pPr>
              <w:jc w:val="center"/>
            </w:pPr>
            <w:r>
              <w:rPr>
                <w:rFonts w:ascii="宋体" w:hAnsi="宋体" w:eastAsia="宋体"/>
                <w:sz w:val="16"/>
              </w:rPr>
              <w:t>—</w:t>
            </w:r>
          </w:p>
        </w:tc>
      </w:tr>
      <w:tr w14:paraId="14498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A9E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98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451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41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4C4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B9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37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41E1">
            <w:pPr>
              <w:jc w:val="center"/>
            </w:pPr>
            <w:r>
              <w:rPr>
                <w:rFonts w:ascii="宋体" w:hAnsi="宋体" w:eastAsia="宋体"/>
                <w:sz w:val="16"/>
              </w:rPr>
              <w:t>—</w:t>
            </w:r>
          </w:p>
        </w:tc>
      </w:tr>
      <w:tr w14:paraId="02F52D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BB4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33D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4FF565">
            <w:pPr>
              <w:jc w:val="center"/>
            </w:pPr>
            <w:r>
              <w:rPr>
                <w:rFonts w:ascii="宋体" w:hAnsi="宋体" w:eastAsia="宋体"/>
                <w:sz w:val="16"/>
              </w:rPr>
              <w:t>实际完成情况</w:t>
            </w:r>
          </w:p>
        </w:tc>
      </w:tr>
      <w:tr w14:paraId="21198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700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9BA0F">
            <w:pPr>
              <w:jc w:val="both"/>
            </w:pPr>
            <w:r>
              <w:rPr>
                <w:rFonts w:ascii="宋体" w:hAnsi="宋体" w:eastAsia="宋体"/>
                <w:sz w:val="16"/>
              </w:rPr>
              <w:t>为支持地区农业农村部门实施新型农业经营主体提升行动和“千员带万社”行动，我中心计划开展5次新型经营主体指导服务，开展1次观摩学习，聘请第三方针对县市项目实施情况开展审计工作，培训150人及以上新型农业经营主体辅导员。项目总资金25万元，资金支付率要达到100%，不超额执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5DDC93">
            <w:pPr>
              <w:jc w:val="both"/>
            </w:pPr>
            <w:r>
              <w:rPr>
                <w:rFonts w:ascii="宋体" w:hAnsi="宋体" w:eastAsia="宋体"/>
                <w:sz w:val="16"/>
              </w:rPr>
              <w:t>全地区培训新型农业经营主体辅导员人数150人次；地区深入辖区县市开展新型农业经营主体指导服务5次；开展观摩学习1次；对所辖县市承担新型农业经营主体培育项目开展审计或检查指导覆盖率达60%；新型农业经营主体服务带动能力明显增强，实际各县市均明显增强。</w:t>
            </w:r>
          </w:p>
        </w:tc>
      </w:tr>
      <w:tr w14:paraId="56C9C2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A19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38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31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8D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83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73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80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DE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FD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CF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88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9E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5F240">
            <w:pPr>
              <w:jc w:val="center"/>
            </w:pPr>
            <w:r>
              <w:rPr>
                <w:rFonts w:ascii="宋体" w:hAnsi="宋体" w:eastAsia="宋体"/>
                <w:sz w:val="16"/>
              </w:rPr>
              <w:t>偏差原因分析及改进措施</w:t>
            </w:r>
          </w:p>
        </w:tc>
      </w:tr>
      <w:tr w14:paraId="4B0B5A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770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793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D2F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44DE">
            <w:pPr>
              <w:jc w:val="center"/>
            </w:pPr>
            <w:r>
              <w:rPr>
                <w:rFonts w:ascii="宋体" w:hAnsi="宋体" w:eastAsia="宋体"/>
                <w:sz w:val="16"/>
              </w:rPr>
              <w:t>培训新型农业经营主体辅导员人数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D5F2">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C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96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32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5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69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773A">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40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930F">
            <w:pPr>
              <w:jc w:val="center"/>
            </w:pPr>
          </w:p>
        </w:tc>
      </w:tr>
      <w:tr w14:paraId="0C6FC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1A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70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1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3D8F">
            <w:pPr>
              <w:jc w:val="center"/>
            </w:pPr>
            <w:r>
              <w:rPr>
                <w:rFonts w:ascii="宋体" w:hAnsi="宋体" w:eastAsia="宋体"/>
                <w:sz w:val="16"/>
              </w:rPr>
              <w:t>开展新型农业经营主体指导服务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0C76">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C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25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C0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F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1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D90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C43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FE6A1">
            <w:pPr>
              <w:jc w:val="center"/>
            </w:pPr>
          </w:p>
        </w:tc>
      </w:tr>
      <w:tr w14:paraId="02CD3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90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D6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1E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FB61">
            <w:pPr>
              <w:jc w:val="center"/>
            </w:pPr>
            <w:r>
              <w:rPr>
                <w:rFonts w:ascii="宋体" w:hAnsi="宋体" w:eastAsia="宋体"/>
                <w:sz w:val="16"/>
              </w:rPr>
              <w:t>开展观摩学习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8C4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F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3C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B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AD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9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1E7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DC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6D6E">
            <w:pPr>
              <w:jc w:val="center"/>
            </w:pPr>
          </w:p>
        </w:tc>
      </w:tr>
      <w:tr w14:paraId="33D31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52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15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02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984A">
            <w:pPr>
              <w:jc w:val="center"/>
            </w:pPr>
            <w:r>
              <w:rPr>
                <w:rFonts w:ascii="宋体" w:hAnsi="宋体" w:eastAsia="宋体"/>
                <w:sz w:val="16"/>
              </w:rPr>
              <w:t>第三方审计县市项目开展情况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8822">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4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FD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34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0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B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49A4">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B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AAE1">
            <w:pPr>
              <w:jc w:val="center"/>
            </w:pPr>
          </w:p>
        </w:tc>
      </w:tr>
      <w:tr w14:paraId="6337E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B7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0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2A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DF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ECA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9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FE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D7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2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1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338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F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4388B">
            <w:pPr>
              <w:jc w:val="center"/>
            </w:pPr>
          </w:p>
        </w:tc>
      </w:tr>
      <w:tr w14:paraId="5F2AC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54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F2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33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088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9AE8">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2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BA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4F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B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AB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BB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B8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1D4BB">
            <w:pPr>
              <w:jc w:val="center"/>
            </w:pPr>
          </w:p>
        </w:tc>
      </w:tr>
      <w:tr w14:paraId="7ED4E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C8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68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8C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0789">
            <w:pPr>
              <w:jc w:val="center"/>
            </w:pPr>
            <w:r>
              <w:rPr>
                <w:rFonts w:ascii="宋体" w:hAnsi="宋体" w:eastAsia="宋体"/>
                <w:sz w:val="16"/>
              </w:rPr>
              <w:t>新型农业经营主体服务带动能力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A0B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B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A4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29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0D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F2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6EC7">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3A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80BF6">
            <w:pPr>
              <w:jc w:val="center"/>
            </w:pPr>
          </w:p>
        </w:tc>
      </w:tr>
      <w:tr w14:paraId="49018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92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FD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6C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C641">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994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5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DE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FB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02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EC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C44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57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C378">
            <w:pPr>
              <w:jc w:val="center"/>
            </w:pPr>
          </w:p>
        </w:tc>
      </w:tr>
      <w:tr w14:paraId="281D22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AD0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4C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23B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BF2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489F38"/>
        </w:tc>
      </w:tr>
    </w:tbl>
    <w:p w14:paraId="70BFA3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A0D4DA5">
        <w:tc>
          <w:tcPr>
            <w:tcW w:w="8848" w:type="dxa"/>
            <w:gridSpan w:val="14"/>
            <w:vAlign w:val="center"/>
          </w:tcPr>
          <w:p w14:paraId="7B2ADDEB">
            <w:pPr>
              <w:jc w:val="center"/>
            </w:pPr>
            <w:r>
              <w:rPr>
                <w:rFonts w:ascii="宋体" w:hAnsi="宋体" w:eastAsia="宋体"/>
                <w:sz w:val="24"/>
              </w:rPr>
              <w:t>项目支出绩效自评表</w:t>
            </w:r>
          </w:p>
        </w:tc>
      </w:tr>
      <w:tr w14:paraId="63BFAF8F">
        <w:tblPrEx>
          <w:tblCellMar>
            <w:top w:w="0" w:type="dxa"/>
            <w:left w:w="108" w:type="dxa"/>
            <w:bottom w:w="0" w:type="dxa"/>
            <w:right w:w="108" w:type="dxa"/>
          </w:tblCellMar>
        </w:tblPrEx>
        <w:tc>
          <w:tcPr>
            <w:tcW w:w="8848" w:type="dxa"/>
            <w:gridSpan w:val="14"/>
            <w:vAlign w:val="center"/>
          </w:tcPr>
          <w:p w14:paraId="757B4D79">
            <w:pPr>
              <w:jc w:val="center"/>
            </w:pPr>
            <w:r>
              <w:rPr>
                <w:rFonts w:ascii="宋体" w:hAnsi="宋体" w:eastAsia="宋体"/>
                <w:sz w:val="24"/>
              </w:rPr>
              <w:t>(2024年度)</w:t>
            </w:r>
          </w:p>
        </w:tc>
      </w:tr>
      <w:tr w14:paraId="23A39D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86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BBEF69">
            <w:pPr>
              <w:jc w:val="center"/>
            </w:pPr>
            <w:r>
              <w:rPr>
                <w:rFonts w:ascii="宋体" w:hAnsi="宋体" w:eastAsia="宋体"/>
                <w:sz w:val="16"/>
              </w:rPr>
              <w:t>农经业务工作项目</w:t>
            </w:r>
          </w:p>
        </w:tc>
      </w:tr>
      <w:tr w14:paraId="441BE9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D6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7253A">
            <w:pPr>
              <w:jc w:val="center"/>
            </w:pPr>
            <w:r>
              <w:rPr>
                <w:rFonts w:ascii="宋体" w:hAnsi="宋体" w:eastAsia="宋体"/>
                <w:sz w:val="16"/>
              </w:rPr>
              <w:t>喀什地区农村合作经济发展中心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06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4376C">
            <w:pPr>
              <w:jc w:val="center"/>
            </w:pPr>
            <w:r>
              <w:rPr>
                <w:rFonts w:ascii="宋体" w:hAnsi="宋体" w:eastAsia="宋体"/>
                <w:sz w:val="16"/>
              </w:rPr>
              <w:t>喀什地区农村合作经济发展中心</w:t>
            </w:r>
          </w:p>
        </w:tc>
      </w:tr>
      <w:tr w14:paraId="5DBEC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460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530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288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16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8E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5CF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E0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5315">
            <w:pPr>
              <w:jc w:val="center"/>
            </w:pPr>
            <w:r>
              <w:rPr>
                <w:rFonts w:ascii="宋体" w:hAnsi="宋体" w:eastAsia="宋体"/>
                <w:sz w:val="16"/>
              </w:rPr>
              <w:t>得分</w:t>
            </w:r>
          </w:p>
        </w:tc>
      </w:tr>
      <w:tr w14:paraId="7D21E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D5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85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3F8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684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53801">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4B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227D">
            <w:pPr>
              <w:jc w:val="center"/>
            </w:pPr>
            <w:r>
              <w:rPr>
                <w:rFonts w:ascii="宋体" w:hAnsi="宋体" w:eastAsia="宋体"/>
                <w:sz w:val="16"/>
              </w:rPr>
              <w:t>54.9%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CF9A">
            <w:pPr>
              <w:jc w:val="center"/>
            </w:pPr>
            <w:r>
              <w:rPr>
                <w:rFonts w:ascii="宋体" w:hAnsi="宋体" w:eastAsia="宋体"/>
                <w:sz w:val="16"/>
              </w:rPr>
              <w:t>0.00分</w:t>
            </w:r>
          </w:p>
        </w:tc>
      </w:tr>
      <w:tr w14:paraId="77843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A4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7C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036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B300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34918">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D32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689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FA2F">
            <w:pPr>
              <w:jc w:val="center"/>
            </w:pPr>
            <w:r>
              <w:rPr>
                <w:rFonts w:ascii="宋体" w:hAnsi="宋体" w:eastAsia="宋体"/>
                <w:sz w:val="16"/>
              </w:rPr>
              <w:t>—</w:t>
            </w:r>
          </w:p>
        </w:tc>
      </w:tr>
      <w:tr w14:paraId="3CD60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1F8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172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8EC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6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0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2B3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9C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6D1D">
            <w:pPr>
              <w:jc w:val="center"/>
            </w:pPr>
            <w:r>
              <w:rPr>
                <w:rFonts w:ascii="宋体" w:hAnsi="宋体" w:eastAsia="宋体"/>
                <w:sz w:val="16"/>
              </w:rPr>
              <w:t>—</w:t>
            </w:r>
          </w:p>
        </w:tc>
      </w:tr>
      <w:tr w14:paraId="25AF94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99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65B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80B761">
            <w:pPr>
              <w:jc w:val="center"/>
            </w:pPr>
            <w:r>
              <w:rPr>
                <w:rFonts w:ascii="宋体" w:hAnsi="宋体" w:eastAsia="宋体"/>
                <w:sz w:val="16"/>
              </w:rPr>
              <w:t>实际完成情况</w:t>
            </w:r>
          </w:p>
        </w:tc>
      </w:tr>
      <w:tr w14:paraId="4E03D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00E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F8FBD">
            <w:pPr>
              <w:jc w:val="both"/>
            </w:pPr>
            <w:r>
              <w:rPr>
                <w:rFonts w:ascii="宋体" w:hAnsi="宋体" w:eastAsia="宋体"/>
                <w:sz w:val="16"/>
              </w:rPr>
              <w:t>持续巩固和完善农村基本经营制度，落实农村第二轮土地承包到期后再延长三十年政策，深化承包地</w:t>
            </w:r>
            <w:r>
              <w:rPr>
                <w:rFonts w:hint="eastAsia" w:ascii="宋体" w:hAnsi="宋体"/>
                <w:sz w:val="16"/>
                <w:lang w:eastAsia="zh-CN"/>
              </w:rPr>
              <w:t>“三权”分置</w:t>
            </w:r>
            <w:r>
              <w:rPr>
                <w:rFonts w:ascii="宋体" w:hAnsi="宋体" w:eastAsia="宋体"/>
                <w:sz w:val="16"/>
              </w:rPr>
              <w:t>改革，积极发展多种形式适度规模经营。完善农村集体经营性建设用地配套制度，深化农村宅基地制度改革试点。巩固清产核资成果，强化集体资产监督管理，切实维护集体经济组织成员权益。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A7391">
            <w:pPr>
              <w:jc w:val="both"/>
            </w:pPr>
            <w:r>
              <w:rPr>
                <w:rFonts w:ascii="宋体" w:hAnsi="宋体" w:eastAsia="宋体"/>
                <w:sz w:val="16"/>
              </w:rPr>
              <w:t>项目总资金7万元，</w:t>
            </w:r>
            <w:r>
              <w:rPr>
                <w:rFonts w:hint="eastAsia" w:ascii="宋体" w:hAnsi="宋体"/>
                <w:sz w:val="16"/>
                <w:lang w:eastAsia="zh-CN"/>
              </w:rPr>
              <w:t>截至</w:t>
            </w:r>
            <w:r>
              <w:rPr>
                <w:rFonts w:ascii="宋体" w:hAnsi="宋体" w:eastAsia="宋体"/>
                <w:sz w:val="16"/>
              </w:rPr>
              <w:t>2024年12月31日，项目总支出3.84万元。按时上报了收益分配数据4次，开展了6次业务调研、覆盖了12县市。项目总资金7万元，总支出3.84万元。通过对现实调研，开展指导服务，项目有效促进乡村振兴、农民增收。</w:t>
            </w:r>
          </w:p>
        </w:tc>
      </w:tr>
      <w:tr w14:paraId="229342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4D0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8D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39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68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D9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17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84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FB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7D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E6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13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1D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E8F5">
            <w:pPr>
              <w:jc w:val="center"/>
            </w:pPr>
            <w:r>
              <w:rPr>
                <w:rFonts w:ascii="宋体" w:hAnsi="宋体" w:eastAsia="宋体"/>
                <w:sz w:val="16"/>
              </w:rPr>
              <w:t>偏差原因分析及改进措施</w:t>
            </w:r>
          </w:p>
        </w:tc>
      </w:tr>
      <w:tr w14:paraId="5C05AA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713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658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2F2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5EED">
            <w:pPr>
              <w:jc w:val="center"/>
            </w:pPr>
            <w:r>
              <w:rPr>
                <w:rFonts w:ascii="宋体" w:hAnsi="宋体" w:eastAsia="宋体"/>
                <w:sz w:val="16"/>
              </w:rPr>
              <w:t>上报收益分配次数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569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8AF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9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96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4D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6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A99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2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0484">
            <w:pPr>
              <w:jc w:val="center"/>
            </w:pPr>
          </w:p>
        </w:tc>
      </w:tr>
      <w:tr w14:paraId="72755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69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AF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94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487A">
            <w:pPr>
              <w:jc w:val="center"/>
            </w:pPr>
            <w:r>
              <w:rPr>
                <w:rFonts w:ascii="宋体" w:hAnsi="宋体" w:eastAsia="宋体"/>
                <w:sz w:val="16"/>
              </w:rPr>
              <w:t>业务调研指导次数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71A2">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BD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7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6F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C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F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615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DD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26DC">
            <w:pPr>
              <w:jc w:val="center"/>
            </w:pPr>
          </w:p>
        </w:tc>
      </w:tr>
      <w:tr w14:paraId="66B84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09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3F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B2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26B6">
            <w:pPr>
              <w:jc w:val="center"/>
            </w:pPr>
            <w:r>
              <w:rPr>
                <w:rFonts w:ascii="宋体" w:hAnsi="宋体" w:eastAsia="宋体"/>
                <w:sz w:val="16"/>
              </w:rPr>
              <w:t>调研指导县市覆盖率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3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3B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B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02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88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5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C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7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D6BBC">
            <w:pPr>
              <w:jc w:val="center"/>
            </w:pPr>
          </w:p>
        </w:tc>
      </w:tr>
      <w:tr w14:paraId="20512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FCE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399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2BD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C6FB">
            <w:pPr>
              <w:jc w:val="center"/>
            </w:pPr>
            <w:r>
              <w:rPr>
                <w:rFonts w:ascii="宋体" w:hAnsi="宋体" w:eastAsia="宋体"/>
                <w:sz w:val="16"/>
              </w:rPr>
              <w:t>调研指导按时完成率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06BB">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5B2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0A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CC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E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D0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9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D972">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915E">
            <w:pPr>
              <w:jc w:val="center"/>
            </w:pPr>
            <w:r>
              <w:rPr>
                <w:rFonts w:ascii="宋体" w:hAnsi="宋体" w:eastAsia="宋体"/>
                <w:sz w:val="16"/>
              </w:rPr>
              <w:t>偏差原因：调研指导按时完成率指标目标值设置太低。解决措施：提高项目绩效目标值。</w:t>
            </w:r>
          </w:p>
        </w:tc>
      </w:tr>
      <w:tr w14:paraId="09535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9B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60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FA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EB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6FE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E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7F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32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31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8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62E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5E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B06A">
            <w:pPr>
              <w:jc w:val="center"/>
            </w:pPr>
          </w:p>
        </w:tc>
      </w:tr>
      <w:tr w14:paraId="53259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2E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08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7F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177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9EE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A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85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E5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86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F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A0E6">
            <w:pPr>
              <w:jc w:val="center"/>
            </w:pPr>
            <w:r>
              <w:rPr>
                <w:rFonts w:ascii="宋体" w:hAnsi="宋体" w:eastAsia="宋体"/>
                <w:sz w:val="16"/>
              </w:rPr>
              <w:t>=45.2%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54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8B515">
            <w:pPr>
              <w:jc w:val="center"/>
            </w:pPr>
          </w:p>
        </w:tc>
      </w:tr>
      <w:tr w14:paraId="739E9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5F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9F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67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EB68">
            <w:pPr>
              <w:jc w:val="center"/>
            </w:pPr>
            <w:r>
              <w:rPr>
                <w:rFonts w:ascii="宋体" w:hAnsi="宋体" w:eastAsia="宋体"/>
                <w:sz w:val="16"/>
              </w:rPr>
              <w:t>助力乡村振兴，促进农民增收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223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2C5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60B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1A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89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5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E9F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4F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650B">
            <w:pPr>
              <w:jc w:val="center"/>
            </w:pPr>
          </w:p>
        </w:tc>
      </w:tr>
      <w:tr w14:paraId="4785E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53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19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B8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18CB">
            <w:pPr>
              <w:jc w:val="center"/>
            </w:pPr>
            <w:r>
              <w:rPr>
                <w:rFonts w:ascii="宋体" w:hAnsi="宋体" w:eastAsia="宋体"/>
                <w:sz w:val="16"/>
              </w:rPr>
              <w:t>收益县市农经人员满意度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3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F3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0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B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0C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E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3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03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D407">
            <w:pPr>
              <w:jc w:val="center"/>
            </w:pPr>
          </w:p>
        </w:tc>
      </w:tr>
      <w:tr w14:paraId="00D6EC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052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A2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F4A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12C8">
            <w:pPr>
              <w:jc w:val="center"/>
            </w:pPr>
            <w:r>
              <w:rPr>
                <w:rFonts w:ascii="宋体" w:hAnsi="宋体" w:eastAsia="宋体"/>
                <w:sz w:val="16"/>
              </w:rPr>
              <w:t>89.8分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669F43"/>
        </w:tc>
      </w:tr>
    </w:tbl>
    <w:p w14:paraId="03CFF3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3DD135F">
        <w:tblPrEx>
          <w:tblCellMar>
            <w:top w:w="0" w:type="dxa"/>
            <w:left w:w="108" w:type="dxa"/>
            <w:bottom w:w="0" w:type="dxa"/>
            <w:right w:w="108" w:type="dxa"/>
          </w:tblCellMar>
        </w:tblPrEx>
        <w:tc>
          <w:tcPr>
            <w:tcW w:w="8848" w:type="dxa"/>
            <w:gridSpan w:val="14"/>
            <w:vAlign w:val="center"/>
          </w:tcPr>
          <w:p w14:paraId="4E08EFC6">
            <w:pPr>
              <w:jc w:val="center"/>
            </w:pPr>
            <w:r>
              <w:rPr>
                <w:rFonts w:ascii="宋体" w:hAnsi="宋体" w:eastAsia="宋体"/>
                <w:sz w:val="24"/>
              </w:rPr>
              <w:t>项目支出绩效自评表</w:t>
            </w:r>
          </w:p>
        </w:tc>
      </w:tr>
      <w:tr w14:paraId="31C17F36">
        <w:tblPrEx>
          <w:tblCellMar>
            <w:top w:w="0" w:type="dxa"/>
            <w:left w:w="108" w:type="dxa"/>
            <w:bottom w:w="0" w:type="dxa"/>
            <w:right w:w="108" w:type="dxa"/>
          </w:tblCellMar>
        </w:tblPrEx>
        <w:tc>
          <w:tcPr>
            <w:tcW w:w="8848" w:type="dxa"/>
            <w:gridSpan w:val="14"/>
            <w:vAlign w:val="center"/>
          </w:tcPr>
          <w:p w14:paraId="12B9F12E">
            <w:pPr>
              <w:jc w:val="center"/>
            </w:pPr>
            <w:r>
              <w:rPr>
                <w:rFonts w:ascii="宋体" w:hAnsi="宋体" w:eastAsia="宋体"/>
                <w:sz w:val="24"/>
              </w:rPr>
              <w:t>(2024年度)</w:t>
            </w:r>
          </w:p>
        </w:tc>
      </w:tr>
      <w:tr w14:paraId="6BEF1C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46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E37585">
            <w:pPr>
              <w:jc w:val="center"/>
            </w:pPr>
            <w:r>
              <w:rPr>
                <w:rFonts w:ascii="宋体" w:hAnsi="宋体" w:eastAsia="宋体"/>
                <w:sz w:val="16"/>
              </w:rPr>
              <w:t>聘请法律顾问项目</w:t>
            </w:r>
          </w:p>
        </w:tc>
      </w:tr>
      <w:tr w14:paraId="4582A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96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32721">
            <w:pPr>
              <w:jc w:val="center"/>
            </w:pPr>
            <w:r>
              <w:rPr>
                <w:rFonts w:ascii="宋体" w:hAnsi="宋体" w:eastAsia="宋体"/>
                <w:sz w:val="16"/>
              </w:rPr>
              <w:t>喀什地区农村合作经济发展中心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1C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D9A67">
            <w:pPr>
              <w:jc w:val="center"/>
            </w:pPr>
            <w:r>
              <w:rPr>
                <w:rFonts w:ascii="宋体" w:hAnsi="宋体" w:eastAsia="宋体"/>
                <w:sz w:val="16"/>
              </w:rPr>
              <w:t>喀什地区农村合作经济发展中心</w:t>
            </w:r>
          </w:p>
        </w:tc>
      </w:tr>
      <w:tr w14:paraId="27C7D7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442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11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34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026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F8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51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7F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9298">
            <w:pPr>
              <w:jc w:val="center"/>
            </w:pPr>
            <w:r>
              <w:rPr>
                <w:rFonts w:ascii="宋体" w:hAnsi="宋体" w:eastAsia="宋体"/>
                <w:sz w:val="16"/>
              </w:rPr>
              <w:t>得分</w:t>
            </w:r>
          </w:p>
        </w:tc>
      </w:tr>
      <w:tr w14:paraId="58B47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BDA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E97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74F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5102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D67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00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A3B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3861">
            <w:pPr>
              <w:jc w:val="center"/>
            </w:pPr>
            <w:r>
              <w:rPr>
                <w:rFonts w:ascii="宋体" w:hAnsi="宋体" w:eastAsia="宋体"/>
                <w:sz w:val="16"/>
              </w:rPr>
              <w:t>10.00分</w:t>
            </w:r>
          </w:p>
        </w:tc>
      </w:tr>
      <w:tr w14:paraId="2A2EC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930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E5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B49D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767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7310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EFD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32D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EA37">
            <w:pPr>
              <w:jc w:val="center"/>
            </w:pPr>
            <w:r>
              <w:rPr>
                <w:rFonts w:ascii="宋体" w:hAnsi="宋体" w:eastAsia="宋体"/>
                <w:sz w:val="16"/>
              </w:rPr>
              <w:t>—</w:t>
            </w:r>
          </w:p>
        </w:tc>
      </w:tr>
      <w:tr w14:paraId="7482C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79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6D5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72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6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3EB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24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FD4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10C9">
            <w:pPr>
              <w:jc w:val="center"/>
            </w:pPr>
            <w:r>
              <w:rPr>
                <w:rFonts w:ascii="宋体" w:hAnsi="宋体" w:eastAsia="宋体"/>
                <w:sz w:val="16"/>
              </w:rPr>
              <w:t>—</w:t>
            </w:r>
          </w:p>
        </w:tc>
      </w:tr>
      <w:tr w14:paraId="75300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F3F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817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233EC3">
            <w:pPr>
              <w:jc w:val="center"/>
            </w:pPr>
            <w:r>
              <w:rPr>
                <w:rFonts w:ascii="宋体" w:hAnsi="宋体" w:eastAsia="宋体"/>
                <w:sz w:val="16"/>
              </w:rPr>
              <w:t>实际完成情况</w:t>
            </w:r>
          </w:p>
        </w:tc>
      </w:tr>
      <w:tr w14:paraId="1244F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B7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AB72B">
            <w:pPr>
              <w:jc w:val="both"/>
            </w:pPr>
            <w:r>
              <w:rPr>
                <w:rFonts w:ascii="宋体" w:hAnsi="宋体" w:eastAsia="宋体"/>
                <w:sz w:val="16"/>
              </w:rPr>
              <w:t>项目预算金额2万元，用于聘请一名法律顾问，参与地区农业农村局相关法律事务，强化法治建设，提升干部职工依法行政能力。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4D165A">
            <w:pPr>
              <w:jc w:val="both"/>
            </w:pPr>
            <w:r>
              <w:rPr>
                <w:rFonts w:ascii="宋体" w:hAnsi="宋体" w:eastAsia="宋体"/>
                <w:sz w:val="16"/>
              </w:rPr>
              <w:t>与新疆元正盛业</w:t>
            </w:r>
            <w:r>
              <w:rPr>
                <w:rFonts w:hint="eastAsia" w:ascii="宋体" w:hAnsi="宋体"/>
                <w:sz w:val="16"/>
                <w:lang w:eastAsia="zh-CN"/>
              </w:rPr>
              <w:t>（</w:t>
            </w:r>
            <w:r>
              <w:rPr>
                <w:rFonts w:ascii="宋体" w:hAnsi="宋体" w:eastAsia="宋体"/>
                <w:sz w:val="16"/>
              </w:rPr>
              <w:t>喀什)律师事务所签订法律顾问服务合同，合同规定3名律师为地区农业农村局提供法律顾问服务。截至目前，法律顾问共为地区农业农村系统审查各类合同、协议等20余件，审查提交行署常务会议议题3件，参与地区农业农村局行政处罚听证会4次，参加重大行政处罚决定集体讨论会5次，协助答复行政复议申请3次，参加行政复议听证会1次，解答行政执法以及业务工作法律咨询50余次，开展法治培训4次等，有效提升了地区农业农村局依法行政能力水平。</w:t>
            </w:r>
          </w:p>
        </w:tc>
      </w:tr>
      <w:tr w14:paraId="021CE4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EEA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E9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CC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D5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9E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32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AF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87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AD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6A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F3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1F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3838">
            <w:pPr>
              <w:jc w:val="center"/>
            </w:pPr>
            <w:r>
              <w:rPr>
                <w:rFonts w:ascii="宋体" w:hAnsi="宋体" w:eastAsia="宋体"/>
                <w:sz w:val="16"/>
              </w:rPr>
              <w:t>偏差原因分析及改进措施</w:t>
            </w:r>
          </w:p>
        </w:tc>
      </w:tr>
      <w:tr w14:paraId="192633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4C0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BF4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59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EE85">
            <w:pPr>
              <w:jc w:val="center"/>
            </w:pPr>
            <w:r>
              <w:rPr>
                <w:rFonts w:ascii="宋体" w:hAnsi="宋体" w:eastAsia="宋体"/>
                <w:sz w:val="16"/>
              </w:rPr>
              <w:t>聘请法律顾问数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981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5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47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1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11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D8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DDB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60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B70E">
            <w:pPr>
              <w:jc w:val="center"/>
            </w:pPr>
          </w:p>
        </w:tc>
      </w:tr>
      <w:tr w14:paraId="27CEF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A5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E1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86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E490">
            <w:pPr>
              <w:jc w:val="center"/>
            </w:pPr>
            <w:r>
              <w:rPr>
                <w:rFonts w:ascii="宋体" w:hAnsi="宋体" w:eastAsia="宋体"/>
                <w:sz w:val="16"/>
              </w:rPr>
              <w:t>法律</w:t>
            </w:r>
            <w:r>
              <w:rPr>
                <w:rFonts w:hint="eastAsia" w:ascii="宋体" w:hAnsi="宋体"/>
                <w:sz w:val="16"/>
                <w:lang w:eastAsia="zh-CN"/>
              </w:rPr>
              <w:t>顾</w:t>
            </w:r>
            <w:r>
              <w:rPr>
                <w:rFonts w:hint="eastAsia" w:ascii="宋体" w:hAnsi="宋体"/>
                <w:sz w:val="16"/>
                <w:lang w:val="en-US" w:eastAsia="zh-CN"/>
              </w:rPr>
              <w:t>问</w:t>
            </w:r>
            <w:r>
              <w:rPr>
                <w:rFonts w:ascii="宋体" w:hAnsi="宋体" w:eastAsia="宋体"/>
                <w:sz w:val="16"/>
              </w:rPr>
              <w:t>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03E6">
            <w:pPr>
              <w:jc w:val="center"/>
            </w:pPr>
            <w:r>
              <w:rPr>
                <w:rFonts w:ascii="宋体" w:hAnsi="宋体" w:eastAsia="宋体"/>
                <w:sz w:val="16"/>
              </w:rPr>
              <w:t>&gt;=60天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1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95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1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E1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B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1CFF">
            <w:pPr>
              <w:jc w:val="center"/>
            </w:pPr>
            <w:r>
              <w:rPr>
                <w:rFonts w:ascii="宋体" w:hAnsi="宋体" w:eastAsia="宋体"/>
                <w:sz w:val="16"/>
              </w:rPr>
              <w: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02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D063">
            <w:pPr>
              <w:jc w:val="center"/>
            </w:pPr>
          </w:p>
        </w:tc>
      </w:tr>
      <w:tr w14:paraId="3B037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6A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DD7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BFB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A616">
            <w:pPr>
              <w:jc w:val="center"/>
            </w:pPr>
            <w:r>
              <w:rPr>
                <w:rFonts w:ascii="宋体" w:hAnsi="宋体" w:eastAsia="宋体"/>
                <w:sz w:val="16"/>
              </w:rPr>
              <w:t>法律咨询及时率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CB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3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B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F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0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C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2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2E30">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CBF4F">
            <w:pPr>
              <w:jc w:val="center"/>
            </w:pPr>
            <w:r>
              <w:rPr>
                <w:rFonts w:ascii="宋体" w:hAnsi="宋体" w:eastAsia="宋体"/>
                <w:sz w:val="16"/>
              </w:rPr>
              <w:t>偏差原因：法律服务已经及时完成，目标值设置偏低。整改措施：下一年度合理设置目标值。</w:t>
            </w:r>
          </w:p>
        </w:tc>
      </w:tr>
      <w:tr w14:paraId="7B3F6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89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EB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C9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4C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5D1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9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F6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5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3B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4F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634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2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10B1">
            <w:pPr>
              <w:jc w:val="center"/>
            </w:pPr>
          </w:p>
        </w:tc>
      </w:tr>
      <w:tr w14:paraId="24FEC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0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F0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44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7510">
            <w:pPr>
              <w:jc w:val="center"/>
            </w:pPr>
            <w:r>
              <w:rPr>
                <w:rFonts w:ascii="宋体" w:hAnsi="宋体" w:eastAsia="宋体"/>
                <w:sz w:val="16"/>
              </w:rPr>
              <w:t>聘请法律顾问费用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427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D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51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DE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D7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2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FCB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B3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83453">
            <w:pPr>
              <w:jc w:val="center"/>
            </w:pPr>
          </w:p>
        </w:tc>
      </w:tr>
      <w:tr w14:paraId="645A6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C8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CF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8B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E8B1">
            <w:pPr>
              <w:jc w:val="center"/>
            </w:pPr>
            <w:r>
              <w:rPr>
                <w:rFonts w:ascii="宋体" w:hAnsi="宋体" w:eastAsia="宋体"/>
                <w:sz w:val="16"/>
              </w:rPr>
              <w:t>促进单位行政业务办件能力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02A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F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EC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5E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0B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7A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0C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88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63AD">
            <w:pPr>
              <w:jc w:val="center"/>
            </w:pPr>
          </w:p>
        </w:tc>
      </w:tr>
      <w:tr w14:paraId="1EADF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B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8F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08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407E">
            <w:pPr>
              <w:jc w:val="center"/>
            </w:pPr>
            <w:r>
              <w:rPr>
                <w:rFonts w:ascii="宋体" w:hAnsi="宋体" w:eastAsia="宋体"/>
                <w:sz w:val="16"/>
              </w:rPr>
              <w:t>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4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3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2D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9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EF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0F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7A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B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5026">
            <w:pPr>
              <w:jc w:val="center"/>
            </w:pPr>
          </w:p>
        </w:tc>
      </w:tr>
      <w:tr w14:paraId="774D21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73C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5C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492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E4BB">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76E83E"/>
        </w:tc>
      </w:tr>
    </w:tbl>
    <w:p w14:paraId="27DEEF0D">
      <w:r>
        <w:br w:type="page"/>
      </w:r>
    </w:p>
    <w:p w14:paraId="5938C71A">
      <w:pPr>
        <w:spacing w:line="640" w:lineRule="exact"/>
        <w:ind w:firstLine="640"/>
        <w:jc w:val="both"/>
        <w:outlineLvl w:val="2"/>
      </w:pPr>
      <w:r>
        <w:rPr>
          <w:rFonts w:ascii="黑体" w:hAnsi="黑体" w:eastAsia="黑体"/>
          <w:sz w:val="32"/>
        </w:rPr>
        <w:t>十二、其他需说明的事项</w:t>
      </w:r>
    </w:p>
    <w:p w14:paraId="6FBA3BBA">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w:t>
      </w:r>
      <w:bookmarkStart w:id="0" w:name="_GoBack"/>
      <w:bookmarkEnd w:id="0"/>
      <w:r>
        <w:rPr>
          <w:rFonts w:ascii="仿宋_GB2312" w:hAnsi="仿宋_GB2312" w:eastAsia="仿宋_GB2312"/>
          <w:b w:val="0"/>
          <w:sz w:val="32"/>
        </w:rPr>
        <w:t>，全年预算数5万元，全年执行数5万元。</w:t>
      </w:r>
    </w:p>
    <w:p w14:paraId="58BAFD38">
      <w:r>
        <w:br w:type="page"/>
      </w:r>
    </w:p>
    <w:p w14:paraId="1467FA1C">
      <w:pPr>
        <w:spacing w:line="240" w:lineRule="auto"/>
        <w:jc w:val="center"/>
        <w:outlineLvl w:val="1"/>
      </w:pPr>
      <w:r>
        <w:rPr>
          <w:rFonts w:ascii="黑体" w:hAnsi="黑体" w:eastAsia="黑体"/>
          <w:sz w:val="32"/>
        </w:rPr>
        <w:t>第三部分 专业名词解释</w:t>
      </w:r>
    </w:p>
    <w:p w14:paraId="471B63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0B9E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5696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3B2F2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7F2A7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CD0CA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AB7BC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9C04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88550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540D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9615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494691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6E3C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749C2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1AE52B">
      <w:r>
        <w:br w:type="page"/>
      </w:r>
    </w:p>
    <w:p w14:paraId="30C5BFF5">
      <w:pPr>
        <w:spacing w:line="240" w:lineRule="auto"/>
        <w:jc w:val="center"/>
        <w:outlineLvl w:val="1"/>
      </w:pPr>
      <w:r>
        <w:rPr>
          <w:rFonts w:ascii="黑体" w:hAnsi="黑体" w:eastAsia="黑体"/>
          <w:sz w:val="32"/>
        </w:rPr>
        <w:t>第四部分 部门决算报表（见附表）</w:t>
      </w:r>
    </w:p>
    <w:p w14:paraId="1E2EE02F">
      <w:pPr>
        <w:spacing w:line="240" w:lineRule="auto"/>
        <w:ind w:firstLine="640"/>
        <w:jc w:val="both"/>
      </w:pPr>
      <w:r>
        <w:rPr>
          <w:rFonts w:ascii="仿宋_GB2312" w:hAnsi="仿宋_GB2312" w:eastAsia="仿宋_GB2312"/>
          <w:b w:val="0"/>
          <w:sz w:val="32"/>
        </w:rPr>
        <w:t>一、《收入支出决算总表》</w:t>
      </w:r>
    </w:p>
    <w:p w14:paraId="122ECB01">
      <w:pPr>
        <w:spacing w:line="240" w:lineRule="auto"/>
        <w:ind w:firstLine="640"/>
        <w:jc w:val="both"/>
      </w:pPr>
      <w:r>
        <w:rPr>
          <w:rFonts w:ascii="仿宋_GB2312" w:hAnsi="仿宋_GB2312" w:eastAsia="仿宋_GB2312"/>
          <w:b w:val="0"/>
          <w:sz w:val="32"/>
        </w:rPr>
        <w:t>二、《收入决算表》</w:t>
      </w:r>
    </w:p>
    <w:p w14:paraId="5734B619">
      <w:pPr>
        <w:spacing w:line="240" w:lineRule="auto"/>
        <w:ind w:firstLine="640"/>
        <w:jc w:val="both"/>
      </w:pPr>
      <w:r>
        <w:rPr>
          <w:rFonts w:ascii="仿宋_GB2312" w:hAnsi="仿宋_GB2312" w:eastAsia="仿宋_GB2312"/>
          <w:b w:val="0"/>
          <w:sz w:val="32"/>
        </w:rPr>
        <w:t>三、《支出决算表》</w:t>
      </w:r>
    </w:p>
    <w:p w14:paraId="4A0B4FDA">
      <w:pPr>
        <w:spacing w:line="240" w:lineRule="auto"/>
        <w:ind w:firstLine="640"/>
        <w:jc w:val="both"/>
      </w:pPr>
      <w:r>
        <w:rPr>
          <w:rFonts w:ascii="仿宋_GB2312" w:hAnsi="仿宋_GB2312" w:eastAsia="仿宋_GB2312"/>
          <w:b w:val="0"/>
          <w:sz w:val="32"/>
        </w:rPr>
        <w:t>四、《财政拨款收入支出决算总表》</w:t>
      </w:r>
    </w:p>
    <w:p w14:paraId="23D64DCA">
      <w:pPr>
        <w:spacing w:line="240" w:lineRule="auto"/>
        <w:ind w:firstLine="640"/>
        <w:jc w:val="both"/>
      </w:pPr>
      <w:r>
        <w:rPr>
          <w:rFonts w:ascii="仿宋_GB2312" w:hAnsi="仿宋_GB2312" w:eastAsia="仿宋_GB2312"/>
          <w:b w:val="0"/>
          <w:sz w:val="32"/>
        </w:rPr>
        <w:t>五、《一般公共预算财政拨款支出决算表》</w:t>
      </w:r>
    </w:p>
    <w:p w14:paraId="62974413">
      <w:pPr>
        <w:spacing w:line="240" w:lineRule="auto"/>
        <w:ind w:firstLine="640"/>
        <w:jc w:val="both"/>
      </w:pPr>
      <w:r>
        <w:rPr>
          <w:rFonts w:ascii="仿宋_GB2312" w:hAnsi="仿宋_GB2312" w:eastAsia="仿宋_GB2312"/>
          <w:b w:val="0"/>
          <w:sz w:val="32"/>
        </w:rPr>
        <w:t>六、《一般公共预算财政拨款基本支出决算表》</w:t>
      </w:r>
    </w:p>
    <w:p w14:paraId="1F956508">
      <w:pPr>
        <w:spacing w:line="240" w:lineRule="auto"/>
        <w:ind w:firstLine="640"/>
        <w:jc w:val="both"/>
      </w:pPr>
      <w:r>
        <w:rPr>
          <w:rFonts w:ascii="仿宋_GB2312" w:hAnsi="仿宋_GB2312" w:eastAsia="仿宋_GB2312"/>
          <w:b w:val="0"/>
          <w:sz w:val="32"/>
        </w:rPr>
        <w:t>七、《政府性基金预算财政拨款收入支出决算表》</w:t>
      </w:r>
    </w:p>
    <w:p w14:paraId="4EC6066B">
      <w:pPr>
        <w:spacing w:line="240" w:lineRule="auto"/>
        <w:ind w:firstLine="640"/>
        <w:jc w:val="both"/>
      </w:pPr>
      <w:r>
        <w:rPr>
          <w:rFonts w:ascii="仿宋_GB2312" w:hAnsi="仿宋_GB2312" w:eastAsia="仿宋_GB2312"/>
          <w:b w:val="0"/>
          <w:sz w:val="32"/>
        </w:rPr>
        <w:t>八、《国有资本经营预算财政拨款收入支出决算表》</w:t>
      </w:r>
    </w:p>
    <w:p w14:paraId="6263F4F7">
      <w:pPr>
        <w:spacing w:line="240" w:lineRule="auto"/>
        <w:ind w:firstLine="640"/>
        <w:jc w:val="both"/>
      </w:pPr>
      <w:r>
        <w:rPr>
          <w:rFonts w:ascii="仿宋_GB2312" w:hAnsi="仿宋_GB2312" w:eastAsia="仿宋_GB2312"/>
          <w:b w:val="0"/>
          <w:sz w:val="32"/>
        </w:rPr>
        <w:t>九、《财政拨款“三公”经费支出决算表》</w:t>
      </w:r>
    </w:p>
    <w:p w14:paraId="66DA78A9">
      <w:pPr>
        <w:spacing w:line="240" w:lineRule="auto"/>
        <w:ind w:firstLine="640"/>
        <w:jc w:val="both"/>
      </w:pPr>
    </w:p>
    <w:p w14:paraId="129EC657">
      <w:pPr>
        <w:spacing w:line="240" w:lineRule="auto"/>
        <w:ind w:firstLine="640"/>
        <w:jc w:val="both"/>
      </w:pPr>
    </w:p>
    <w:p w14:paraId="2421CDEB">
      <w:pPr>
        <w:spacing w:line="240" w:lineRule="auto"/>
        <w:ind w:firstLine="640"/>
        <w:jc w:val="both"/>
      </w:pPr>
    </w:p>
    <w:p w14:paraId="16A6D5A1">
      <w:pPr>
        <w:spacing w:line="240" w:lineRule="auto"/>
        <w:ind w:firstLine="640"/>
        <w:jc w:val="both"/>
      </w:pPr>
    </w:p>
    <w:p w14:paraId="000F1F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B66552-BD79-4273-B51C-8FF94BA0D7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2F807C5-288D-4BEE-95AD-C5A52D0E4971}"/>
  </w:font>
  <w:font w:name="方正小标宋_GBK">
    <w:panose1 w:val="02000000000000000000"/>
    <w:charset w:val="86"/>
    <w:family w:val="script"/>
    <w:pitch w:val="default"/>
    <w:sig w:usb0="A00002BF" w:usb1="38CF7CFA" w:usb2="00082016" w:usb3="00000000" w:csb0="00040001" w:csb1="00000000"/>
    <w:embedRegular r:id="rId3" w:fontKey="{F905D4FA-715D-4122-9468-22A1A16A5AD2}"/>
  </w:font>
  <w:font w:name="楷体_GB2312">
    <w:panose1 w:val="02010609030101010101"/>
    <w:charset w:val="86"/>
    <w:family w:val="auto"/>
    <w:pitch w:val="default"/>
    <w:sig w:usb0="00000001" w:usb1="080E0000" w:usb2="00000000" w:usb3="00000000" w:csb0="00040000" w:csb1="00000000"/>
    <w:embedRegular r:id="rId4" w:fontKey="{AD46D990-B92A-43BD-A685-2A761A0EC58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EA017F"/>
    <w:rsid w:val="1B8F2D19"/>
    <w:rsid w:val="1C317E4F"/>
    <w:rsid w:val="1C472464"/>
    <w:rsid w:val="1DAF458D"/>
    <w:rsid w:val="1E086ACE"/>
    <w:rsid w:val="1E4B5CA5"/>
    <w:rsid w:val="1EAA4A5F"/>
    <w:rsid w:val="1F587A0B"/>
    <w:rsid w:val="2064678E"/>
    <w:rsid w:val="20BC0B75"/>
    <w:rsid w:val="20DD6197"/>
    <w:rsid w:val="21F317F2"/>
    <w:rsid w:val="22056DC0"/>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964C3B"/>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482A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6242</Words>
  <Characters>7109</Characters>
  <Lines>0</Lines>
  <Paragraphs>0</Paragraphs>
  <TotalTime>3</TotalTime>
  <ScaleCrop>false</ScaleCrop>
  <LinksUpToDate>false</LinksUpToDate>
  <CharactersWithSpaces>7117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