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657C0D30">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喀什地区动物卫生服务站</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E34BDBA">
      <w:r>
        <w:br w:type="page"/>
      </w:r>
    </w:p>
    <w:p w14:paraId="692C722C">
      <w:pPr>
        <w:spacing w:line="640" w:lineRule="exact"/>
        <w:jc w:val="center"/>
        <w:outlineLvl w:val="1"/>
      </w:pPr>
      <w:r>
        <w:rPr>
          <w:rFonts w:ascii="黑体" w:hAnsi="黑体" w:eastAsia="黑体"/>
          <w:sz w:val="32"/>
        </w:rPr>
        <w:t>第一部分 部门概况</w:t>
      </w:r>
    </w:p>
    <w:p w14:paraId="6D8570C5">
      <w:pPr>
        <w:spacing w:line="640" w:lineRule="exact"/>
        <w:ind w:firstLine="640"/>
        <w:jc w:val="both"/>
        <w:outlineLvl w:val="2"/>
      </w:pPr>
      <w:r>
        <w:rPr>
          <w:rFonts w:ascii="黑体" w:hAnsi="黑体" w:eastAsia="黑体"/>
          <w:sz w:val="32"/>
        </w:rPr>
        <w:t>一、主要职能</w:t>
      </w:r>
    </w:p>
    <w:p w14:paraId="64A893A2">
      <w:pPr>
        <w:spacing w:line="580" w:lineRule="exact"/>
        <w:ind w:firstLine="640"/>
        <w:jc w:val="both"/>
      </w:pPr>
      <w:r>
        <w:rPr>
          <w:rFonts w:ascii="仿宋_GB2312" w:hAnsi="仿宋_GB2312" w:eastAsia="仿宋_GB2312"/>
          <w:sz w:val="32"/>
        </w:rPr>
        <w:t>负责动物产品安全、动物卫生服务等工作的业务指导、动物标识及动物产品可追溯体系技术服务指导；负责拟订及实施动物卫生有关技术规范；负责《中华人民共和国动物防疫法》的宣传培训；负责全地区动物及动物产品检疫员的上岗培训和日常服务指导；统计、汇总屠宰及流通环节的检疫业务数据；协助实施动物疫病扑灭工作；完成上级部门交办的其他工作任务。</w:t>
      </w:r>
    </w:p>
    <w:p w14:paraId="230E7393">
      <w:pPr>
        <w:spacing w:line="640" w:lineRule="exact"/>
        <w:ind w:firstLine="640"/>
        <w:jc w:val="both"/>
        <w:outlineLvl w:val="2"/>
      </w:pPr>
      <w:r>
        <w:rPr>
          <w:rFonts w:ascii="黑体" w:hAnsi="黑体" w:eastAsia="黑体"/>
          <w:sz w:val="32"/>
        </w:rPr>
        <w:t>二、机构设置及人员情况</w:t>
      </w:r>
    </w:p>
    <w:p w14:paraId="6A191B8A">
      <w:pPr>
        <w:spacing w:line="580" w:lineRule="exact"/>
        <w:ind w:firstLine="640"/>
        <w:jc w:val="both"/>
      </w:pPr>
      <w:r>
        <w:rPr>
          <w:rFonts w:ascii="仿宋_GB2312" w:hAnsi="仿宋_GB2312" w:eastAsia="仿宋_GB2312"/>
          <w:sz w:val="32"/>
        </w:rPr>
        <w:t>喀什地区动物卫生服务站2024年度，实有人数14人，其中：在职人员8人，增加0人；离休人员0人，增加0人；退休人员6人,增加0人。</w:t>
      </w:r>
    </w:p>
    <w:p w14:paraId="722C5B57">
      <w:pPr>
        <w:spacing w:line="580" w:lineRule="exact"/>
        <w:ind w:firstLine="640"/>
        <w:jc w:val="both"/>
      </w:pPr>
      <w:r>
        <w:rPr>
          <w:rFonts w:ascii="仿宋_GB2312" w:hAnsi="仿宋_GB2312" w:eastAsia="仿宋_GB2312"/>
          <w:sz w:val="32"/>
        </w:rPr>
        <w:t>喀什地区动物卫生服务站无下属预算单位，下设3个科室，分别是：办公室、综合业务科、培训管理科。</w:t>
      </w:r>
    </w:p>
    <w:p w14:paraId="0F21D6DF">
      <w:r>
        <w:br w:type="page"/>
      </w:r>
    </w:p>
    <w:p w14:paraId="5A5A1AC6">
      <w:pPr>
        <w:spacing w:line="240" w:lineRule="auto"/>
        <w:jc w:val="center"/>
        <w:outlineLvl w:val="1"/>
      </w:pPr>
      <w:r>
        <w:rPr>
          <w:rFonts w:ascii="黑体" w:hAnsi="黑体" w:eastAsia="黑体"/>
          <w:sz w:val="32"/>
        </w:rPr>
        <w:t>第二部分 部门决算情况说明</w:t>
      </w:r>
    </w:p>
    <w:p w14:paraId="0D4FF06E">
      <w:pPr>
        <w:spacing w:line="640" w:lineRule="exact"/>
        <w:ind w:firstLine="640"/>
        <w:jc w:val="both"/>
        <w:outlineLvl w:val="2"/>
      </w:pPr>
      <w:r>
        <w:rPr>
          <w:rFonts w:ascii="黑体" w:hAnsi="黑体" w:eastAsia="黑体"/>
          <w:sz w:val="32"/>
        </w:rPr>
        <w:t>一、收入支出决算总体情况说明</w:t>
      </w:r>
    </w:p>
    <w:p w14:paraId="0CF4E2E4">
      <w:pPr>
        <w:spacing w:line="580" w:lineRule="exact"/>
        <w:ind w:firstLine="640"/>
        <w:jc w:val="both"/>
      </w:pPr>
      <w:r>
        <w:rPr>
          <w:rFonts w:ascii="仿宋_GB2312" w:hAnsi="仿宋_GB2312" w:eastAsia="仿宋_GB2312"/>
          <w:b/>
          <w:sz w:val="32"/>
        </w:rPr>
        <w:t>2024年度收入总计246.76万元，</w:t>
      </w:r>
      <w:r>
        <w:rPr>
          <w:rFonts w:ascii="仿宋_GB2312" w:hAnsi="仿宋_GB2312" w:eastAsia="仿宋_GB2312"/>
          <w:b w:val="0"/>
          <w:sz w:val="32"/>
        </w:rPr>
        <w:t>其中：本年收入合计246.76万元，使用非财政拨款结余（含专用结余）0.00万元，年初结转和结余0.00万元。</w:t>
      </w:r>
    </w:p>
    <w:p w14:paraId="343A171A">
      <w:pPr>
        <w:spacing w:line="580" w:lineRule="exact"/>
        <w:ind w:firstLine="640"/>
        <w:jc w:val="both"/>
      </w:pPr>
      <w:r>
        <w:rPr>
          <w:rFonts w:ascii="仿宋_GB2312" w:hAnsi="仿宋_GB2312" w:eastAsia="仿宋_GB2312"/>
          <w:b/>
          <w:sz w:val="32"/>
        </w:rPr>
        <w:t>2024年度支出总计246.76万元，</w:t>
      </w:r>
      <w:r>
        <w:rPr>
          <w:rFonts w:ascii="仿宋_GB2312" w:hAnsi="仿宋_GB2312" w:eastAsia="仿宋_GB2312"/>
          <w:b w:val="0"/>
          <w:sz w:val="32"/>
        </w:rPr>
        <w:t>其中：本年支出合计246.76万元，结余分配0.00万元，年末结转和结余0.00万元。</w:t>
      </w:r>
    </w:p>
    <w:p w14:paraId="6E1F544E">
      <w:pPr>
        <w:spacing w:line="580" w:lineRule="exact"/>
        <w:ind w:firstLine="640"/>
        <w:jc w:val="both"/>
      </w:pPr>
      <w:r>
        <w:rPr>
          <w:rFonts w:ascii="仿宋_GB2312" w:hAnsi="仿宋_GB2312" w:eastAsia="仿宋_GB2312"/>
          <w:b w:val="0"/>
          <w:sz w:val="32"/>
        </w:rPr>
        <w:t>收入支出总体与上年相比，减少100.39万元，下降28.92%，主要原因是：本年自治区动物防疫补助项目资金较上年减少。</w:t>
      </w:r>
    </w:p>
    <w:p w14:paraId="57D8042B">
      <w:pPr>
        <w:spacing w:line="640" w:lineRule="exact"/>
        <w:ind w:firstLine="640"/>
        <w:jc w:val="both"/>
        <w:outlineLvl w:val="2"/>
      </w:pPr>
      <w:r>
        <w:rPr>
          <w:rFonts w:ascii="黑体" w:hAnsi="黑体" w:eastAsia="黑体"/>
          <w:sz w:val="32"/>
        </w:rPr>
        <w:t>二、收入决算情况说明</w:t>
      </w:r>
    </w:p>
    <w:p w14:paraId="50D20493">
      <w:pPr>
        <w:spacing w:line="580" w:lineRule="exact"/>
        <w:ind w:firstLine="640"/>
        <w:jc w:val="both"/>
      </w:pPr>
      <w:r>
        <w:rPr>
          <w:rFonts w:ascii="仿宋_GB2312" w:hAnsi="仿宋_GB2312" w:eastAsia="仿宋_GB2312"/>
          <w:b/>
          <w:sz w:val="32"/>
        </w:rPr>
        <w:t>本年收入246.76万元，</w:t>
      </w:r>
      <w:r>
        <w:rPr>
          <w:rFonts w:ascii="仿宋_GB2312" w:hAnsi="仿宋_GB2312" w:eastAsia="仿宋_GB2312"/>
          <w:b w:val="0"/>
          <w:sz w:val="32"/>
        </w:rPr>
        <w:t>其中：财政拨款收入246.76万元，占100.00%；上级补助收入0.00万元，占0.00%；事业收入0.00万元，占0.00%；经营收入0.00万元，占0.00%；附属单位上缴收入0.00万元，占0.00%；其他收入0.00万元，占0.00%。</w:t>
      </w:r>
    </w:p>
    <w:p w14:paraId="31E304F0">
      <w:pPr>
        <w:spacing w:line="640" w:lineRule="exact"/>
        <w:ind w:firstLine="640"/>
        <w:jc w:val="both"/>
        <w:outlineLvl w:val="2"/>
      </w:pPr>
      <w:r>
        <w:rPr>
          <w:rFonts w:ascii="黑体" w:hAnsi="黑体" w:eastAsia="黑体"/>
          <w:sz w:val="32"/>
        </w:rPr>
        <w:t>三、支出决算情况说明</w:t>
      </w:r>
    </w:p>
    <w:p w14:paraId="4F70AC9B">
      <w:pPr>
        <w:spacing w:line="580" w:lineRule="exact"/>
        <w:ind w:firstLine="640"/>
        <w:jc w:val="both"/>
      </w:pPr>
      <w:r>
        <w:rPr>
          <w:rFonts w:ascii="仿宋_GB2312" w:hAnsi="仿宋_GB2312" w:eastAsia="仿宋_GB2312"/>
          <w:b/>
          <w:sz w:val="32"/>
        </w:rPr>
        <w:t>本年支出246.76万元，</w:t>
      </w:r>
      <w:r>
        <w:rPr>
          <w:rFonts w:ascii="仿宋_GB2312" w:hAnsi="仿宋_GB2312" w:eastAsia="仿宋_GB2312"/>
          <w:b w:val="0"/>
          <w:sz w:val="32"/>
        </w:rPr>
        <w:t>其中：基本支出166.16万元，占67.34%；项目支出80.61万元，占32.67%；上缴上级支出0.00万元，占0.00%；经营支出0.00万元，占0.00%；对附属单位补助支出0.00万元，占0.00%。</w:t>
      </w:r>
    </w:p>
    <w:p w14:paraId="59C10F02">
      <w:pPr>
        <w:spacing w:line="640" w:lineRule="exact"/>
        <w:ind w:firstLine="640"/>
        <w:jc w:val="both"/>
        <w:outlineLvl w:val="2"/>
      </w:pPr>
      <w:r>
        <w:rPr>
          <w:rFonts w:ascii="黑体" w:hAnsi="黑体" w:eastAsia="黑体"/>
          <w:sz w:val="32"/>
        </w:rPr>
        <w:t>四、财政拨款收入支出决算总体情况说明</w:t>
      </w:r>
    </w:p>
    <w:p w14:paraId="043A6802">
      <w:pPr>
        <w:spacing w:line="580" w:lineRule="exact"/>
        <w:ind w:firstLine="640"/>
        <w:jc w:val="both"/>
      </w:pPr>
      <w:r>
        <w:rPr>
          <w:rFonts w:ascii="仿宋_GB2312" w:hAnsi="仿宋_GB2312" w:eastAsia="仿宋_GB2312"/>
          <w:b/>
          <w:sz w:val="32"/>
        </w:rPr>
        <w:t>2024年度财政拨款收入总计246.76万元，</w:t>
      </w:r>
      <w:r>
        <w:rPr>
          <w:rFonts w:ascii="仿宋_GB2312" w:hAnsi="仿宋_GB2312" w:eastAsia="仿宋_GB2312"/>
          <w:b w:val="0"/>
          <w:sz w:val="32"/>
        </w:rPr>
        <w:t>其中：年初财政拨款结转和结余0.00万元，本年财政拨款收入246.76万元。</w:t>
      </w:r>
      <w:r>
        <w:rPr>
          <w:rFonts w:ascii="仿宋_GB2312" w:hAnsi="仿宋_GB2312" w:eastAsia="仿宋_GB2312"/>
          <w:b/>
          <w:sz w:val="32"/>
        </w:rPr>
        <w:t>财政拨款支出总计246.76万元，</w:t>
      </w:r>
      <w:r>
        <w:rPr>
          <w:rFonts w:ascii="仿宋_GB2312" w:hAnsi="仿宋_GB2312" w:eastAsia="仿宋_GB2312"/>
          <w:b w:val="0"/>
          <w:sz w:val="32"/>
        </w:rPr>
        <w:t>其中：年末财政拨款结转和结余0.00万元，本年财政拨款支出246.76万元。</w:t>
      </w:r>
    </w:p>
    <w:p w14:paraId="0D794B6A">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减少100.39万元，下降28.92%，主要原因是：本年自治区动物防疫补助项目资金较上年减少。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年初预算数278.18万元，决算数246.76万元，预决算差异率-11.29%，主要原因是：</w:t>
      </w:r>
      <w:r>
        <w:rPr>
          <w:rFonts w:hint="eastAsia" w:ascii="仿宋_GB2312" w:hAnsi="仿宋_GB2312" w:eastAsia="仿宋_GB2312"/>
          <w:b w:val="0"/>
          <w:sz w:val="32"/>
          <w:lang w:val="en-US" w:eastAsia="zh-CN"/>
        </w:rPr>
        <w:t>年中调减</w:t>
      </w:r>
      <w:r>
        <w:rPr>
          <w:rFonts w:ascii="仿宋_GB2312" w:hAnsi="仿宋_GB2312" w:eastAsia="仿宋_GB2312"/>
          <w:b w:val="0"/>
          <w:sz w:val="32"/>
        </w:rPr>
        <w:t>自治区动物防疫补助项目</w:t>
      </w:r>
      <w:r>
        <w:rPr>
          <w:rFonts w:hint="eastAsia" w:ascii="仿宋_GB2312" w:hAnsi="仿宋_GB2312" w:eastAsia="仿宋_GB2312"/>
          <w:b w:val="0"/>
          <w:sz w:val="32"/>
          <w:lang w:val="en-US" w:eastAsia="zh-CN"/>
        </w:rPr>
        <w:t>经费，</w:t>
      </w:r>
      <w:r>
        <w:rPr>
          <w:rFonts w:ascii="仿宋_GB2312" w:hAnsi="仿宋_GB2312" w:eastAsia="仿宋_GB2312"/>
          <w:b w:val="0"/>
          <w:sz w:val="32"/>
        </w:rPr>
        <w:t>导致预决算存在差异。</w:t>
      </w:r>
    </w:p>
    <w:p w14:paraId="211B7278">
      <w:pPr>
        <w:spacing w:line="640" w:lineRule="exact"/>
        <w:ind w:firstLine="640"/>
        <w:jc w:val="both"/>
        <w:outlineLvl w:val="2"/>
      </w:pPr>
      <w:r>
        <w:rPr>
          <w:rFonts w:ascii="黑体" w:hAnsi="黑体" w:eastAsia="黑体"/>
          <w:sz w:val="32"/>
        </w:rPr>
        <w:t>五、一般公共预算财政拨款支出决算情况说明</w:t>
      </w:r>
    </w:p>
    <w:p w14:paraId="308247F4">
      <w:pPr>
        <w:spacing w:line="640" w:lineRule="exact"/>
        <w:ind w:firstLine="640"/>
        <w:jc w:val="both"/>
        <w:outlineLvl w:val="3"/>
      </w:pPr>
      <w:r>
        <w:rPr>
          <w:rFonts w:ascii="楷体_GB2312" w:hAnsi="楷体_GB2312" w:eastAsia="楷体_GB2312"/>
          <w:b/>
          <w:sz w:val="32"/>
        </w:rPr>
        <w:t>（一）一般公共预算财政拨款支出决算总体情况</w:t>
      </w:r>
    </w:p>
    <w:p w14:paraId="3CAC9649">
      <w:pPr>
        <w:spacing w:line="580" w:lineRule="exact"/>
        <w:ind w:firstLine="640"/>
        <w:jc w:val="both"/>
      </w:pPr>
      <w:r>
        <w:rPr>
          <w:rFonts w:ascii="仿宋_GB2312" w:hAnsi="仿宋_GB2312" w:eastAsia="仿宋_GB2312"/>
          <w:b/>
          <w:sz w:val="32"/>
        </w:rPr>
        <w:t>2024年度一般公共预算财政拨款支出246.76万元，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减少100.39万元，下降28.92%，主要原因是：本年自治区动物防疫补助项目资金较上年减少。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年初预算数278.18万元，决算数246.76万元，预决算差异率-11.29%，主要原因是：</w:t>
      </w:r>
      <w:r>
        <w:rPr>
          <w:rFonts w:hint="eastAsia" w:ascii="仿宋_GB2312" w:hAnsi="仿宋_GB2312" w:eastAsia="仿宋_GB2312"/>
          <w:b w:val="0"/>
          <w:sz w:val="32"/>
          <w:lang w:val="en-US" w:eastAsia="zh-CN"/>
        </w:rPr>
        <w:t>年中调减</w:t>
      </w:r>
      <w:r>
        <w:rPr>
          <w:rFonts w:ascii="仿宋_GB2312" w:hAnsi="仿宋_GB2312" w:eastAsia="仿宋_GB2312"/>
          <w:b w:val="0"/>
          <w:sz w:val="32"/>
        </w:rPr>
        <w:t>自治区动物防疫补助项目</w:t>
      </w:r>
      <w:r>
        <w:rPr>
          <w:rFonts w:hint="eastAsia" w:ascii="仿宋_GB2312" w:hAnsi="仿宋_GB2312" w:eastAsia="仿宋_GB2312"/>
          <w:b w:val="0"/>
          <w:sz w:val="32"/>
          <w:lang w:val="en-US" w:eastAsia="zh-CN"/>
        </w:rPr>
        <w:t>经费，</w:t>
      </w:r>
      <w:r>
        <w:rPr>
          <w:rFonts w:ascii="仿宋_GB2312" w:hAnsi="仿宋_GB2312" w:eastAsia="仿宋_GB2312"/>
          <w:b w:val="0"/>
          <w:sz w:val="32"/>
        </w:rPr>
        <w:t>导致预决算存在差异。</w:t>
      </w:r>
    </w:p>
    <w:p w14:paraId="1C3E8583">
      <w:pPr>
        <w:spacing w:line="640" w:lineRule="exact"/>
        <w:ind w:firstLine="640"/>
        <w:jc w:val="both"/>
        <w:outlineLvl w:val="3"/>
      </w:pPr>
      <w:r>
        <w:rPr>
          <w:rFonts w:ascii="楷体_GB2312" w:hAnsi="楷体_GB2312" w:eastAsia="楷体_GB2312"/>
          <w:b/>
          <w:sz w:val="32"/>
        </w:rPr>
        <w:t>（二）一般公共预算财政拨款支出决算结构情况</w:t>
      </w:r>
    </w:p>
    <w:p w14:paraId="7B9CD11A">
      <w:pPr>
        <w:spacing w:line="580" w:lineRule="exact"/>
        <w:ind w:firstLine="640"/>
        <w:jc w:val="both"/>
      </w:pPr>
      <w:r>
        <w:rPr>
          <w:rFonts w:ascii="仿宋_GB2312" w:hAnsi="仿宋_GB2312" w:eastAsia="仿宋_GB2312"/>
          <w:b w:val="0"/>
          <w:sz w:val="32"/>
        </w:rPr>
        <w:t>1.社会保障和就业支出(类)23.34万元,占9.46%。</w:t>
      </w:r>
    </w:p>
    <w:p w14:paraId="270200DD">
      <w:pPr>
        <w:spacing w:line="580" w:lineRule="exact"/>
        <w:ind w:firstLine="640"/>
        <w:jc w:val="both"/>
      </w:pPr>
      <w:r>
        <w:rPr>
          <w:rFonts w:ascii="仿宋_GB2312" w:hAnsi="仿宋_GB2312" w:eastAsia="仿宋_GB2312"/>
          <w:b w:val="0"/>
          <w:sz w:val="32"/>
        </w:rPr>
        <w:t>2.卫生健康支出(类)7.91万元,占3.21%。</w:t>
      </w:r>
    </w:p>
    <w:p w14:paraId="5233D551">
      <w:pPr>
        <w:spacing w:line="580" w:lineRule="exact"/>
        <w:ind w:firstLine="640"/>
        <w:jc w:val="both"/>
      </w:pPr>
      <w:r>
        <w:rPr>
          <w:rFonts w:ascii="仿宋_GB2312" w:hAnsi="仿宋_GB2312" w:eastAsia="仿宋_GB2312"/>
          <w:b w:val="0"/>
          <w:sz w:val="32"/>
        </w:rPr>
        <w:t>3.农林水支出(类)203.20万元,占82.35%。</w:t>
      </w:r>
    </w:p>
    <w:p w14:paraId="2785CC5F">
      <w:pPr>
        <w:spacing w:line="580" w:lineRule="exact"/>
        <w:ind w:firstLine="640"/>
        <w:jc w:val="both"/>
      </w:pPr>
      <w:r>
        <w:rPr>
          <w:rFonts w:ascii="仿宋_GB2312" w:hAnsi="仿宋_GB2312" w:eastAsia="仿宋_GB2312"/>
          <w:b w:val="0"/>
          <w:sz w:val="32"/>
        </w:rPr>
        <w:t>4.住房保障支出(类)12.30万元,占4.98%。</w:t>
      </w:r>
    </w:p>
    <w:p w14:paraId="7A031BF9">
      <w:pPr>
        <w:spacing w:line="640" w:lineRule="exact"/>
        <w:ind w:firstLine="640"/>
        <w:jc w:val="both"/>
        <w:outlineLvl w:val="3"/>
      </w:pPr>
      <w:r>
        <w:rPr>
          <w:rFonts w:ascii="楷体_GB2312" w:hAnsi="楷体_GB2312" w:eastAsia="楷体_GB2312"/>
          <w:b/>
          <w:sz w:val="32"/>
        </w:rPr>
        <w:t>（三）一般公共预算财政拨款支出决算具体情况</w:t>
      </w:r>
    </w:p>
    <w:p w14:paraId="4504CBBD">
      <w:pPr>
        <w:spacing w:line="580" w:lineRule="exact"/>
        <w:ind w:firstLine="640"/>
        <w:jc w:val="both"/>
      </w:pPr>
      <w:r>
        <w:rPr>
          <w:rFonts w:ascii="仿宋_GB2312" w:hAnsi="仿宋_GB2312" w:eastAsia="仿宋_GB2312"/>
          <w:b w:val="0"/>
          <w:sz w:val="32"/>
        </w:rPr>
        <w:t>1.一般公共服务支出(类)统战事务(款)宗教事务(项):支出决算数为0.00万元，比上年决算减少0.49万元，下降100.00%,主要原因是：本年度无该项工作抽调人员，导致经费较上年减少。</w:t>
      </w:r>
    </w:p>
    <w:p w14:paraId="1E0A73A9">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2.社会保障和就业支出(类)行政事业单位养老支出(款)行政单位离退休(项):支出决算数为8.96万元，比上年决算增加2.10万元，增长30.61%,主要原因是：本年增加退休人员基础绩效奖，导致退休费较上年增加。</w:t>
      </w:r>
    </w:p>
    <w:p w14:paraId="099C36F8">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14.39万元，比上年决算增加0.49万元，增长3.53%,主要原因是：本年在职人员工资基数调增，养老缴费基数上涨，相应支出增加。</w:t>
      </w:r>
    </w:p>
    <w:p w14:paraId="1667295D">
      <w:pPr>
        <w:spacing w:line="580" w:lineRule="exact"/>
        <w:ind w:firstLine="640"/>
        <w:jc w:val="both"/>
      </w:pPr>
      <w:r>
        <w:rPr>
          <w:rFonts w:ascii="仿宋_GB2312" w:hAnsi="仿宋_GB2312" w:eastAsia="仿宋_GB2312"/>
          <w:b w:val="0"/>
          <w:sz w:val="32"/>
        </w:rPr>
        <w:t>4.卫生健康支出(类)行政事业单位医疗(款)行政单位医疗(项):支出决算数为6.11万元，比上年决算增加0.20万元，增长3.38%,主要原因是：本年在职人员工资基数调增，医疗缴费基数上涨，相应支出增加。</w:t>
      </w:r>
    </w:p>
    <w:p w14:paraId="023D20A3">
      <w:pPr>
        <w:spacing w:line="580" w:lineRule="exact"/>
        <w:ind w:firstLine="640"/>
        <w:jc w:val="both"/>
      </w:pPr>
      <w:r>
        <w:rPr>
          <w:rFonts w:ascii="仿宋_GB2312" w:hAnsi="仿宋_GB2312" w:eastAsia="仿宋_GB2312"/>
          <w:b w:val="0"/>
          <w:sz w:val="32"/>
        </w:rPr>
        <w:t>5.卫生健康支出(类)行政事业单位医疗(款)公务员医疗补助(项):支出决算数为1.80万元，比上年决算增加0.06万元，增长3.45%,主要原因是：本年在职人员工资基数调增，医疗缴费基数上涨，相应支出增加。</w:t>
      </w:r>
    </w:p>
    <w:p w14:paraId="16482CD6">
      <w:pPr>
        <w:spacing w:line="580" w:lineRule="exact"/>
        <w:ind w:firstLine="640"/>
        <w:jc w:val="both"/>
      </w:pPr>
      <w:r>
        <w:rPr>
          <w:rFonts w:ascii="仿宋_GB2312" w:hAnsi="仿宋_GB2312" w:eastAsia="仿宋_GB2312"/>
          <w:b w:val="0"/>
          <w:sz w:val="32"/>
        </w:rPr>
        <w:t>6.农林水支出(类)农业农村(款)行政运行(项):支出决算数为122.60万元，比上年决算增加0.45万元，增长0.37%,主要原因是：本年在职人员工资调增，导致相关人员经费较上年有所增加。</w:t>
      </w:r>
    </w:p>
    <w:p w14:paraId="103BC0B1">
      <w:pPr>
        <w:spacing w:line="580" w:lineRule="exact"/>
        <w:ind w:firstLine="640"/>
        <w:jc w:val="both"/>
      </w:pPr>
      <w:r>
        <w:rPr>
          <w:rFonts w:ascii="仿宋_GB2312" w:hAnsi="仿宋_GB2312" w:eastAsia="仿宋_GB2312"/>
          <w:b w:val="0"/>
          <w:sz w:val="32"/>
        </w:rPr>
        <w:t>7.农林水支出(类)农业农村(款)一般行政管理事务(项):支出决算数为2.37万元，比上年决算减少0.35万元，下降12.87%,主要原因是：本年动物卫生服务指导项目经费较上年减少。</w:t>
      </w:r>
    </w:p>
    <w:p w14:paraId="6A87D8C1">
      <w:pPr>
        <w:spacing w:line="580" w:lineRule="exact"/>
        <w:ind w:firstLine="640"/>
        <w:jc w:val="both"/>
      </w:pPr>
      <w:r>
        <w:rPr>
          <w:rFonts w:ascii="仿宋_GB2312" w:hAnsi="仿宋_GB2312" w:eastAsia="仿宋_GB2312"/>
          <w:b w:val="0"/>
          <w:sz w:val="32"/>
        </w:rPr>
        <w:t>8.农林水支出(类)农业农村(款)病虫害控制(项):支出决算数为78.24万元，比上年决算减少103.66万元，下降56.99%,主要原因是：本年自治区动物防疫补助项目总资金较上年减少。</w:t>
      </w:r>
    </w:p>
    <w:p w14:paraId="5DDE0F12">
      <w:pPr>
        <w:spacing w:line="580" w:lineRule="exact"/>
        <w:ind w:firstLine="640"/>
        <w:jc w:val="both"/>
      </w:pPr>
      <w:r>
        <w:rPr>
          <w:rFonts w:ascii="仿宋_GB2312" w:hAnsi="仿宋_GB2312" w:eastAsia="仿宋_GB2312"/>
          <w:b w:val="0"/>
          <w:sz w:val="32"/>
        </w:rPr>
        <w:t>9.住房保障支出(类)住房改革支出(款)住房公积金(项):支出决算数为12.30万元，比上年决算增加0.82万元，增长7.14%,主要原因是：本年在职人员工资基数调增，公积金缴费基数上涨，相应支出增加。</w:t>
      </w:r>
    </w:p>
    <w:p w14:paraId="4FA1DE91">
      <w:pPr>
        <w:spacing w:line="640" w:lineRule="exact"/>
        <w:ind w:firstLine="640"/>
        <w:jc w:val="both"/>
        <w:outlineLvl w:val="2"/>
      </w:pPr>
      <w:r>
        <w:rPr>
          <w:rFonts w:ascii="黑体" w:hAnsi="黑体" w:eastAsia="黑体"/>
          <w:sz w:val="32"/>
        </w:rPr>
        <w:t>六、一般公共预算财政拨款基本支出决算情况说明</w:t>
      </w:r>
    </w:p>
    <w:p w14:paraId="25447A01">
      <w:pPr>
        <w:spacing w:line="580" w:lineRule="exact"/>
        <w:ind w:firstLine="640"/>
        <w:jc w:val="both"/>
      </w:pPr>
      <w:r>
        <w:rPr>
          <w:rFonts w:ascii="仿宋_GB2312" w:hAnsi="仿宋_GB2312" w:eastAsia="仿宋_GB2312"/>
          <w:b w:val="0"/>
          <w:sz w:val="32"/>
        </w:rPr>
        <w:t>2024年度一般公共预算财政拨款基本支出166.16万元，其中：</w:t>
      </w:r>
      <w:r>
        <w:rPr>
          <w:rFonts w:ascii="仿宋_GB2312" w:hAnsi="仿宋_GB2312" w:eastAsia="仿宋_GB2312"/>
          <w:b/>
          <w:sz w:val="32"/>
        </w:rPr>
        <w:t>人员经费154.60万元，</w:t>
      </w:r>
      <w:r>
        <w:rPr>
          <w:rFonts w:ascii="仿宋_GB2312" w:hAnsi="仿宋_GB2312" w:eastAsia="仿宋_GB2312"/>
          <w:b w:val="0"/>
          <w:sz w:val="32"/>
        </w:rPr>
        <w:t>包括：基本工资、津贴补贴、奖金、机关事业单位基本养老保险缴费、职工基本医疗保险缴费、公务员医疗补助缴费、其他社会保障缴费、住房公积金、退休费、其他对个人和家庭的补助。</w:t>
      </w:r>
    </w:p>
    <w:p w14:paraId="6D9F952B">
      <w:pPr>
        <w:spacing w:line="580" w:lineRule="exact"/>
        <w:ind w:firstLine="640"/>
        <w:jc w:val="both"/>
      </w:pPr>
      <w:r>
        <w:rPr>
          <w:rFonts w:ascii="仿宋_GB2312" w:hAnsi="仿宋_GB2312" w:eastAsia="仿宋_GB2312"/>
          <w:b/>
          <w:sz w:val="32"/>
        </w:rPr>
        <w:t>公用经费11.56万元，</w:t>
      </w:r>
      <w:r>
        <w:rPr>
          <w:rFonts w:ascii="仿宋_GB2312" w:hAnsi="仿宋_GB2312" w:eastAsia="仿宋_GB2312"/>
          <w:b w:val="0"/>
          <w:sz w:val="32"/>
        </w:rPr>
        <w:t>包括：办公费、水费、电费、邮电费、取暖费、维修（护）费、专用材料费、工会经费、公务用车运行维护费、其他交通费用、其他商品和服务支出。</w:t>
      </w:r>
    </w:p>
    <w:p w14:paraId="709E3A23">
      <w:pPr>
        <w:spacing w:line="640" w:lineRule="exact"/>
        <w:ind w:firstLine="640"/>
        <w:jc w:val="both"/>
        <w:outlineLvl w:val="2"/>
      </w:pPr>
      <w:r>
        <w:rPr>
          <w:rFonts w:ascii="黑体" w:hAnsi="黑体" w:eastAsia="黑体"/>
          <w:sz w:val="32"/>
        </w:rPr>
        <w:t>七、政府性基金预算财政拨款收入支出决算情况说明</w:t>
      </w:r>
    </w:p>
    <w:p w14:paraId="6EDDC9BB">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36490843">
      <w:pPr>
        <w:spacing w:line="640" w:lineRule="exact"/>
        <w:ind w:firstLine="640"/>
        <w:jc w:val="both"/>
        <w:outlineLvl w:val="2"/>
      </w:pPr>
      <w:r>
        <w:rPr>
          <w:rFonts w:ascii="黑体" w:hAnsi="黑体" w:eastAsia="黑体"/>
          <w:sz w:val="32"/>
        </w:rPr>
        <w:t>八、国有资本经营预算财政拨款收入支出决算情况说明</w:t>
      </w:r>
    </w:p>
    <w:p w14:paraId="6764339B">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4CCFD9AC">
      <w:pPr>
        <w:spacing w:line="640" w:lineRule="exact"/>
        <w:ind w:firstLine="640"/>
        <w:jc w:val="both"/>
        <w:outlineLvl w:val="2"/>
      </w:pPr>
      <w:r>
        <w:rPr>
          <w:rFonts w:ascii="黑体" w:hAnsi="黑体" w:eastAsia="黑体"/>
          <w:sz w:val="32"/>
        </w:rPr>
        <w:t>九、财政拨款“三公”经费支出决算情况说明</w:t>
      </w:r>
    </w:p>
    <w:p w14:paraId="4ADE260D">
      <w:pPr>
        <w:spacing w:line="580" w:lineRule="exact"/>
        <w:ind w:firstLine="640"/>
        <w:jc w:val="both"/>
      </w:pPr>
      <w:r>
        <w:rPr>
          <w:rFonts w:ascii="仿宋_GB2312" w:hAnsi="仿宋_GB2312" w:eastAsia="仿宋_GB2312"/>
          <w:b/>
          <w:sz w:val="32"/>
        </w:rPr>
        <w:t>2024年度财政拨款“三公”经费支出1.30万元，</w:t>
      </w:r>
      <w:r>
        <w:rPr>
          <w:rFonts w:ascii="仿宋_GB2312" w:hAnsi="仿宋_GB2312" w:eastAsia="仿宋_GB2312"/>
          <w:b w:val="0"/>
          <w:sz w:val="32"/>
        </w:rPr>
        <w:t>比上年增加0.00万元，增长0.00%，主要原因是：2024年度财政拨款“三公”经费支出与上年一致无变化。其中：因公出国（境）费支出0.00万元，占0.00%，比上年增加0.00万元，增长0.00%，主要原因是：2023年与2024年均未安排因公出国（境）费支出。公务用车购置及运行维护费支出1.30万元，占100.00%，比上年增加0.00万元，增长0.00%，主要原因是：2024年度公务用车购置及运行维护费支出与上年一致无变化。公务接待费支出0.00万元，占0.00%，比上年增加0.00万元，增长0.00%，主要原因是：2023年与2024年均未安排公务接待费支出。</w:t>
      </w:r>
    </w:p>
    <w:p w14:paraId="2671FE66">
      <w:pPr>
        <w:spacing w:line="580" w:lineRule="exact"/>
        <w:ind w:firstLine="640"/>
        <w:jc w:val="both"/>
      </w:pPr>
      <w:r>
        <w:rPr>
          <w:rFonts w:ascii="仿宋_GB2312" w:hAnsi="仿宋_GB2312" w:eastAsia="仿宋_GB2312"/>
          <w:b/>
          <w:sz w:val="32"/>
        </w:rPr>
        <w:t>具体情况如下：</w:t>
      </w:r>
    </w:p>
    <w:p w14:paraId="3E054380">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68197CED">
      <w:pPr>
        <w:spacing w:line="580" w:lineRule="exact"/>
        <w:ind w:firstLine="640"/>
        <w:jc w:val="both"/>
      </w:pPr>
      <w:r>
        <w:rPr>
          <w:rFonts w:ascii="仿宋_GB2312" w:hAnsi="仿宋_GB2312" w:eastAsia="仿宋_GB2312"/>
          <w:b w:val="0"/>
          <w:sz w:val="32"/>
        </w:rPr>
        <w:t>公务用车购置及运行维护费1.30万元，其中：公务用车购置费0.00万元，公务用车运行维护费1.30万元。公务用车运行维护费开支内容包括车辆保险费、维修维护费、过路费等。公务用车购置数0辆，公务用车保有量1辆。国有资产占用情况中固定资产车辆1辆，与公务用车保有量差异原因是：本部门固定资产车辆与公务用车保有量一致无差异。</w:t>
      </w:r>
    </w:p>
    <w:p w14:paraId="76D5BCC0">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04E3D186">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1.30万元，决算数1.30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1.30万元，决算数1.30万元，预决算差异率0.00%，主要原因是：严格按照预算执行，预决算无差异。公务接待费全年预算数0.00万元，决算数0.00万元，预决算差异率0.00%，主要原因是：本部门无公务接待费。</w:t>
      </w:r>
    </w:p>
    <w:p w14:paraId="5933205B">
      <w:pPr>
        <w:spacing w:line="640" w:lineRule="exact"/>
        <w:ind w:firstLine="640"/>
        <w:jc w:val="both"/>
        <w:outlineLvl w:val="2"/>
      </w:pPr>
      <w:r>
        <w:rPr>
          <w:rFonts w:ascii="黑体" w:hAnsi="黑体" w:eastAsia="黑体"/>
          <w:sz w:val="32"/>
        </w:rPr>
        <w:t>十、其他重要事项的情况说明</w:t>
      </w:r>
    </w:p>
    <w:p w14:paraId="075F0C4B">
      <w:pPr>
        <w:spacing w:line="640" w:lineRule="exact"/>
        <w:ind w:firstLine="640"/>
        <w:jc w:val="both"/>
        <w:outlineLvl w:val="3"/>
      </w:pPr>
      <w:r>
        <w:rPr>
          <w:rFonts w:ascii="楷体_GB2312" w:hAnsi="楷体_GB2312" w:eastAsia="楷体_GB2312"/>
          <w:b/>
          <w:sz w:val="32"/>
        </w:rPr>
        <w:t>（一）机关运行经费及公用经费支出情况</w:t>
      </w:r>
    </w:p>
    <w:p w14:paraId="1C762D67">
      <w:pPr>
        <w:spacing w:line="580" w:lineRule="exact"/>
        <w:ind w:firstLine="640"/>
        <w:jc w:val="both"/>
      </w:pPr>
      <w:r>
        <w:rPr>
          <w:rFonts w:ascii="仿宋_GB2312" w:hAnsi="仿宋_GB2312" w:eastAsia="仿宋_GB2312"/>
          <w:b w:val="0"/>
          <w:sz w:val="32"/>
        </w:rPr>
        <w:t>2024年度喀什地区动物卫生服务站（行政单位和参照公务员法管理事业单位）机关运行经费支出11.56万元，比上年增加1.38万元，增长13.56%，主要原因是：本年增加办公费、水电费、办公用房取暖费等公用经费支出，导致机关运行经费支出较上年增加。</w:t>
      </w:r>
    </w:p>
    <w:p w14:paraId="466F822E">
      <w:pPr>
        <w:spacing w:line="640" w:lineRule="exact"/>
        <w:ind w:firstLine="640"/>
        <w:jc w:val="both"/>
        <w:outlineLvl w:val="3"/>
      </w:pPr>
      <w:r>
        <w:rPr>
          <w:rFonts w:ascii="楷体_GB2312" w:hAnsi="楷体_GB2312" w:eastAsia="楷体_GB2312"/>
          <w:b/>
          <w:sz w:val="32"/>
        </w:rPr>
        <w:t>（二）政府采购情况</w:t>
      </w:r>
    </w:p>
    <w:p w14:paraId="3D3A09E1">
      <w:pPr>
        <w:spacing w:line="580" w:lineRule="exact"/>
        <w:ind w:firstLine="640"/>
        <w:jc w:val="both"/>
      </w:pPr>
      <w:r>
        <w:rPr>
          <w:rFonts w:ascii="仿宋_GB2312" w:hAnsi="仿宋_GB2312" w:eastAsia="仿宋_GB2312"/>
          <w:b w:val="0"/>
          <w:sz w:val="32"/>
        </w:rPr>
        <w:t>2024年度政府采购支出总额80.08万元，其中：政府采购货物支出79.27万元、政府采购工程支出0.00万元、政府采购服务支出0.80万元。</w:t>
      </w:r>
    </w:p>
    <w:p w14:paraId="35283B8B">
      <w:pPr>
        <w:spacing w:line="580" w:lineRule="exact"/>
        <w:ind w:firstLine="640"/>
        <w:jc w:val="both"/>
      </w:pPr>
      <w:r>
        <w:rPr>
          <w:rFonts w:ascii="仿宋_GB2312" w:hAnsi="仿宋_GB2312" w:eastAsia="仿宋_GB2312"/>
          <w:b w:val="0"/>
          <w:sz w:val="32"/>
        </w:rPr>
        <w:t>授予中小企业合同金额80.08万元，占政府采购支出总额的100.00%，其中：授予小微企业合同金额79.34万元，占政府采购支出总额的99.08%。</w:t>
      </w:r>
    </w:p>
    <w:p w14:paraId="5E8103D3">
      <w:pPr>
        <w:spacing w:line="640" w:lineRule="exact"/>
        <w:ind w:firstLine="640"/>
        <w:jc w:val="both"/>
        <w:outlineLvl w:val="3"/>
      </w:pPr>
      <w:r>
        <w:rPr>
          <w:rFonts w:ascii="楷体_GB2312" w:hAnsi="楷体_GB2312" w:eastAsia="楷体_GB2312"/>
          <w:b/>
          <w:sz w:val="32"/>
        </w:rPr>
        <w:t>（三）国有资产占用情况说明</w:t>
      </w:r>
    </w:p>
    <w:p w14:paraId="72D8280B">
      <w:pPr>
        <w:spacing w:line="580" w:lineRule="exact"/>
        <w:ind w:firstLine="640"/>
        <w:jc w:val="both"/>
      </w:pPr>
      <w:r>
        <w:rPr>
          <w:rFonts w:ascii="仿宋_GB2312" w:hAnsi="仿宋_GB2312" w:eastAsia="仿宋_GB2312"/>
          <w:b w:val="0"/>
          <w:sz w:val="32"/>
        </w:rPr>
        <w:t>截至2024年12月31日，房屋1,610.30平方米，价值168.50万元。车辆1辆，价值17.98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5470717F">
      <w:pPr>
        <w:spacing w:line="640" w:lineRule="exact"/>
        <w:ind w:firstLine="640"/>
        <w:jc w:val="both"/>
        <w:outlineLvl w:val="2"/>
      </w:pPr>
      <w:r>
        <w:rPr>
          <w:rFonts w:ascii="黑体" w:hAnsi="黑体" w:eastAsia="黑体"/>
          <w:sz w:val="32"/>
        </w:rPr>
        <w:t>十一、预算绩效的情况说明</w:t>
      </w:r>
    </w:p>
    <w:p w14:paraId="00D83505">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269.56万元，实际执行总额246.76万元；预算绩效评价项目2个，全年预算数103.40万元，全年执行数80.61万元。预算绩效管理取得的成效：一是确保了预算执行的有效性和合理性，确保了资金能够合理利用，提高了预算评价的效率和准确性；二是帮助单位更及时</w:t>
      </w:r>
      <w:r>
        <w:rPr>
          <w:rFonts w:hint="eastAsia" w:ascii="仿宋_GB2312" w:hAnsi="仿宋_GB2312" w:eastAsia="仿宋_GB2312"/>
          <w:b w:val="0"/>
          <w:sz w:val="32"/>
          <w:lang w:eastAsia="zh-CN"/>
        </w:rPr>
        <w:t>地</w:t>
      </w:r>
      <w:r>
        <w:rPr>
          <w:rFonts w:ascii="仿宋_GB2312" w:hAnsi="仿宋_GB2312" w:eastAsia="仿宋_GB2312"/>
          <w:b w:val="0"/>
          <w:sz w:val="32"/>
        </w:rPr>
        <w:t>发现和解决预算过程中的问题和困难，让单位能够更好地实现项目目标、提高了工作效力，为长期可持续发展奠定了基础；三是提高了财务人员的专业素质和能力水平；四是单位资金的分配和利用更加充分合理，降低了资金浪费，从源头做到了开源节流。发现的问题及原因：一是各项指标和指标值要进一步优化、完善，主要在细化、量化上改进，绩效指标的明确性、可衡量性、相关性还需进一步提升；二是预算精细化管理还需完善，预算编制管理水平仍有进一步提升的空间；三是部分项目资金支付和项目落实过程中进度较慢，项目实施方案还需要进一步细化；四是项目评价资料有待进一步完善，自评价工作还存在自我审定的局限性，会影响评价质量，容易造成问题的疏漏，在客观性和公正性上说服力不强；五是工作中缺少沟通和交流，项目情况无法做到互通有无，同时缺少带着问题去评价的意识。下一步改进措施：一是完善绩效指标，提高整体绩效目标质量，参考往年绩效目标和指标合理设置绩效目标和完成值；二是继续完善预算绩效管理相关工作制度，提升预算精细化管理水平，建立全过程预算绩效管理链条，有效贯彻落实全面实施绩效管理的精神；三是更加细化实施方案，按照项目实施方案合理编制项目预算，及时收集需报销单各类凭证和相关印证材料，严格执行资金管理办法和财政资金管理制度，按照制定的资金管理制度严格执行报销制度，严格按照项目实施方案、招投标管理办法等稳步推进工作；四是项目启动时同步做好档案的归纳与整理，及时整理、收集、汇总，健全档案资料，对项目后续管理有待进一步加强和跟踪。同时使用数字化分析或者满意度调查等方式对项目进行评价评估；五是</w:t>
      </w:r>
      <w:r>
        <w:rPr>
          <w:rFonts w:hint="eastAsia" w:ascii="仿宋_GB2312" w:hAnsi="仿宋_GB2312" w:eastAsia="仿宋_GB2312"/>
          <w:b w:val="0"/>
          <w:sz w:val="32"/>
          <w:lang w:eastAsia="zh-CN"/>
        </w:rPr>
        <w:t>结合</w:t>
      </w:r>
      <w:r>
        <w:rPr>
          <w:rFonts w:ascii="仿宋_GB2312" w:hAnsi="仿宋_GB2312" w:eastAsia="仿宋_GB2312"/>
          <w:b w:val="0"/>
          <w:sz w:val="32"/>
        </w:rPr>
        <w:t>各县（市</w:t>
      </w:r>
      <w:r>
        <w:rPr>
          <w:rFonts w:hint="eastAsia" w:ascii="仿宋_GB2312" w:hAnsi="仿宋_GB2312" w:eastAsia="仿宋_GB2312"/>
          <w:b w:val="0"/>
          <w:sz w:val="32"/>
          <w:lang w:eastAsia="zh-CN"/>
        </w:rPr>
        <w:t>）</w:t>
      </w:r>
      <w:r>
        <w:rPr>
          <w:rFonts w:ascii="仿宋_GB2312" w:hAnsi="仿宋_GB2312" w:eastAsia="仿宋_GB2312"/>
          <w:b w:val="0"/>
          <w:sz w:val="32"/>
        </w:rPr>
        <w:t>开展的工作进行监督检查及指导服务，及时发现存在的问题，及时反馈县市督促整改，消除隐患；六是压实各级责任。及时进行安排部署，明确相关部门及人员职责，压实责任。具体附部门整体支出绩效自评表，项目支出绩效自评表和部门评价报告。</w:t>
      </w:r>
    </w:p>
    <w:p w14:paraId="5431091C">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976DD8E">
        <w:tblPrEx>
          <w:tblCellMar>
            <w:top w:w="0" w:type="dxa"/>
            <w:left w:w="108" w:type="dxa"/>
            <w:bottom w:w="0" w:type="dxa"/>
            <w:right w:w="108" w:type="dxa"/>
          </w:tblCellMar>
        </w:tblPrEx>
        <w:tc>
          <w:tcPr>
            <w:tcW w:w="8847" w:type="dxa"/>
            <w:gridSpan w:val="9"/>
            <w:vAlign w:val="center"/>
          </w:tcPr>
          <w:p w14:paraId="7C356D33">
            <w:pPr>
              <w:jc w:val="center"/>
            </w:pPr>
            <w:r>
              <w:rPr>
                <w:rFonts w:ascii="宋体" w:hAnsi="宋体" w:eastAsia="宋体"/>
                <w:sz w:val="24"/>
              </w:rPr>
              <w:t>部门整体支出绩效自评表</w:t>
            </w:r>
          </w:p>
        </w:tc>
      </w:tr>
      <w:tr w14:paraId="1D194CBF">
        <w:tblPrEx>
          <w:tblCellMar>
            <w:top w:w="0" w:type="dxa"/>
            <w:left w:w="108" w:type="dxa"/>
            <w:bottom w:w="0" w:type="dxa"/>
            <w:right w:w="108" w:type="dxa"/>
          </w:tblCellMar>
        </w:tblPrEx>
        <w:tc>
          <w:tcPr>
            <w:tcW w:w="8847" w:type="dxa"/>
            <w:gridSpan w:val="9"/>
            <w:vAlign w:val="center"/>
          </w:tcPr>
          <w:p w14:paraId="4F986797">
            <w:pPr>
              <w:jc w:val="center"/>
            </w:pPr>
            <w:r>
              <w:rPr>
                <w:rFonts w:ascii="宋体" w:hAnsi="宋体" w:eastAsia="宋体"/>
                <w:sz w:val="24"/>
              </w:rPr>
              <w:t>（2024年度）</w:t>
            </w:r>
          </w:p>
        </w:tc>
      </w:tr>
      <w:tr w14:paraId="37C00FE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6B89B2">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09FC78D">
            <w:pPr>
              <w:jc w:val="center"/>
            </w:pPr>
            <w:r>
              <w:rPr>
                <w:rFonts w:ascii="宋体" w:hAnsi="宋体" w:eastAsia="宋体"/>
                <w:sz w:val="16"/>
              </w:rPr>
              <w:t>喀什地区动物卫生服务站</w:t>
            </w:r>
          </w:p>
        </w:tc>
      </w:tr>
      <w:tr w14:paraId="4785193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8C0878">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D0C31E">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E45D60">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272A3C">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BF419C">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22502F">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C249F3">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BEA695">
            <w:pPr>
              <w:jc w:val="center"/>
            </w:pPr>
            <w:r>
              <w:rPr>
                <w:rFonts w:ascii="宋体" w:hAnsi="宋体" w:eastAsia="宋体"/>
                <w:sz w:val="16"/>
              </w:rPr>
              <w:t>得分</w:t>
            </w:r>
          </w:p>
        </w:tc>
      </w:tr>
      <w:tr w14:paraId="25219F3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14AF6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D2AFC9">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14FD2A">
            <w:pPr>
              <w:jc w:val="center"/>
            </w:pPr>
            <w:r>
              <w:rPr>
                <w:rFonts w:ascii="宋体" w:hAnsi="宋体" w:eastAsia="宋体"/>
                <w:sz w:val="16"/>
              </w:rPr>
              <w:t>278.18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5AAABF">
            <w:pPr>
              <w:jc w:val="center"/>
            </w:pPr>
            <w:r>
              <w:rPr>
                <w:rFonts w:ascii="宋体" w:hAnsi="宋体" w:eastAsia="宋体"/>
                <w:sz w:val="16"/>
              </w:rPr>
              <w:t>269.56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A818E9">
            <w:pPr>
              <w:jc w:val="center"/>
            </w:pPr>
            <w:r>
              <w:rPr>
                <w:rFonts w:ascii="宋体" w:hAnsi="宋体" w:eastAsia="宋体"/>
                <w:sz w:val="16"/>
              </w:rPr>
              <w:t>246.76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EC0AE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8B2D34">
            <w:pPr>
              <w:jc w:val="center"/>
            </w:pPr>
            <w:r>
              <w:rPr>
                <w:rFonts w:ascii="宋体" w:hAnsi="宋体" w:eastAsia="宋体"/>
                <w:sz w:val="16"/>
              </w:rPr>
              <w:t>91.54%</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1C1A63">
            <w:pPr>
              <w:jc w:val="center"/>
            </w:pPr>
            <w:r>
              <w:rPr>
                <w:rFonts w:ascii="宋体" w:hAnsi="宋体" w:eastAsia="宋体"/>
                <w:sz w:val="16"/>
              </w:rPr>
              <w:t>9.15</w:t>
            </w:r>
          </w:p>
        </w:tc>
      </w:tr>
      <w:tr w14:paraId="63DA291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0C5E9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9350FE">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6877C6">
            <w:pPr>
              <w:jc w:val="center"/>
            </w:pPr>
            <w:r>
              <w:rPr>
                <w:rFonts w:ascii="宋体" w:hAnsi="宋体" w:eastAsia="宋体"/>
                <w:sz w:val="16"/>
              </w:rPr>
              <w:t>101.00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D0773E">
            <w:pPr>
              <w:jc w:val="center"/>
            </w:pPr>
            <w:r>
              <w:rPr>
                <w:rFonts w:ascii="宋体" w:hAnsi="宋体" w:eastAsia="宋体"/>
                <w:sz w:val="16"/>
              </w:rPr>
              <w:t>103.91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777D27">
            <w:pPr>
              <w:jc w:val="center"/>
            </w:pPr>
            <w:r>
              <w:rPr>
                <w:rFonts w:ascii="宋体" w:hAnsi="宋体" w:eastAsia="宋体"/>
                <w:sz w:val="16"/>
              </w:rPr>
              <w:t>81.15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ACADB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E15E51">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4762EA">
            <w:pPr>
              <w:jc w:val="center"/>
            </w:pPr>
            <w:r>
              <w:rPr>
                <w:rFonts w:ascii="宋体" w:hAnsi="宋体" w:eastAsia="宋体"/>
                <w:sz w:val="16"/>
              </w:rPr>
              <w:t>—</w:t>
            </w:r>
          </w:p>
        </w:tc>
      </w:tr>
      <w:tr w14:paraId="60D5C4C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21BD3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DCC957">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CC69D2">
            <w:pPr>
              <w:jc w:val="center"/>
            </w:pPr>
            <w:r>
              <w:rPr>
                <w:rFonts w:ascii="宋体" w:hAnsi="宋体" w:eastAsia="宋体"/>
                <w:sz w:val="16"/>
              </w:rPr>
              <w:t>177.18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B82E35">
            <w:pPr>
              <w:jc w:val="center"/>
            </w:pPr>
            <w:r>
              <w:rPr>
                <w:rFonts w:ascii="宋体" w:hAnsi="宋体" w:eastAsia="宋体"/>
                <w:sz w:val="16"/>
              </w:rPr>
              <w:t>165.65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2867E9">
            <w:pPr>
              <w:jc w:val="center"/>
            </w:pPr>
            <w:r>
              <w:rPr>
                <w:rFonts w:ascii="宋体" w:hAnsi="宋体" w:eastAsia="宋体"/>
                <w:sz w:val="16"/>
              </w:rPr>
              <w:t>165.61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E964D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E576D1">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B78736">
            <w:pPr>
              <w:jc w:val="center"/>
            </w:pPr>
            <w:r>
              <w:rPr>
                <w:rFonts w:ascii="宋体" w:hAnsi="宋体" w:eastAsia="宋体"/>
                <w:sz w:val="16"/>
              </w:rPr>
              <w:t>—</w:t>
            </w:r>
          </w:p>
        </w:tc>
      </w:tr>
      <w:tr w14:paraId="5046412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70CC4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21BAAA">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91C0C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FD8FE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648A3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A4136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FB2688">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64A6DB">
            <w:pPr>
              <w:jc w:val="center"/>
            </w:pPr>
            <w:r>
              <w:rPr>
                <w:rFonts w:ascii="宋体" w:hAnsi="宋体" w:eastAsia="宋体"/>
                <w:sz w:val="16"/>
              </w:rPr>
              <w:t>—</w:t>
            </w:r>
          </w:p>
        </w:tc>
      </w:tr>
      <w:tr w14:paraId="2EB3816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4361D2">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96CC4FA">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67D702A">
            <w:pPr>
              <w:jc w:val="center"/>
            </w:pPr>
            <w:r>
              <w:rPr>
                <w:rFonts w:ascii="宋体" w:hAnsi="宋体" w:eastAsia="宋体"/>
                <w:sz w:val="16"/>
              </w:rPr>
              <w:t>实际完成情况</w:t>
            </w:r>
          </w:p>
        </w:tc>
      </w:tr>
      <w:tr w14:paraId="57A89D6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5D71CC"/>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C4A4B2F">
            <w:pPr>
              <w:jc w:val="both"/>
            </w:pPr>
            <w:r>
              <w:rPr>
                <w:rFonts w:hint="eastAsia" w:ascii="宋体" w:hAnsi="宋体"/>
                <w:sz w:val="16"/>
                <w:lang w:eastAsia="zh-CN"/>
              </w:rPr>
              <w:t>本部门</w:t>
            </w:r>
            <w:r>
              <w:rPr>
                <w:rFonts w:ascii="宋体" w:hAnsi="宋体" w:eastAsia="宋体"/>
                <w:sz w:val="16"/>
              </w:rPr>
              <w:t>围绕职能开展保障动物产品质量安全，推进新疆畜牧业高质量发展。根据喀什地区畜牧业当前发展和喀什地区“十四五”规划要求，确保畜产品质量安全,促进绿色发展。计划开展动物卫生技术服务指导4次，动物卫生技术服务指导覆盖率100%，耳标、牛羊酮体佩戴卡环率90%，依法对重大动物</w:t>
            </w:r>
            <w:r>
              <w:rPr>
                <w:rFonts w:hint="eastAsia" w:ascii="宋体" w:hAnsi="宋体"/>
                <w:sz w:val="16"/>
                <w:lang w:val="en-US" w:eastAsia="zh-CN"/>
              </w:rPr>
              <w:t>疫情</w:t>
            </w:r>
            <w:r>
              <w:rPr>
                <w:rFonts w:ascii="宋体" w:hAnsi="宋体" w:eastAsia="宋体"/>
                <w:sz w:val="16"/>
              </w:rPr>
              <w:t>处置率100%。项目实施有效推进保护生态环境，规范动物检疫合格证明出证,提高人民群众对畜产品质量安全监督的积极性。</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CE6E257">
            <w:pPr>
              <w:jc w:val="both"/>
            </w:pPr>
            <w:r>
              <w:rPr>
                <w:rFonts w:hint="eastAsia" w:ascii="宋体" w:hAnsi="宋体"/>
                <w:sz w:val="16"/>
                <w:lang w:eastAsia="zh-CN"/>
              </w:rPr>
              <w:t>本部门</w:t>
            </w:r>
            <w:r>
              <w:rPr>
                <w:rFonts w:ascii="宋体" w:hAnsi="宋体" w:eastAsia="宋体"/>
                <w:sz w:val="16"/>
              </w:rPr>
              <w:t>根</w:t>
            </w:r>
            <w:r>
              <w:rPr>
                <w:rFonts w:hint="eastAsia" w:ascii="宋体" w:hAnsi="宋体"/>
                <w:sz w:val="16"/>
                <w:lang w:eastAsia="zh-CN"/>
              </w:rPr>
              <w:t>据本</w:t>
            </w:r>
            <w:r>
              <w:rPr>
                <w:rFonts w:ascii="宋体" w:hAnsi="宋体" w:eastAsia="宋体"/>
                <w:sz w:val="16"/>
              </w:rPr>
              <w:t>地区畜牧业当前发展和喀什地区“十四五”规划要求，紧紧围绕自治区“深入实施畜牧业振兴行动，建设优质畜牧产品集群”的总体安排，充分发挥职能作用，动物卫生服务各方面工作全面落实并稳中有进，为喀什地区畜牧产业稳步发展作出了应有贡献。</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（一）通过指导服务不断规范动物检疫工作。做好产地检疫、屠宰检疫、做到应检尽检，确保动物疫病防治和畜产品质量安全工作。推进以检促免，降低防止动物疫病往外扩散的风险，确保不发生区域性动物</w:t>
            </w:r>
            <w:r>
              <w:rPr>
                <w:rFonts w:hint="eastAsia" w:ascii="宋体" w:hAnsi="宋体"/>
                <w:sz w:val="16"/>
                <w:lang w:val="en-US" w:eastAsia="zh-CN"/>
              </w:rPr>
              <w:t>疫情</w:t>
            </w:r>
            <w:r>
              <w:rPr>
                <w:rFonts w:ascii="宋体" w:hAnsi="宋体" w:eastAsia="宋体"/>
                <w:sz w:val="16"/>
              </w:rPr>
              <w:t>。全地区产地检疫畜禽1669.11万头/只/羽，使用检疫证33.29万张，其中：家畜277.45万头/只、家禽1391.66万羽。</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二）加强屠宰监管工作。通过指导服务和培训工作，落实各县市屠宰企业主体责任、官方兽医监督责任，对检疫规程、规范出证工作等进行指导服务，进一步加强官方兽医责任心，推动规范出证工作，稳步推进畜产品质量安全工作。牛羊猪耳标、牛羊酮体佩戴卡环率90%，全地区屠宰检疫动物717.12万头/只/羽（其中：猪8.93万头、牛17.73万头、羊251.83万只、其他家畜0.11万头、家禽438.51万羽），屠宰检疫肉产品12.38万吨，副产品3.18万吨，未发生畜产品质量安全事件</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三）加强调运监管和落地监管，有效防止输入性疫病侵入。在公路动物卫生检查站、屠宰场、活畜交易市场等场所，严格落实查证验物、消毒、登记录入平台、隔离观察等措施，严防违规调运现象，防止输入性动物疫病的入侵。落地监管畜禽869.62万头/只/羽（其中:家畜214.02万头/只、家禽655.60万羽），落地监管率99.54%。</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（四）做好官方兽医队伍管理工作。根据自治区的要求，做好官方兽医登记、确认、备案工作。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（五）做好服务指导工作，充分发挥职能作用。一是聚焦关键环节，加强服务指导，排查整治到位。总计开展动物卫生技术服务指导次数4次，12县市指导服务覆盖率达100%。</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六）开展好生猪屠宰质量管理规范指导培训。按照农业农村部办公厅关于做好《生猪屠宰质量管理规范》实施工作的通知要求，印发《喀什地区关于开展生猪屠宰场（厂）自查的通知》，对我区10个生猪屠宰场（点）开展全面摸排、登记。</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七）养殖环节病害动物无害化处理监管工作。有效推进动物疫病防治、环境保护和公共卫生安全工作，为无害化处理补助项目的顺利实施提供可靠的依据。新疆畜禽无害化处理监管信息系统录入养殖环节病害家畜无害化处理3741批次，累计21476头/只（猪15876头、牛349头、羊5251只）。</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（八）聚焦提升能力，培训到位。聚焦提升能力，培训到位。通过线上学习考试、集中培训、现场服务指导、视频培训以及座谈交流等方式开展官方兽医培训，指导动物及动物产品检疫工作。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（九）聚焦营造氛围，宣传到位采取集中培训、面对面宣讲、发放宣传资料等方式开展《</w:t>
            </w:r>
            <w:r>
              <w:rPr>
                <w:rFonts w:hint="eastAsia" w:ascii="宋体" w:hAnsi="宋体"/>
                <w:sz w:val="16"/>
                <w:lang w:eastAsia="zh-CN"/>
              </w:rPr>
              <w:t>中华人民共和国动物防疫法</w:t>
            </w:r>
            <w:r>
              <w:rPr>
                <w:rFonts w:ascii="宋体" w:hAnsi="宋体" w:eastAsia="宋体"/>
                <w:sz w:val="16"/>
              </w:rPr>
              <w:t>》《动物检疫管理办法》以及《自治区实施&lt;动物防疫法&gt;办法》等法律法规的宣传培训，增强广大养殖户及屠宰经营企业动物防疫意识，督促落实动物防疫主体责任。</w:t>
            </w:r>
          </w:p>
        </w:tc>
      </w:tr>
      <w:tr w14:paraId="7096E03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8B484D">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6FD2EA">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6C4A8C">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761209">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E3F86E">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E884FB">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BF6A33">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93B4CC">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FCD6CE">
            <w:pPr>
              <w:jc w:val="center"/>
            </w:pPr>
            <w:r>
              <w:rPr>
                <w:rFonts w:ascii="宋体" w:hAnsi="宋体" w:eastAsia="宋体"/>
                <w:sz w:val="16"/>
              </w:rPr>
              <w:t>得分</w:t>
            </w:r>
          </w:p>
        </w:tc>
      </w:tr>
      <w:tr w14:paraId="5DFCE3F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DAE46E">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4EC505">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1B7A5B">
            <w:pPr>
              <w:jc w:val="center"/>
            </w:pPr>
            <w:r>
              <w:rPr>
                <w:rFonts w:ascii="宋体" w:hAnsi="宋体" w:eastAsia="宋体"/>
                <w:sz w:val="16"/>
              </w:rPr>
              <w:t>开展动物卫生技术服务指导次数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AE843A">
            <w:pPr>
              <w:jc w:val="center"/>
            </w:pPr>
            <w:r>
              <w:rPr>
                <w:rFonts w:ascii="宋体" w:hAnsi="宋体" w:eastAsia="宋体"/>
                <w:sz w:val="16"/>
              </w:rPr>
              <w:t>&gt;=4次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DD2F1A">
            <w:pPr>
              <w:jc w:val="center"/>
            </w:pPr>
            <w:r>
              <w:rPr>
                <w:rFonts w:ascii="宋体" w:hAnsi="宋体" w:eastAsia="宋体"/>
                <w:sz w:val="16"/>
              </w:rPr>
              <w:t>喀什地区动物卫生服务站2024年工作要点，地区动物卫生服务站2023年年度工作总结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9B0895">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18D9A8">
            <w:pPr>
              <w:jc w:val="center"/>
            </w:pPr>
            <w:r>
              <w:rPr>
                <w:rFonts w:ascii="宋体" w:hAnsi="宋体" w:eastAsia="宋体"/>
                <w:sz w:val="16"/>
              </w:rPr>
              <w: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A368B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8D6AB7">
            <w:pPr>
              <w:jc w:val="center"/>
            </w:pPr>
            <w:r>
              <w:rPr>
                <w:rFonts w:ascii="宋体" w:hAnsi="宋体" w:eastAsia="宋体"/>
                <w:sz w:val="16"/>
              </w:rPr>
              <w:t>20</w:t>
            </w:r>
          </w:p>
        </w:tc>
      </w:tr>
      <w:tr w14:paraId="6E10616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E109C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DAA02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28025A">
            <w:pPr>
              <w:jc w:val="center"/>
            </w:pPr>
            <w:r>
              <w:rPr>
                <w:rFonts w:ascii="宋体" w:hAnsi="宋体" w:eastAsia="宋体"/>
                <w:sz w:val="16"/>
              </w:rPr>
              <w:t>动物卫生技术服务指导覆盖率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3C46B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571A2A">
            <w:pPr>
              <w:jc w:val="center"/>
            </w:pPr>
            <w:r>
              <w:rPr>
                <w:rFonts w:ascii="宋体" w:hAnsi="宋体" w:eastAsia="宋体"/>
                <w:sz w:val="16"/>
              </w:rPr>
              <w:t>喀什地区动物卫生服务站2024年工作要点，地区动物卫生服务站2023年年度工作总结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6B6F3F">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758E8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7F29A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58E73D">
            <w:pPr>
              <w:jc w:val="center"/>
            </w:pPr>
            <w:r>
              <w:rPr>
                <w:rFonts w:ascii="宋体" w:hAnsi="宋体" w:eastAsia="宋体"/>
                <w:sz w:val="16"/>
              </w:rPr>
              <w:t>20</w:t>
            </w:r>
          </w:p>
        </w:tc>
      </w:tr>
      <w:tr w14:paraId="4867698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E85F6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43ED3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00B035">
            <w:pPr>
              <w:jc w:val="center"/>
            </w:pPr>
            <w:r>
              <w:rPr>
                <w:rFonts w:ascii="宋体" w:hAnsi="宋体" w:eastAsia="宋体"/>
                <w:sz w:val="16"/>
              </w:rPr>
              <w:t>耳标、牛羊酮体佩戴卡环率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3419C2">
            <w:pPr>
              <w:jc w:val="center"/>
            </w:pPr>
            <w:r>
              <w:rPr>
                <w:rFonts w:ascii="宋体" w:hAnsi="宋体" w:eastAsia="宋体"/>
                <w:sz w:val="16"/>
              </w:rPr>
              <w:t>&gt;=90%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04220B">
            <w:pPr>
              <w:jc w:val="center"/>
            </w:pPr>
            <w:r>
              <w:rPr>
                <w:rFonts w:ascii="宋体" w:hAnsi="宋体" w:eastAsia="宋体"/>
                <w:sz w:val="16"/>
              </w:rPr>
              <w:t>喀什地区动物卫生服务站2024年工作要点，地区动物卫生服务站2023年年度工作总结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003CE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BB05A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651E04">
            <w:pPr>
              <w:jc w:val="center"/>
            </w:pPr>
            <w:r>
              <w:rPr>
                <w:rFonts w:ascii="宋体" w:hAnsi="宋体" w:eastAsia="宋体"/>
                <w:sz w:val="16"/>
              </w:rPr>
              <w:t>111.11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E55544">
            <w:pPr>
              <w:jc w:val="center"/>
            </w:pPr>
            <w:r>
              <w:rPr>
                <w:rFonts w:ascii="宋体" w:hAnsi="宋体" w:eastAsia="宋体"/>
                <w:sz w:val="16"/>
              </w:rPr>
              <w:t>20</w:t>
            </w:r>
          </w:p>
        </w:tc>
      </w:tr>
      <w:tr w14:paraId="760F623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811A1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42AF0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935032">
            <w:pPr>
              <w:jc w:val="center"/>
            </w:pPr>
            <w:r>
              <w:rPr>
                <w:rFonts w:ascii="宋体" w:hAnsi="宋体" w:eastAsia="宋体"/>
                <w:sz w:val="16"/>
              </w:rPr>
              <w:t>依法对重大动物</w:t>
            </w:r>
            <w:r>
              <w:rPr>
                <w:rFonts w:hint="eastAsia" w:ascii="宋体" w:hAnsi="宋体"/>
                <w:sz w:val="16"/>
                <w:lang w:val="en-US" w:eastAsia="zh-CN"/>
              </w:rPr>
              <w:t>疫情</w:t>
            </w:r>
            <w:r>
              <w:rPr>
                <w:rFonts w:ascii="宋体" w:hAnsi="宋体" w:eastAsia="宋体"/>
                <w:sz w:val="16"/>
              </w:rPr>
              <w:t>处置率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3D976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D1949B">
            <w:pPr>
              <w:jc w:val="center"/>
            </w:pPr>
            <w:r>
              <w:rPr>
                <w:rFonts w:ascii="宋体" w:hAnsi="宋体" w:eastAsia="宋体"/>
                <w:sz w:val="16"/>
              </w:rPr>
              <w:t>喀什地区动物卫生服务站2024年工作要点，地区动物卫生服务站2023年年度工作总结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BA88A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BA4BB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8B6AD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184A20">
            <w:pPr>
              <w:jc w:val="center"/>
            </w:pPr>
            <w:r>
              <w:rPr>
                <w:rFonts w:ascii="宋体" w:hAnsi="宋体" w:eastAsia="宋体"/>
                <w:sz w:val="16"/>
              </w:rPr>
              <w:t>20</w:t>
            </w:r>
          </w:p>
        </w:tc>
      </w:tr>
      <w:tr w14:paraId="418392F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68EA5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1E791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45ED75">
            <w:pPr>
              <w:jc w:val="center"/>
            </w:pPr>
            <w:r>
              <w:rPr>
                <w:rFonts w:ascii="宋体" w:hAnsi="宋体" w:eastAsia="宋体"/>
                <w:sz w:val="16"/>
              </w:rPr>
              <w:t>违法违规出证行为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E8678A">
            <w:pPr>
              <w:jc w:val="center"/>
            </w:pPr>
            <w:r>
              <w:rPr>
                <w:rFonts w:ascii="宋体" w:hAnsi="宋体" w:eastAsia="宋体"/>
                <w:sz w:val="16"/>
              </w:rPr>
              <w:t>=0件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C0BD9E">
            <w:pPr>
              <w:jc w:val="center"/>
            </w:pPr>
            <w:r>
              <w:rPr>
                <w:rFonts w:ascii="宋体" w:hAnsi="宋体" w:eastAsia="宋体"/>
                <w:sz w:val="16"/>
              </w:rPr>
              <w:t>喀什地区动物卫生服务站2024年工作要点，地区动物卫生服务站2023年年度工作总结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5B82D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8A277F">
            <w:pPr>
              <w:jc w:val="center"/>
            </w:pPr>
            <w:r>
              <w:rPr>
                <w:rFonts w:ascii="宋体" w:hAnsi="宋体" w:eastAsia="宋体"/>
                <w:sz w:val="16"/>
              </w:rPr>
              <w:t>0件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D4BBD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D130C5">
            <w:pPr>
              <w:jc w:val="center"/>
            </w:pPr>
            <w:r>
              <w:rPr>
                <w:rFonts w:ascii="宋体" w:hAnsi="宋体" w:eastAsia="宋体"/>
                <w:sz w:val="16"/>
              </w:rPr>
              <w:t>10</w:t>
            </w:r>
          </w:p>
        </w:tc>
      </w:tr>
    </w:tbl>
    <w:p w14:paraId="6303F52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14:paraId="0D1A8908">
        <w:tc>
          <w:tcPr>
            <w:tcW w:w="8848" w:type="dxa"/>
            <w:gridSpan w:val="14"/>
            <w:vAlign w:val="center"/>
          </w:tcPr>
          <w:p w14:paraId="39777C72">
            <w:pPr>
              <w:jc w:val="center"/>
            </w:pPr>
            <w:r>
              <w:rPr>
                <w:rFonts w:ascii="宋体" w:hAnsi="宋体" w:eastAsia="宋体"/>
                <w:sz w:val="24"/>
              </w:rPr>
              <w:t>项目支出绩效自评表</w:t>
            </w:r>
          </w:p>
        </w:tc>
      </w:tr>
      <w:tr w14:paraId="570EA485">
        <w:tblPrEx>
          <w:tblCellMar>
            <w:top w:w="0" w:type="dxa"/>
            <w:left w:w="108" w:type="dxa"/>
            <w:bottom w:w="0" w:type="dxa"/>
            <w:right w:w="108" w:type="dxa"/>
          </w:tblCellMar>
        </w:tblPrEx>
        <w:tc>
          <w:tcPr>
            <w:tcW w:w="8848" w:type="dxa"/>
            <w:gridSpan w:val="14"/>
            <w:vAlign w:val="center"/>
          </w:tcPr>
          <w:p w14:paraId="3D04ACB4">
            <w:pPr>
              <w:jc w:val="center"/>
            </w:pPr>
            <w:r>
              <w:rPr>
                <w:rFonts w:ascii="宋体" w:hAnsi="宋体" w:eastAsia="宋体"/>
                <w:sz w:val="24"/>
              </w:rPr>
              <w:t>(2024年度)</w:t>
            </w:r>
          </w:p>
        </w:tc>
      </w:tr>
      <w:tr w14:paraId="59387AA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3ADC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6EA094C">
            <w:pPr>
              <w:jc w:val="center"/>
            </w:pPr>
            <w:r>
              <w:rPr>
                <w:rFonts w:ascii="宋体" w:hAnsi="宋体" w:eastAsia="宋体"/>
                <w:sz w:val="16"/>
              </w:rPr>
              <w:t>2024年自治区动物防疫补助资金</w:t>
            </w:r>
          </w:p>
        </w:tc>
      </w:tr>
      <w:tr w14:paraId="4DBCC8D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12BE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0D04FF">
            <w:pPr>
              <w:jc w:val="center"/>
            </w:pPr>
            <w:r>
              <w:rPr>
                <w:rFonts w:ascii="宋体" w:hAnsi="宋体" w:eastAsia="宋体"/>
                <w:sz w:val="16"/>
              </w:rPr>
              <w:t>喀什地区动物卫生服务站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0155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D65022B">
            <w:pPr>
              <w:jc w:val="center"/>
            </w:pPr>
            <w:r>
              <w:rPr>
                <w:rFonts w:ascii="宋体" w:hAnsi="宋体" w:eastAsia="宋体"/>
                <w:sz w:val="16"/>
              </w:rPr>
              <w:t>喀什地区动物卫生服务站</w:t>
            </w:r>
          </w:p>
        </w:tc>
      </w:tr>
      <w:tr w14:paraId="7B2DCE6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DC6B2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0F427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B237A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218FC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21591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CE9B2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487EA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FD5E5">
            <w:pPr>
              <w:jc w:val="center"/>
            </w:pPr>
            <w:r>
              <w:rPr>
                <w:rFonts w:ascii="宋体" w:hAnsi="宋体" w:eastAsia="宋体"/>
                <w:sz w:val="16"/>
              </w:rPr>
              <w:t>得分</w:t>
            </w:r>
          </w:p>
        </w:tc>
      </w:tr>
      <w:tr w14:paraId="1EE6F7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AA90E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57E1C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B1A954">
            <w:pPr>
              <w:jc w:val="center"/>
            </w:pPr>
            <w:r>
              <w:rPr>
                <w:rFonts w:ascii="宋体" w:hAnsi="宋体" w:eastAsia="宋体"/>
                <w:sz w:val="16"/>
              </w:rPr>
              <w:t>101.00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6D3DD4">
            <w:pPr>
              <w:jc w:val="center"/>
            </w:pPr>
            <w:r>
              <w:rPr>
                <w:rFonts w:ascii="宋体" w:hAnsi="宋体" w:eastAsia="宋体"/>
                <w:sz w:val="16"/>
              </w:rPr>
              <w:t>101.00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C3CDA3">
            <w:pPr>
              <w:jc w:val="center"/>
            </w:pPr>
            <w:r>
              <w:rPr>
                <w:rFonts w:ascii="宋体" w:hAnsi="宋体" w:eastAsia="宋体"/>
                <w:sz w:val="16"/>
              </w:rPr>
              <w:t>78.24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7BB53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48CAA0">
            <w:pPr>
              <w:jc w:val="center"/>
            </w:pPr>
            <w:r>
              <w:rPr>
                <w:rFonts w:ascii="宋体" w:hAnsi="宋体" w:eastAsia="宋体"/>
                <w:sz w:val="16"/>
              </w:rPr>
              <w:t>77.5%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70986">
            <w:pPr>
              <w:jc w:val="center"/>
            </w:pPr>
            <w:r>
              <w:rPr>
                <w:rFonts w:ascii="宋体" w:hAnsi="宋体" w:eastAsia="宋体"/>
                <w:sz w:val="16"/>
              </w:rPr>
              <w:t>4.37分</w:t>
            </w:r>
          </w:p>
        </w:tc>
      </w:tr>
      <w:tr w14:paraId="44016F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AEBC5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8DB4D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56CDB7">
            <w:pPr>
              <w:jc w:val="center"/>
            </w:pPr>
            <w:r>
              <w:rPr>
                <w:rFonts w:ascii="宋体" w:hAnsi="宋体" w:eastAsia="宋体"/>
                <w:sz w:val="16"/>
              </w:rPr>
              <w:t>101.00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CFA9B">
            <w:pPr>
              <w:jc w:val="center"/>
            </w:pPr>
            <w:r>
              <w:rPr>
                <w:rFonts w:ascii="宋体" w:hAnsi="宋体" w:eastAsia="宋体"/>
                <w:sz w:val="16"/>
              </w:rPr>
              <w:t>101.00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AF00D8">
            <w:pPr>
              <w:jc w:val="center"/>
            </w:pPr>
            <w:r>
              <w:rPr>
                <w:rFonts w:ascii="宋体" w:hAnsi="宋体" w:eastAsia="宋体"/>
                <w:sz w:val="16"/>
              </w:rPr>
              <w:t>78.24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DD926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9BC0B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82D8B">
            <w:pPr>
              <w:jc w:val="center"/>
            </w:pPr>
            <w:r>
              <w:rPr>
                <w:rFonts w:ascii="宋体" w:hAnsi="宋体" w:eastAsia="宋体"/>
                <w:sz w:val="16"/>
              </w:rPr>
              <w:t>—</w:t>
            </w:r>
          </w:p>
        </w:tc>
      </w:tr>
      <w:tr w14:paraId="085050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03B34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987D0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901F1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646A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D5008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EF4B0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DEF84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F228C">
            <w:pPr>
              <w:jc w:val="center"/>
            </w:pPr>
            <w:r>
              <w:rPr>
                <w:rFonts w:ascii="宋体" w:hAnsi="宋体" w:eastAsia="宋体"/>
                <w:sz w:val="16"/>
              </w:rPr>
              <w:t>—</w:t>
            </w:r>
          </w:p>
        </w:tc>
      </w:tr>
      <w:tr w14:paraId="26A74CF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2A221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5C558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45F8C83">
            <w:pPr>
              <w:jc w:val="center"/>
            </w:pPr>
            <w:r>
              <w:rPr>
                <w:rFonts w:ascii="宋体" w:hAnsi="宋体" w:eastAsia="宋体"/>
                <w:sz w:val="16"/>
              </w:rPr>
              <w:t>实际完成情况</w:t>
            </w:r>
          </w:p>
        </w:tc>
      </w:tr>
      <w:tr w14:paraId="239582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6BF2F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073F7C">
            <w:pPr>
              <w:jc w:val="both"/>
            </w:pPr>
            <w:r>
              <w:rPr>
                <w:rFonts w:ascii="宋体" w:hAnsi="宋体" w:eastAsia="宋体"/>
                <w:sz w:val="16"/>
              </w:rPr>
              <w:t>项目预算金额101万元，主要内容包括：其中购买牛羊猪耳标542.6万枚、83.9万元（其中牛耳标53万枚、10.6万元，猪耳标14万枚、1.96万元，羊耳标475万枚、71.34万元），牛羊卡环共90万枚、17.10万元。通过对该项目的实施，确保全区口蹄疫、高致病性禽流感、布病、包虫病等动物</w:t>
            </w:r>
            <w:r>
              <w:rPr>
                <w:rFonts w:hint="eastAsia" w:ascii="宋体" w:hAnsi="宋体"/>
                <w:sz w:val="16"/>
                <w:lang w:val="en-US" w:eastAsia="zh-CN"/>
              </w:rPr>
              <w:t>疫情</w:t>
            </w:r>
            <w:r>
              <w:rPr>
                <w:rFonts w:ascii="宋体" w:hAnsi="宋体" w:eastAsia="宋体"/>
                <w:sz w:val="16"/>
              </w:rPr>
              <w:t>形势保持平稳，促进畜牧业持续稳步健康发展。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8635366">
            <w:pPr>
              <w:jc w:val="both"/>
            </w:pPr>
            <w:r>
              <w:rPr>
                <w:rFonts w:ascii="宋体" w:hAnsi="宋体" w:eastAsia="宋体"/>
                <w:sz w:val="16"/>
              </w:rPr>
              <w:t>今年采购耳标542.6万枚，（其中牛耳标53万枚、羊耳标475万枚、猪耳标14万枚），牛羊检疫卡环90万枚，实际采购资金支付78.236万元。</w:t>
            </w:r>
            <w:r>
              <w:rPr>
                <w:rFonts w:ascii="宋体" w:hAnsi="宋体" w:eastAsia="宋体"/>
                <w:sz w:val="16"/>
              </w:rPr>
              <w:br w:type="textWrapping"/>
            </w:r>
            <w:r>
              <w:rPr>
                <w:rFonts w:ascii="宋体" w:hAnsi="宋体" w:eastAsia="宋体"/>
                <w:sz w:val="16"/>
              </w:rPr>
              <w:t>通过对该项目的实施，畜禽产地检疫、屠宰检疫、做到了应检尽检，确保全区口蹄疫、高致病性禽流感、布病、包虫病等动物</w:t>
            </w:r>
            <w:r>
              <w:rPr>
                <w:rFonts w:hint="eastAsia" w:ascii="宋体" w:hAnsi="宋体"/>
                <w:sz w:val="16"/>
                <w:lang w:val="en-US" w:eastAsia="zh-CN"/>
              </w:rPr>
              <w:t>疫情</w:t>
            </w:r>
            <w:r>
              <w:rPr>
                <w:rFonts w:ascii="宋体" w:hAnsi="宋体" w:eastAsia="宋体"/>
                <w:sz w:val="16"/>
              </w:rPr>
              <w:t>形势保持平稳，促进畜牧业持续稳步健康发展，动物疫病防治和畜产品质量安全工作顺利进行。同时对跨地区调入动物，在公路动物卫生检查站、屠宰场、活畜交易市场等场所，严格查证验物、消毒、登记录入平台、隔离观察等，严防违规调运现象，有效防止了输入性动物疫病的入侵。</w:t>
            </w:r>
          </w:p>
        </w:tc>
      </w:tr>
      <w:tr w14:paraId="1A71A68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3FA4D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9565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AF51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BEAD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8F34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D258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5003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34A7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E285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268B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1670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38C7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ED81F7">
            <w:pPr>
              <w:jc w:val="center"/>
            </w:pPr>
            <w:r>
              <w:rPr>
                <w:rFonts w:ascii="宋体" w:hAnsi="宋体" w:eastAsia="宋体"/>
                <w:sz w:val="16"/>
              </w:rPr>
              <w:t>偏差原因分析及改进措施</w:t>
            </w:r>
          </w:p>
        </w:tc>
      </w:tr>
      <w:tr w14:paraId="4CC93C1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F9F93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BCF67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9AA33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F6583">
            <w:pPr>
              <w:jc w:val="center"/>
            </w:pPr>
            <w:r>
              <w:rPr>
                <w:rFonts w:ascii="宋体" w:hAnsi="宋体" w:eastAsia="宋体"/>
                <w:sz w:val="16"/>
              </w:rPr>
              <w:t>牛羊酮体佩戴卡环率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83C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A7F03">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E6C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AA31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D32C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01E8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B3E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6BE2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E55A8D">
            <w:pPr>
              <w:jc w:val="center"/>
            </w:pPr>
          </w:p>
        </w:tc>
      </w:tr>
      <w:tr w14:paraId="563B7C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1AE7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BA6E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9867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2471A">
            <w:pPr>
              <w:jc w:val="center"/>
            </w:pPr>
            <w:r>
              <w:rPr>
                <w:rFonts w:ascii="宋体" w:hAnsi="宋体" w:eastAsia="宋体"/>
                <w:sz w:val="16"/>
              </w:rPr>
              <w:t>牛、羊、猪耳标佩戴率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B7605">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FDA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3A3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F567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8AE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6D87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3A7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94E78">
            <w:pPr>
              <w:jc w:val="center"/>
            </w:pPr>
            <w:r>
              <w:rPr>
                <w:rFonts w:ascii="宋体" w:hAnsi="宋体" w:eastAsia="宋体"/>
                <w:sz w:val="16"/>
              </w:rPr>
              <w:t>8.89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782519">
            <w:pPr>
              <w:jc w:val="center"/>
            </w:pPr>
            <w:r>
              <w:rPr>
                <w:rFonts w:ascii="宋体" w:hAnsi="宋体" w:eastAsia="宋体"/>
                <w:sz w:val="16"/>
              </w:rPr>
              <w:t>偏差原因：年初预计目标值设置不精准。改进措施：今后精准设置年初目标值</w:t>
            </w:r>
          </w:p>
        </w:tc>
      </w:tr>
      <w:tr w14:paraId="56F4A1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7DFC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F729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D6B0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BC5DE">
            <w:pPr>
              <w:jc w:val="center"/>
            </w:pPr>
            <w:r>
              <w:rPr>
                <w:rFonts w:ascii="宋体" w:hAnsi="宋体" w:eastAsia="宋体"/>
                <w:sz w:val="16"/>
              </w:rPr>
              <w:t>自治区财政补助经费使用率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3E4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0BCB5">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F32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DEB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3968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81AD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4724F">
            <w:pPr>
              <w:jc w:val="center"/>
            </w:pPr>
            <w:r>
              <w:rPr>
                <w:rFonts w:ascii="宋体" w:hAnsi="宋体" w:eastAsia="宋体"/>
                <w:sz w:val="16"/>
              </w:rPr>
              <w:t>=77.46%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155F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E17D5D">
            <w:pPr>
              <w:jc w:val="center"/>
            </w:pPr>
            <w:r>
              <w:rPr>
                <w:rFonts w:ascii="宋体" w:hAnsi="宋体" w:eastAsia="宋体"/>
                <w:sz w:val="16"/>
              </w:rPr>
              <w:t>偏差原因：该项目耳标资金有结转，计划2025年继续使用。改进措施：加快项目实施进度</w:t>
            </w:r>
          </w:p>
        </w:tc>
      </w:tr>
      <w:tr w14:paraId="7D6089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5F43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136D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FF91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5027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4B6E6">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CB53E">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2CF8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A995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3E7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5739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FED29">
            <w:pPr>
              <w:jc w:val="center"/>
            </w:pPr>
            <w:r>
              <w:rPr>
                <w:rFonts w:ascii="宋体" w:hAnsi="宋体" w:eastAsia="宋体"/>
                <w:sz w:val="16"/>
              </w:rPr>
              <w:t>=2024年8月27日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9A07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27EE84">
            <w:pPr>
              <w:jc w:val="center"/>
            </w:pPr>
          </w:p>
        </w:tc>
      </w:tr>
      <w:tr w14:paraId="748682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298B0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AA6AE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428B8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7917F">
            <w:pPr>
              <w:jc w:val="center"/>
            </w:pPr>
            <w:r>
              <w:rPr>
                <w:rFonts w:ascii="宋体" w:hAnsi="宋体" w:eastAsia="宋体"/>
                <w:sz w:val="16"/>
              </w:rPr>
              <w:t>购置牛羊酮体卡环资金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DD5F7">
            <w:pPr>
              <w:jc w:val="center"/>
            </w:pPr>
            <w:r>
              <w:rPr>
                <w:rFonts w:ascii="宋体" w:hAnsi="宋体" w:eastAsia="宋体"/>
                <w:sz w:val="16"/>
              </w:rPr>
              <w:t>&lt;=17.1万元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570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7F7B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72DB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5C2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42F4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DAC1F">
            <w:pPr>
              <w:jc w:val="center"/>
            </w:pPr>
            <w:r>
              <w:rPr>
                <w:rFonts w:ascii="宋体" w:hAnsi="宋体" w:eastAsia="宋体"/>
                <w:sz w:val="16"/>
              </w:rPr>
              <w:t>=17.1万元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9355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EB767D">
            <w:pPr>
              <w:jc w:val="center"/>
            </w:pPr>
          </w:p>
        </w:tc>
      </w:tr>
      <w:tr w14:paraId="57A82B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323C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8CA9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2270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153B5">
            <w:pPr>
              <w:jc w:val="center"/>
            </w:pPr>
            <w:r>
              <w:rPr>
                <w:rFonts w:ascii="宋体" w:hAnsi="宋体" w:eastAsia="宋体"/>
                <w:sz w:val="16"/>
              </w:rPr>
              <w:t>购置牛、羊、猪耳标资金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1D343">
            <w:pPr>
              <w:jc w:val="center"/>
            </w:pPr>
            <w:r>
              <w:rPr>
                <w:rFonts w:ascii="宋体" w:hAnsi="宋体" w:eastAsia="宋体"/>
                <w:sz w:val="16"/>
              </w:rPr>
              <w:t>&lt;=83.9万元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EE9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ABA7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698F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E87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4CA0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78F53">
            <w:pPr>
              <w:jc w:val="center"/>
            </w:pPr>
            <w:r>
              <w:rPr>
                <w:rFonts w:ascii="宋体" w:hAnsi="宋体" w:eastAsia="宋体"/>
                <w:sz w:val="16"/>
              </w:rPr>
              <w:t>=61.14万元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822D6">
            <w:pPr>
              <w:jc w:val="center"/>
            </w:pPr>
            <w:r>
              <w:rPr>
                <w:rFonts w:ascii="宋体" w:hAnsi="宋体" w:eastAsia="宋体"/>
                <w:sz w:val="16"/>
              </w:rPr>
              <w:t>3.22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2CD2C2">
            <w:pPr>
              <w:jc w:val="center"/>
            </w:pPr>
            <w:r>
              <w:rPr>
                <w:rFonts w:ascii="宋体" w:hAnsi="宋体" w:eastAsia="宋体"/>
                <w:sz w:val="16"/>
              </w:rPr>
              <w:t>偏差原因：该项目资金结转22.76万元，计划于2025年继续执行。改进措施：精确资金使用，制定详细的资金使用计划</w:t>
            </w:r>
          </w:p>
        </w:tc>
      </w:tr>
      <w:tr w14:paraId="792B79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F12E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5510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9E39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418BF">
            <w:pPr>
              <w:jc w:val="center"/>
            </w:pPr>
            <w:r>
              <w:rPr>
                <w:rFonts w:ascii="宋体" w:hAnsi="宋体" w:eastAsia="宋体"/>
                <w:sz w:val="16"/>
              </w:rPr>
              <w:t>动物来源和畜产品质量安全可追溯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9026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C5D46">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2176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8E94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317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CB60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C56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FD786">
            <w:pPr>
              <w:jc w:val="center"/>
            </w:pPr>
            <w:r>
              <w:rPr>
                <w:rFonts w:ascii="宋体" w:hAnsi="宋体" w:eastAsia="宋体"/>
                <w:sz w:val="16"/>
              </w:rPr>
              <w:t>18.95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02D908">
            <w:pPr>
              <w:jc w:val="center"/>
            </w:pPr>
            <w:r>
              <w:rPr>
                <w:rFonts w:ascii="宋体" w:hAnsi="宋体" w:eastAsia="宋体"/>
                <w:sz w:val="16"/>
              </w:rPr>
              <w:t>偏差原因：年初设置目标不精准。改进措施：精准化设置绩效目标</w:t>
            </w:r>
          </w:p>
        </w:tc>
      </w:tr>
      <w:tr w14:paraId="16C1BC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4E38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5376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3CFF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332C6">
            <w:pPr>
              <w:jc w:val="center"/>
            </w:pPr>
            <w:r>
              <w:rPr>
                <w:rFonts w:ascii="宋体" w:hAnsi="宋体" w:eastAsia="宋体"/>
                <w:sz w:val="16"/>
              </w:rPr>
              <w:t>消费者满意度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820B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7A1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8F2E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28C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ABA2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DCF3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E91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4C64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D647CE">
            <w:pPr>
              <w:jc w:val="center"/>
            </w:pPr>
            <w:r>
              <w:rPr>
                <w:rFonts w:ascii="宋体" w:hAnsi="宋体" w:eastAsia="宋体"/>
                <w:sz w:val="16"/>
              </w:rPr>
              <w:t>偏差原因：年初设置绩效目标不精准。改进措施：精细化工作，加强前期调研</w:t>
            </w:r>
          </w:p>
        </w:tc>
      </w:tr>
      <w:tr w14:paraId="3F20575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AC106">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0132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52E9D">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AFA41C0">
            <w:pPr>
              <w:jc w:val="center"/>
            </w:pPr>
            <w:r>
              <w:rPr>
                <w:rFonts w:ascii="宋体" w:hAnsi="宋体" w:eastAsia="宋体"/>
                <w:sz w:val="16"/>
              </w:rPr>
              <w:t>75.43分</w:t>
            </w:r>
          </w:p>
        </w:tc>
      </w:tr>
    </w:tbl>
    <w:p w14:paraId="52E0928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14:paraId="142C27FC">
        <w:tblPrEx>
          <w:tblCellMar>
            <w:top w:w="0" w:type="dxa"/>
            <w:left w:w="108" w:type="dxa"/>
            <w:bottom w:w="0" w:type="dxa"/>
            <w:right w:w="108" w:type="dxa"/>
          </w:tblCellMar>
        </w:tblPrEx>
        <w:tc>
          <w:tcPr>
            <w:tcW w:w="8848" w:type="dxa"/>
            <w:gridSpan w:val="14"/>
            <w:vAlign w:val="center"/>
          </w:tcPr>
          <w:p w14:paraId="58A849B5">
            <w:pPr>
              <w:jc w:val="center"/>
            </w:pPr>
            <w:r>
              <w:rPr>
                <w:rFonts w:ascii="宋体" w:hAnsi="宋体" w:eastAsia="宋体"/>
                <w:sz w:val="24"/>
              </w:rPr>
              <w:t>项目支出绩效自评表</w:t>
            </w:r>
          </w:p>
        </w:tc>
      </w:tr>
      <w:tr w14:paraId="3A04FFC2">
        <w:tblPrEx>
          <w:tblCellMar>
            <w:top w:w="0" w:type="dxa"/>
            <w:left w:w="108" w:type="dxa"/>
            <w:bottom w:w="0" w:type="dxa"/>
            <w:right w:w="108" w:type="dxa"/>
          </w:tblCellMar>
        </w:tblPrEx>
        <w:tc>
          <w:tcPr>
            <w:tcW w:w="8848" w:type="dxa"/>
            <w:gridSpan w:val="14"/>
            <w:vAlign w:val="center"/>
          </w:tcPr>
          <w:p w14:paraId="2E9E48BE">
            <w:pPr>
              <w:jc w:val="center"/>
            </w:pPr>
            <w:r>
              <w:rPr>
                <w:rFonts w:ascii="宋体" w:hAnsi="宋体" w:eastAsia="宋体"/>
                <w:sz w:val="24"/>
              </w:rPr>
              <w:t>(2024年度)</w:t>
            </w:r>
          </w:p>
        </w:tc>
      </w:tr>
      <w:tr w14:paraId="77C189E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5C83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C053156">
            <w:pPr>
              <w:jc w:val="center"/>
            </w:pPr>
            <w:r>
              <w:rPr>
                <w:rFonts w:ascii="宋体" w:hAnsi="宋体" w:eastAsia="宋体"/>
                <w:sz w:val="16"/>
              </w:rPr>
              <w:t>动物卫生服务指导项目</w:t>
            </w:r>
          </w:p>
        </w:tc>
      </w:tr>
      <w:tr w14:paraId="1C768B3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015D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0CB9BC">
            <w:pPr>
              <w:jc w:val="center"/>
            </w:pPr>
            <w:r>
              <w:rPr>
                <w:rFonts w:ascii="宋体" w:hAnsi="宋体" w:eastAsia="宋体"/>
                <w:sz w:val="16"/>
              </w:rPr>
              <w:t>喀什地区动物卫生服务站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4B3E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1DD881B">
            <w:pPr>
              <w:jc w:val="center"/>
            </w:pPr>
            <w:r>
              <w:rPr>
                <w:rFonts w:ascii="宋体" w:hAnsi="宋体" w:eastAsia="宋体"/>
                <w:sz w:val="16"/>
              </w:rPr>
              <w:t>喀什地区动物卫生服务站</w:t>
            </w:r>
          </w:p>
        </w:tc>
      </w:tr>
      <w:tr w14:paraId="1C2939B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60309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A8816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38143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94636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6A059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3DF03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CD500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696F6">
            <w:pPr>
              <w:jc w:val="center"/>
            </w:pPr>
            <w:r>
              <w:rPr>
                <w:rFonts w:ascii="宋体" w:hAnsi="宋体" w:eastAsia="宋体"/>
                <w:sz w:val="16"/>
              </w:rPr>
              <w:t>得分</w:t>
            </w:r>
          </w:p>
        </w:tc>
      </w:tr>
      <w:tr w14:paraId="186BC8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5FBE1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D6EE7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43F7AC">
            <w:pPr>
              <w:jc w:val="center"/>
            </w:pPr>
            <w:r>
              <w:rPr>
                <w:rFonts w:ascii="宋体" w:hAnsi="宋体" w:eastAsia="宋体"/>
                <w:sz w:val="16"/>
              </w:rPr>
              <w:t>2.40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29CFB">
            <w:pPr>
              <w:jc w:val="center"/>
            </w:pPr>
            <w:r>
              <w:rPr>
                <w:rFonts w:ascii="宋体" w:hAnsi="宋体" w:eastAsia="宋体"/>
                <w:sz w:val="16"/>
              </w:rPr>
              <w:t>2.40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41CCBF">
            <w:pPr>
              <w:jc w:val="center"/>
            </w:pPr>
            <w:r>
              <w:rPr>
                <w:rFonts w:ascii="宋体" w:hAnsi="宋体" w:eastAsia="宋体"/>
                <w:sz w:val="16"/>
              </w:rPr>
              <w:t>2.37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CB622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D70E17">
            <w:pPr>
              <w:jc w:val="center"/>
            </w:pPr>
            <w:r>
              <w:rPr>
                <w:rFonts w:ascii="宋体" w:hAnsi="宋体" w:eastAsia="宋体"/>
                <w:sz w:val="16"/>
              </w:rPr>
              <w:t>98.8%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A1E6F">
            <w:pPr>
              <w:jc w:val="center"/>
            </w:pPr>
            <w:r>
              <w:rPr>
                <w:rFonts w:ascii="宋体" w:hAnsi="宋体" w:eastAsia="宋体"/>
                <w:sz w:val="16"/>
              </w:rPr>
              <w:t>9.69分</w:t>
            </w:r>
          </w:p>
        </w:tc>
      </w:tr>
      <w:tr w14:paraId="1A2617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27847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C60C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6AD6BE">
            <w:pPr>
              <w:jc w:val="center"/>
            </w:pPr>
            <w:r>
              <w:rPr>
                <w:rFonts w:ascii="宋体" w:hAnsi="宋体" w:eastAsia="宋体"/>
                <w:sz w:val="16"/>
              </w:rPr>
              <w:t>2.40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1F8A4E">
            <w:pPr>
              <w:jc w:val="center"/>
            </w:pPr>
            <w:r>
              <w:rPr>
                <w:rFonts w:ascii="宋体" w:hAnsi="宋体" w:eastAsia="宋体"/>
                <w:sz w:val="16"/>
              </w:rPr>
              <w:t>2.40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1D4CC5">
            <w:pPr>
              <w:jc w:val="center"/>
            </w:pPr>
            <w:r>
              <w:rPr>
                <w:rFonts w:ascii="宋体" w:hAnsi="宋体" w:eastAsia="宋体"/>
                <w:sz w:val="16"/>
              </w:rPr>
              <w:t>2.37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54A49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8E335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BA4D1">
            <w:pPr>
              <w:jc w:val="center"/>
            </w:pPr>
            <w:r>
              <w:rPr>
                <w:rFonts w:ascii="宋体" w:hAnsi="宋体" w:eastAsia="宋体"/>
                <w:sz w:val="16"/>
              </w:rPr>
              <w:t>—</w:t>
            </w:r>
          </w:p>
        </w:tc>
      </w:tr>
      <w:tr w14:paraId="375FA7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B0ABE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56906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5D09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B16AE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63D07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F7610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EA428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4CFE0">
            <w:pPr>
              <w:jc w:val="center"/>
            </w:pPr>
            <w:r>
              <w:rPr>
                <w:rFonts w:ascii="宋体" w:hAnsi="宋体" w:eastAsia="宋体"/>
                <w:sz w:val="16"/>
              </w:rPr>
              <w:t>—</w:t>
            </w:r>
          </w:p>
        </w:tc>
      </w:tr>
      <w:tr w14:paraId="44DF58E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922FE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6FA2A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5314114">
            <w:pPr>
              <w:jc w:val="center"/>
            </w:pPr>
            <w:r>
              <w:rPr>
                <w:rFonts w:ascii="宋体" w:hAnsi="宋体" w:eastAsia="宋体"/>
                <w:sz w:val="16"/>
              </w:rPr>
              <w:t>实际完成情况</w:t>
            </w:r>
          </w:p>
        </w:tc>
      </w:tr>
      <w:tr w14:paraId="004AB8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06B17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CD6DA5">
            <w:pPr>
              <w:jc w:val="both"/>
            </w:pPr>
            <w:r>
              <w:rPr>
                <w:rFonts w:ascii="宋体" w:hAnsi="宋体" w:eastAsia="宋体"/>
                <w:sz w:val="16"/>
              </w:rPr>
              <w:t>喀什地区动物卫生服务站动物卫生服务项目资金2.4万元，其中差旅费1.44万元,其他交通费0.8万元，办公费0.16万元</w:t>
            </w:r>
            <w:r>
              <w:rPr>
                <w:rFonts w:hint="eastAsia" w:ascii="宋体" w:hAnsi="宋体"/>
                <w:sz w:val="16"/>
                <w:lang w:eastAsia="zh-CN"/>
              </w:rPr>
              <w:t>，</w:t>
            </w:r>
            <w:r>
              <w:rPr>
                <w:rFonts w:ascii="宋体" w:hAnsi="宋体" w:eastAsia="宋体"/>
                <w:sz w:val="16"/>
              </w:rPr>
              <w:br w:type="textWrapping"/>
            </w:r>
            <w:r>
              <w:rPr>
                <w:rFonts w:ascii="宋体" w:hAnsi="宋体" w:eastAsia="宋体"/>
                <w:sz w:val="16"/>
              </w:rPr>
              <w:t>为切实加快我</w:t>
            </w:r>
            <w:r>
              <w:rPr>
                <w:rFonts w:hint="eastAsia" w:ascii="宋体" w:hAnsi="宋体"/>
                <w:sz w:val="16"/>
                <w:lang w:eastAsia="zh-CN"/>
              </w:rPr>
              <w:t>站</w:t>
            </w:r>
            <w:r>
              <w:rPr>
                <w:rFonts w:ascii="宋体" w:hAnsi="宋体" w:eastAsia="宋体"/>
                <w:sz w:val="16"/>
              </w:rPr>
              <w:t>的“放管服”改革进程，我站切实履行服务指导职责和监管职责，强化服务指导效果和畜牧业项目管理和绩效评价，提高动物卫生服务综合业务能力，提</w:t>
            </w:r>
            <w:r>
              <w:rPr>
                <w:rFonts w:hint="eastAsia" w:ascii="宋体" w:hAnsi="宋体"/>
                <w:sz w:val="16"/>
                <w:lang w:eastAsia="zh-CN"/>
              </w:rPr>
              <w:t>高</w:t>
            </w:r>
            <w:r>
              <w:rPr>
                <w:rFonts w:hint="eastAsia" w:ascii="宋体" w:hAnsi="宋体"/>
                <w:sz w:val="16"/>
                <w:lang w:val="en-US" w:eastAsia="zh-CN"/>
              </w:rPr>
              <w:t>了</w:t>
            </w:r>
            <w:r>
              <w:rPr>
                <w:rFonts w:hint="eastAsia" w:ascii="宋体" w:hAnsi="宋体"/>
                <w:sz w:val="16"/>
                <w:lang w:eastAsia="zh-CN"/>
              </w:rPr>
              <w:t>项</w:t>
            </w:r>
            <w:r>
              <w:rPr>
                <w:rFonts w:ascii="宋体" w:hAnsi="宋体" w:eastAsia="宋体"/>
                <w:sz w:val="16"/>
              </w:rPr>
              <w:t>目资金使用效益，喀什地区动物</w:t>
            </w:r>
            <w:r>
              <w:rPr>
                <w:rFonts w:hint="eastAsia" w:ascii="宋体" w:hAnsi="宋体"/>
                <w:sz w:val="16"/>
                <w:lang w:eastAsia="zh-CN"/>
              </w:rPr>
              <w:t>卫生服务站</w:t>
            </w:r>
            <w:r>
              <w:rPr>
                <w:rFonts w:ascii="宋体" w:hAnsi="宋体" w:eastAsia="宋体"/>
                <w:sz w:val="16"/>
              </w:rPr>
              <w:t>将在2024年开展业务指导、规范检疫、加强证章管理、活畜市场监管、屠宰监</w:t>
            </w:r>
            <w:r>
              <w:rPr>
                <w:rFonts w:hint="eastAsia" w:ascii="宋体" w:hAnsi="宋体"/>
                <w:sz w:val="16"/>
                <w:lang w:eastAsia="zh-CN"/>
              </w:rPr>
              <w:t>管和</w:t>
            </w:r>
            <w:r>
              <w:rPr>
                <w:rFonts w:ascii="宋体" w:hAnsi="宋体" w:eastAsia="宋体"/>
                <w:sz w:val="16"/>
              </w:rPr>
              <w:t>流通环节监管及相关调研、《</w:t>
            </w:r>
            <w:r>
              <w:rPr>
                <w:rFonts w:hint="eastAsia" w:ascii="宋体" w:hAnsi="宋体"/>
                <w:sz w:val="16"/>
                <w:lang w:eastAsia="zh-CN"/>
              </w:rPr>
              <w:t>中华人民共和国动物防疫法</w:t>
            </w:r>
            <w:r>
              <w:rPr>
                <w:rFonts w:ascii="宋体" w:hAnsi="宋体" w:eastAsia="宋体"/>
                <w:sz w:val="16"/>
              </w:rPr>
              <w:t>》宣传、培训和安全生产、</w:t>
            </w:r>
            <w:r>
              <w:rPr>
                <w:rFonts w:hint="eastAsia" w:ascii="宋体" w:hAnsi="宋体"/>
                <w:sz w:val="16"/>
                <w:lang w:val="en-US" w:eastAsia="zh-CN"/>
              </w:rPr>
              <w:t>疫情</w:t>
            </w:r>
            <w:r>
              <w:rPr>
                <w:rFonts w:ascii="宋体" w:hAnsi="宋体" w:eastAsia="宋体"/>
                <w:sz w:val="16"/>
              </w:rPr>
              <w:t>防控等工作，确保动物</w:t>
            </w:r>
            <w:r>
              <w:rPr>
                <w:rFonts w:hint="eastAsia" w:ascii="宋体" w:hAnsi="宋体"/>
                <w:sz w:val="16"/>
                <w:lang w:val="en-US" w:eastAsia="zh-CN"/>
              </w:rPr>
              <w:t>疫情</w:t>
            </w:r>
            <w:r>
              <w:rPr>
                <w:rFonts w:ascii="宋体" w:hAnsi="宋体" w:eastAsia="宋体"/>
                <w:sz w:val="16"/>
              </w:rPr>
              <w:t>防治、畜产品质量安全和公共卫生安全。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42F4A0A">
            <w:pPr>
              <w:jc w:val="both"/>
            </w:pPr>
            <w:r>
              <w:rPr>
                <w:rFonts w:ascii="宋体" w:hAnsi="宋体" w:eastAsia="宋体"/>
                <w:sz w:val="16"/>
              </w:rPr>
              <w:t>项目资金支付2.37万元，完成了12县市技术服务指导。按期完成率达98.8%。项目的实施对开展动物及动物产品的检疫、落地监管、动物及动物产品的流通进行行</w:t>
            </w:r>
            <w:bookmarkStart w:id="0" w:name="_GoBack"/>
            <w:bookmarkEnd w:id="0"/>
            <w:r>
              <w:rPr>
                <w:rFonts w:ascii="宋体" w:hAnsi="宋体" w:eastAsia="宋体"/>
                <w:sz w:val="16"/>
              </w:rPr>
              <w:t>业监管，有效防治动物</w:t>
            </w:r>
            <w:r>
              <w:rPr>
                <w:rFonts w:hint="eastAsia" w:ascii="宋体" w:hAnsi="宋体"/>
                <w:sz w:val="16"/>
                <w:lang w:val="en-US" w:eastAsia="zh-CN"/>
              </w:rPr>
              <w:t>疫情</w:t>
            </w:r>
            <w:r>
              <w:rPr>
                <w:rFonts w:ascii="宋体" w:hAnsi="宋体" w:eastAsia="宋体"/>
                <w:sz w:val="16"/>
              </w:rPr>
              <w:t>的侵入和蔓延扩散，防治人畜共患病，保证了食品安全。</w:t>
            </w:r>
          </w:p>
        </w:tc>
      </w:tr>
      <w:tr w14:paraId="7F63F6E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4D952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0CEC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FB84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1A12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CA9F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E969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5DC5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A2F7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9C4E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AE60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5753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BF20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EEA430">
            <w:pPr>
              <w:jc w:val="center"/>
            </w:pPr>
            <w:r>
              <w:rPr>
                <w:rFonts w:ascii="宋体" w:hAnsi="宋体" w:eastAsia="宋体"/>
                <w:sz w:val="16"/>
              </w:rPr>
              <w:t>偏差原因分析及改进措施</w:t>
            </w:r>
          </w:p>
        </w:tc>
      </w:tr>
      <w:tr w14:paraId="57F308D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184CB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5C85A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332D8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A9EC0">
            <w:pPr>
              <w:jc w:val="center"/>
            </w:pPr>
            <w:r>
              <w:rPr>
                <w:rFonts w:ascii="宋体" w:hAnsi="宋体" w:eastAsia="宋体"/>
                <w:sz w:val="16"/>
              </w:rPr>
              <w:t>开展技术服务指导人数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8D146">
            <w:pPr>
              <w:jc w:val="center"/>
            </w:pPr>
            <w:r>
              <w:rPr>
                <w:rFonts w:ascii="宋体" w:hAnsi="宋体" w:eastAsia="宋体"/>
                <w:sz w:val="16"/>
              </w:rPr>
              <w:t>=2个人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8370C">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F57B9">
            <w:pPr>
              <w:jc w:val="center"/>
            </w:pPr>
            <w:r>
              <w:rPr>
                <w:rFonts w:ascii="宋体" w:hAnsi="宋体" w:eastAsia="宋体"/>
                <w:sz w:val="16"/>
              </w:rPr>
              <w:t>=2个人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6CEA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2BFC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4374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BE28B">
            <w:pPr>
              <w:jc w:val="center"/>
            </w:pPr>
            <w:r>
              <w:rPr>
                <w:rFonts w:ascii="宋体" w:hAnsi="宋体" w:eastAsia="宋体"/>
                <w:sz w:val="16"/>
              </w:rPr>
              <w:t>=2个人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CB4E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76B380">
            <w:pPr>
              <w:jc w:val="center"/>
            </w:pPr>
          </w:p>
        </w:tc>
      </w:tr>
      <w:tr w14:paraId="43B828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7F5F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C493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E0C2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DC13E">
            <w:pPr>
              <w:jc w:val="center"/>
            </w:pPr>
            <w:r>
              <w:rPr>
                <w:rFonts w:ascii="宋体" w:hAnsi="宋体" w:eastAsia="宋体"/>
                <w:sz w:val="16"/>
              </w:rPr>
              <w:t>技术服务指导覆盖县市个数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1ABFC">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A272C">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CAF42">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3BE5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F1E9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7ADB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409AE">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5A04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1E65CA">
            <w:pPr>
              <w:jc w:val="center"/>
            </w:pPr>
          </w:p>
        </w:tc>
      </w:tr>
      <w:tr w14:paraId="32FF89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4A13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2463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AF80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802A9">
            <w:pPr>
              <w:jc w:val="center"/>
            </w:pPr>
            <w:r>
              <w:rPr>
                <w:rFonts w:ascii="宋体" w:hAnsi="宋体" w:eastAsia="宋体"/>
                <w:sz w:val="16"/>
              </w:rPr>
              <w:t>技术服务指导项目资金执行率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030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1E3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6A1E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6E7B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2BD9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CA71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EDAE6">
            <w:pPr>
              <w:jc w:val="center"/>
            </w:pPr>
            <w:r>
              <w:rPr>
                <w:rFonts w:ascii="宋体" w:hAnsi="宋体" w:eastAsia="宋体"/>
                <w:sz w:val="16"/>
              </w:rPr>
              <w:t>=98.75%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39B5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21151D">
            <w:pPr>
              <w:jc w:val="center"/>
            </w:pPr>
            <w:r>
              <w:rPr>
                <w:rFonts w:ascii="宋体" w:hAnsi="宋体" w:eastAsia="宋体"/>
                <w:sz w:val="16"/>
              </w:rPr>
              <w:t>偏差原因：人员差旅费预算1.44万元，实际使用1.41万元。改进措施：加强预算管理，精准化预算编制</w:t>
            </w:r>
          </w:p>
        </w:tc>
      </w:tr>
      <w:tr w14:paraId="588AB6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BFCD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9C2B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CB5F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C6EB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5DD7F">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11E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D99F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B37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555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3BAA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D70EB">
            <w:pPr>
              <w:jc w:val="center"/>
            </w:pPr>
            <w:r>
              <w:rPr>
                <w:rFonts w:ascii="宋体" w:hAnsi="宋体" w:eastAsia="宋体"/>
                <w:sz w:val="16"/>
              </w:rPr>
              <w:t>=2024年12月19日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C956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D1BCB2">
            <w:pPr>
              <w:jc w:val="center"/>
            </w:pPr>
          </w:p>
        </w:tc>
      </w:tr>
      <w:tr w14:paraId="20E7CF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F5871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2E208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E76FE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CDC1B">
            <w:pPr>
              <w:jc w:val="center"/>
            </w:pPr>
            <w:r>
              <w:rPr>
                <w:rFonts w:ascii="宋体" w:hAnsi="宋体" w:eastAsia="宋体"/>
                <w:sz w:val="16"/>
              </w:rPr>
              <w:t>差旅费成本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0F1A0">
            <w:pPr>
              <w:jc w:val="center"/>
            </w:pPr>
            <w:r>
              <w:rPr>
                <w:rFonts w:ascii="宋体" w:hAnsi="宋体" w:eastAsia="宋体"/>
                <w:sz w:val="16"/>
              </w:rPr>
              <w:t>&lt;=1.44万元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6A4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CE70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C5C0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619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C541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51C90">
            <w:pPr>
              <w:jc w:val="center"/>
            </w:pPr>
            <w:r>
              <w:rPr>
                <w:rFonts w:ascii="宋体" w:hAnsi="宋体" w:eastAsia="宋体"/>
                <w:sz w:val="16"/>
              </w:rPr>
              <w:t>=1.41万元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D8ABF">
            <w:pPr>
              <w:jc w:val="center"/>
            </w:pPr>
            <w:r>
              <w:rPr>
                <w:rFonts w:ascii="宋体" w:hAnsi="宋体" w:eastAsia="宋体"/>
                <w:sz w:val="16"/>
              </w:rPr>
              <w:t>9.48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239535">
            <w:pPr>
              <w:jc w:val="center"/>
            </w:pPr>
            <w:r>
              <w:rPr>
                <w:rFonts w:ascii="宋体" w:hAnsi="宋体" w:eastAsia="宋体"/>
                <w:sz w:val="16"/>
              </w:rPr>
              <w:t>偏差原因：差旅费结余303.5元。改进措施：做好工作规划，加强资金管理</w:t>
            </w:r>
          </w:p>
        </w:tc>
      </w:tr>
      <w:tr w14:paraId="4153ED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DB0E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6758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3824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A0BAE">
            <w:pPr>
              <w:jc w:val="center"/>
            </w:pPr>
            <w:r>
              <w:rPr>
                <w:rFonts w:ascii="宋体" w:hAnsi="宋体" w:eastAsia="宋体"/>
                <w:sz w:val="16"/>
              </w:rPr>
              <w:t>其他经费成本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D4917">
            <w:pPr>
              <w:jc w:val="center"/>
            </w:pPr>
            <w:r>
              <w:rPr>
                <w:rFonts w:ascii="宋体" w:hAnsi="宋体" w:eastAsia="宋体"/>
                <w:sz w:val="16"/>
              </w:rPr>
              <w:t>&lt;=0.96万元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716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33C6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4673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9CA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841D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CCAD4">
            <w:pPr>
              <w:jc w:val="center"/>
            </w:pPr>
            <w:r>
              <w:rPr>
                <w:rFonts w:ascii="宋体" w:hAnsi="宋体" w:eastAsia="宋体"/>
                <w:sz w:val="16"/>
              </w:rPr>
              <w:t>=0.96万元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751F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6079B4">
            <w:pPr>
              <w:jc w:val="center"/>
            </w:pPr>
          </w:p>
        </w:tc>
      </w:tr>
      <w:tr w14:paraId="638F3C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8C5FC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97C9AD">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A6089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7E551">
            <w:pPr>
              <w:jc w:val="center"/>
            </w:pPr>
            <w:r>
              <w:rPr>
                <w:rFonts w:ascii="宋体" w:hAnsi="宋体" w:eastAsia="宋体"/>
                <w:sz w:val="16"/>
              </w:rPr>
              <w:t>降低违法违规出证行为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E4AFC">
            <w:pPr>
              <w:jc w:val="center"/>
            </w:pPr>
            <w:r>
              <w:rPr>
                <w:rFonts w:ascii="宋体" w:hAnsi="宋体" w:eastAsia="宋体"/>
                <w:sz w:val="16"/>
              </w:rPr>
              <w:t>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C6D05">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1C56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58A1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DCB6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699C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D087B">
            <w:pPr>
              <w:jc w:val="center"/>
            </w:pPr>
            <w:r>
              <w:rPr>
                <w:rFonts w:ascii="宋体" w:hAnsi="宋体" w:eastAsia="宋体"/>
                <w:sz w:val="16"/>
              </w:rPr>
              <w:t>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2AC4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845760">
            <w:pPr>
              <w:jc w:val="center"/>
            </w:pPr>
          </w:p>
        </w:tc>
      </w:tr>
      <w:tr w14:paraId="1DF39E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539A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AEEF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7845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B5ACC">
            <w:pPr>
              <w:jc w:val="center"/>
            </w:pPr>
            <w:r>
              <w:rPr>
                <w:rFonts w:ascii="宋体" w:hAnsi="宋体" w:eastAsia="宋体"/>
                <w:sz w:val="16"/>
              </w:rPr>
              <w:t>控制动物疫病传播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843C3">
            <w:pPr>
              <w:jc w:val="center"/>
            </w:pPr>
            <w:r>
              <w:rPr>
                <w:rFonts w:ascii="宋体" w:hAnsi="宋体" w:eastAsia="宋体"/>
                <w:sz w:val="16"/>
              </w:rPr>
              <w:t>控制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E84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1AE7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D8E1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DCA8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137D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7286D">
            <w:pPr>
              <w:jc w:val="center"/>
            </w:pPr>
            <w:r>
              <w:rPr>
                <w:rFonts w:ascii="宋体" w:hAnsi="宋体" w:eastAsia="宋体"/>
                <w:sz w:val="16"/>
              </w:rPr>
              <w:t>控制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7C6B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E3BE54">
            <w:pPr>
              <w:jc w:val="center"/>
            </w:pPr>
          </w:p>
        </w:tc>
      </w:tr>
      <w:tr w14:paraId="3B81FB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1AA8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BA97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5AFA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1CAF2">
            <w:pPr>
              <w:jc w:val="center"/>
            </w:pPr>
            <w:r>
              <w:rPr>
                <w:rFonts w:ascii="宋体" w:hAnsi="宋体" w:eastAsia="宋体"/>
                <w:sz w:val="16"/>
              </w:rPr>
              <w:t>官方兽医满意度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C30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EC210">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202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48DC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0167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04B2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784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FADF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4653B3">
            <w:pPr>
              <w:jc w:val="center"/>
            </w:pPr>
          </w:p>
        </w:tc>
      </w:tr>
      <w:tr w14:paraId="096B9EE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F43CE">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050B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5F840">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4CAE031">
            <w:pPr>
              <w:jc w:val="center"/>
            </w:pPr>
            <w:r>
              <w:rPr>
                <w:rFonts w:ascii="宋体" w:hAnsi="宋体" w:eastAsia="宋体"/>
                <w:sz w:val="16"/>
              </w:rPr>
              <w:t>89.17分</w:t>
            </w:r>
          </w:p>
        </w:tc>
      </w:tr>
    </w:tbl>
    <w:p w14:paraId="4F7B4D07">
      <w:r>
        <w:br w:type="page"/>
      </w:r>
    </w:p>
    <w:p w14:paraId="33597647">
      <w:pPr>
        <w:spacing w:line="640" w:lineRule="exact"/>
        <w:ind w:firstLine="640"/>
        <w:jc w:val="both"/>
        <w:outlineLvl w:val="2"/>
      </w:pPr>
      <w:r>
        <w:rPr>
          <w:rFonts w:ascii="黑体" w:hAnsi="黑体" w:eastAsia="黑体"/>
          <w:sz w:val="32"/>
        </w:rPr>
        <w:t>十二、其他需说明的事项</w:t>
      </w:r>
    </w:p>
    <w:p w14:paraId="424A794A">
      <w:pPr>
        <w:spacing w:line="580" w:lineRule="exact"/>
        <w:ind w:firstLine="640"/>
        <w:jc w:val="both"/>
      </w:pPr>
      <w:r>
        <w:rPr>
          <w:rFonts w:ascii="仿宋_GB2312" w:hAnsi="仿宋_GB2312" w:eastAsia="仿宋_GB2312"/>
          <w:b w:val="0"/>
          <w:sz w:val="32"/>
        </w:rPr>
        <w:t>本部门无其他需说明的事项。</w:t>
      </w:r>
    </w:p>
    <w:p w14:paraId="2E76A446">
      <w:r>
        <w:br w:type="page"/>
      </w:r>
    </w:p>
    <w:p w14:paraId="6AE38FC7">
      <w:pPr>
        <w:spacing w:line="240" w:lineRule="auto"/>
        <w:jc w:val="center"/>
        <w:outlineLvl w:val="1"/>
      </w:pPr>
      <w:r>
        <w:rPr>
          <w:rFonts w:ascii="黑体" w:hAnsi="黑体" w:eastAsia="黑体"/>
          <w:sz w:val="32"/>
        </w:rPr>
        <w:t>第三部分 专业名词解释</w:t>
      </w:r>
    </w:p>
    <w:p w14:paraId="7B23E418">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C8E8ECD">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668D879">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B22D51B">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2D9C842">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53A9A4C">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C0CBA70">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1ECAE7B">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166E7FA">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3EE4D8E">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52D8B13">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8C1BD0B">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980428F">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BF777A9">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BFA1003">
      <w:r>
        <w:br w:type="page"/>
      </w:r>
    </w:p>
    <w:p w14:paraId="52D8A27E">
      <w:pPr>
        <w:spacing w:line="240" w:lineRule="auto"/>
        <w:jc w:val="center"/>
        <w:outlineLvl w:val="1"/>
      </w:pPr>
      <w:r>
        <w:rPr>
          <w:rFonts w:ascii="黑体" w:hAnsi="黑体" w:eastAsia="黑体"/>
          <w:sz w:val="32"/>
        </w:rPr>
        <w:t>第四部分 部门决算报表（见附表）</w:t>
      </w:r>
    </w:p>
    <w:p w14:paraId="524F10FD">
      <w:pPr>
        <w:spacing w:line="240" w:lineRule="auto"/>
        <w:ind w:firstLine="640"/>
        <w:jc w:val="both"/>
      </w:pPr>
      <w:r>
        <w:rPr>
          <w:rFonts w:ascii="仿宋_GB2312" w:hAnsi="仿宋_GB2312" w:eastAsia="仿宋_GB2312"/>
          <w:b w:val="0"/>
          <w:sz w:val="32"/>
        </w:rPr>
        <w:t>一、《收入支出决算总表》</w:t>
      </w:r>
    </w:p>
    <w:p w14:paraId="3F7D7AEE">
      <w:pPr>
        <w:spacing w:line="240" w:lineRule="auto"/>
        <w:ind w:firstLine="640"/>
        <w:jc w:val="both"/>
      </w:pPr>
      <w:r>
        <w:rPr>
          <w:rFonts w:ascii="仿宋_GB2312" w:hAnsi="仿宋_GB2312" w:eastAsia="仿宋_GB2312"/>
          <w:b w:val="0"/>
          <w:sz w:val="32"/>
        </w:rPr>
        <w:t>二、《收入决算表》</w:t>
      </w:r>
    </w:p>
    <w:p w14:paraId="7C29C7C9">
      <w:pPr>
        <w:spacing w:line="240" w:lineRule="auto"/>
        <w:ind w:firstLine="640"/>
        <w:jc w:val="both"/>
      </w:pPr>
      <w:r>
        <w:rPr>
          <w:rFonts w:ascii="仿宋_GB2312" w:hAnsi="仿宋_GB2312" w:eastAsia="仿宋_GB2312"/>
          <w:b w:val="0"/>
          <w:sz w:val="32"/>
        </w:rPr>
        <w:t>三、《支出决算表》</w:t>
      </w:r>
    </w:p>
    <w:p w14:paraId="457D68E5">
      <w:pPr>
        <w:spacing w:line="240" w:lineRule="auto"/>
        <w:ind w:firstLine="640"/>
        <w:jc w:val="both"/>
      </w:pPr>
      <w:r>
        <w:rPr>
          <w:rFonts w:ascii="仿宋_GB2312" w:hAnsi="仿宋_GB2312" w:eastAsia="仿宋_GB2312"/>
          <w:b w:val="0"/>
          <w:sz w:val="32"/>
        </w:rPr>
        <w:t>四、《财政拨款收入支出决算总表》</w:t>
      </w:r>
    </w:p>
    <w:p w14:paraId="09D6F76D">
      <w:pPr>
        <w:spacing w:line="240" w:lineRule="auto"/>
        <w:ind w:firstLine="640"/>
        <w:jc w:val="both"/>
      </w:pPr>
      <w:r>
        <w:rPr>
          <w:rFonts w:ascii="仿宋_GB2312" w:hAnsi="仿宋_GB2312" w:eastAsia="仿宋_GB2312"/>
          <w:b w:val="0"/>
          <w:sz w:val="32"/>
        </w:rPr>
        <w:t>五、《一般公共预算财政拨款支出决算表》</w:t>
      </w:r>
    </w:p>
    <w:p w14:paraId="3178E121">
      <w:pPr>
        <w:spacing w:line="240" w:lineRule="auto"/>
        <w:ind w:firstLine="640"/>
        <w:jc w:val="both"/>
      </w:pPr>
      <w:r>
        <w:rPr>
          <w:rFonts w:ascii="仿宋_GB2312" w:hAnsi="仿宋_GB2312" w:eastAsia="仿宋_GB2312"/>
          <w:b w:val="0"/>
          <w:sz w:val="32"/>
        </w:rPr>
        <w:t>六、《一般公共预算财政拨款基本支出决算表》</w:t>
      </w:r>
    </w:p>
    <w:p w14:paraId="448110E8">
      <w:pPr>
        <w:spacing w:line="240" w:lineRule="auto"/>
        <w:ind w:firstLine="640"/>
        <w:jc w:val="both"/>
      </w:pPr>
      <w:r>
        <w:rPr>
          <w:rFonts w:ascii="仿宋_GB2312" w:hAnsi="仿宋_GB2312" w:eastAsia="仿宋_GB2312"/>
          <w:b w:val="0"/>
          <w:sz w:val="32"/>
        </w:rPr>
        <w:t>七、《政府性基金预算财政拨款收入支出决算表》</w:t>
      </w:r>
    </w:p>
    <w:p w14:paraId="331258DF">
      <w:pPr>
        <w:spacing w:line="240" w:lineRule="auto"/>
        <w:ind w:firstLine="640"/>
        <w:jc w:val="both"/>
      </w:pPr>
      <w:r>
        <w:rPr>
          <w:rFonts w:ascii="仿宋_GB2312" w:hAnsi="仿宋_GB2312" w:eastAsia="仿宋_GB2312"/>
          <w:b w:val="0"/>
          <w:sz w:val="32"/>
        </w:rPr>
        <w:t>八、《国有资本经营预算财政拨款收入支出决算表》</w:t>
      </w:r>
    </w:p>
    <w:p w14:paraId="70986340">
      <w:pPr>
        <w:spacing w:line="240" w:lineRule="auto"/>
        <w:ind w:firstLine="640"/>
        <w:jc w:val="both"/>
      </w:pPr>
      <w:r>
        <w:rPr>
          <w:rFonts w:ascii="仿宋_GB2312" w:hAnsi="仿宋_GB2312" w:eastAsia="仿宋_GB2312"/>
          <w:b w:val="0"/>
          <w:sz w:val="32"/>
        </w:rPr>
        <w:t>九、《财政拨款“三公”经费支出决算表》</w:t>
      </w:r>
    </w:p>
    <w:p w14:paraId="57A0A237">
      <w:pPr>
        <w:spacing w:line="240" w:lineRule="auto"/>
        <w:ind w:firstLine="640"/>
        <w:jc w:val="both"/>
      </w:pPr>
    </w:p>
    <w:p w14:paraId="7D96B83D">
      <w:pPr>
        <w:spacing w:line="240" w:lineRule="auto"/>
        <w:ind w:firstLine="640"/>
        <w:jc w:val="both"/>
      </w:pPr>
    </w:p>
    <w:p w14:paraId="2B6D0BC3">
      <w:pPr>
        <w:spacing w:line="240" w:lineRule="auto"/>
        <w:ind w:firstLine="640"/>
        <w:jc w:val="both"/>
      </w:pPr>
    </w:p>
    <w:p w14:paraId="4DCB943F">
      <w:pPr>
        <w:spacing w:line="240" w:lineRule="auto"/>
        <w:ind w:firstLine="640"/>
        <w:jc w:val="both"/>
      </w:pPr>
    </w:p>
    <w:p w14:paraId="671307DD">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94F4E26-4F7E-4FDA-81B5-A90548DF629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2871D7EF-0F93-4BBE-B75E-AEE7008BBFCB}"/>
  </w:font>
  <w:font w:name="方正小标宋_GBK">
    <w:panose1 w:val="02000000000000000000"/>
    <w:charset w:val="86"/>
    <w:family w:val="script"/>
    <w:pitch w:val="default"/>
    <w:sig w:usb0="A00002BF" w:usb1="38CF7CFA" w:usb2="00082016" w:usb3="00000000" w:csb0="00040001" w:csb1="00000000"/>
    <w:embedRegular r:id="rId3" w:fontKey="{0447F1FC-9F25-4DB5-928E-8BBE32B929F1}"/>
  </w:font>
  <w:font w:name="楷体_GB2312">
    <w:altName w:val="楷体"/>
    <w:panose1 w:val="02010609030101010101"/>
    <w:charset w:val="86"/>
    <w:family w:val="auto"/>
    <w:pitch w:val="default"/>
    <w:sig w:usb0="00000000" w:usb1="00000000" w:usb2="00000000" w:usb3="00000000" w:csb0="00040000" w:csb1="00000000"/>
    <w:embedRegular r:id="rId4" w:fontKey="{B43F1919-1D3C-4408-8F04-9E34BCA33882}"/>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8ED0B34"/>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998499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89B5DB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6786</Words>
  <Characters>7708</Characters>
  <Lines>0</Lines>
  <Paragraphs>0</Paragraphs>
  <TotalTime>10</TotalTime>
  <ScaleCrop>false</ScaleCrop>
  <LinksUpToDate>false</LinksUpToDate>
  <CharactersWithSpaces>7716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2025-09-29T04:30:56Z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