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E7D4BE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喀什地区城乡供水总站</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bookmarkStart w:id="0" w:name="_GoBack"/>
      <w:bookmarkEnd w:id="0"/>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3DC05EF">
      <w:r>
        <w:br w:type="page"/>
      </w:r>
    </w:p>
    <w:p w14:paraId="0F52DA02">
      <w:pPr>
        <w:spacing w:line="640" w:lineRule="exact"/>
        <w:jc w:val="center"/>
        <w:outlineLvl w:val="1"/>
      </w:pPr>
      <w:r>
        <w:rPr>
          <w:rFonts w:ascii="黑体" w:hAnsi="黑体" w:eastAsia="黑体"/>
          <w:sz w:val="32"/>
        </w:rPr>
        <w:t>第一部分 部门概况</w:t>
      </w:r>
    </w:p>
    <w:p w14:paraId="1FDDAF17">
      <w:pPr>
        <w:spacing w:line="640" w:lineRule="exact"/>
        <w:ind w:firstLine="640"/>
        <w:jc w:val="both"/>
        <w:outlineLvl w:val="2"/>
      </w:pPr>
      <w:r>
        <w:rPr>
          <w:rFonts w:ascii="黑体" w:hAnsi="黑体" w:eastAsia="黑体"/>
          <w:sz w:val="32"/>
        </w:rPr>
        <w:t>一、主要职能</w:t>
      </w:r>
    </w:p>
    <w:p w14:paraId="18CA1ED7">
      <w:pPr>
        <w:spacing w:line="580" w:lineRule="exact"/>
        <w:ind w:firstLine="640"/>
        <w:jc w:val="both"/>
      </w:pPr>
      <w:r>
        <w:rPr>
          <w:rFonts w:ascii="仿宋_GB2312" w:hAnsi="仿宋_GB2312" w:eastAsia="仿宋_GB2312"/>
          <w:sz w:val="32"/>
        </w:rPr>
        <w:t>（一）负责全地区城乡供水工程运行管理工作，为城乡供水工程运行管理提供技术支撑和服务；承担地区城乡供水工程运行管理培训、城乡供水体制和运行机制改革的调查研究等工作。</w:t>
      </w:r>
    </w:p>
    <w:p w14:paraId="5F7913DB">
      <w:pPr>
        <w:spacing w:line="580" w:lineRule="exact"/>
        <w:ind w:firstLine="640"/>
        <w:jc w:val="both"/>
      </w:pPr>
      <w:r>
        <w:rPr>
          <w:rFonts w:ascii="仿宋_GB2312" w:hAnsi="仿宋_GB2312" w:eastAsia="仿宋_GB2312"/>
          <w:sz w:val="32"/>
        </w:rPr>
        <w:t>（二）负责协调指导县市城乡供水工程运行管理、供水调度、水源地保护及水质监测工作。</w:t>
      </w:r>
    </w:p>
    <w:p w14:paraId="253B2A51">
      <w:pPr>
        <w:spacing w:line="580" w:lineRule="exact"/>
        <w:ind w:firstLine="640"/>
        <w:jc w:val="both"/>
      </w:pPr>
      <w:r>
        <w:rPr>
          <w:rFonts w:ascii="仿宋_GB2312" w:hAnsi="仿宋_GB2312" w:eastAsia="仿宋_GB2312"/>
          <w:sz w:val="32"/>
        </w:rPr>
        <w:t>（三）负责新建跨县市城乡供水工程规划、建设管理、运行管理和升级改造；承担跨县市城乡供水工程国有固定资产管理、安全保卫、安全运行调度和水费收支等工作。</w:t>
      </w:r>
    </w:p>
    <w:p w14:paraId="2550F457">
      <w:pPr>
        <w:spacing w:line="640" w:lineRule="exact"/>
        <w:ind w:firstLine="640"/>
        <w:jc w:val="both"/>
        <w:outlineLvl w:val="2"/>
      </w:pPr>
      <w:r>
        <w:rPr>
          <w:rFonts w:ascii="黑体" w:hAnsi="黑体" w:eastAsia="黑体"/>
          <w:sz w:val="32"/>
        </w:rPr>
        <w:t>二、机构设置及人员情况</w:t>
      </w:r>
    </w:p>
    <w:p w14:paraId="10DC241C">
      <w:pPr>
        <w:spacing w:line="580" w:lineRule="exact"/>
        <w:ind w:firstLine="640"/>
        <w:jc w:val="both"/>
      </w:pPr>
      <w:r>
        <w:rPr>
          <w:rFonts w:ascii="仿宋_GB2312" w:hAnsi="仿宋_GB2312" w:eastAsia="仿宋_GB2312"/>
          <w:sz w:val="32"/>
        </w:rPr>
        <w:t>喀什地区城乡供水总站2024年度，实有人数58人，其中：在职人员58人，增加17人；离休人员0人，增加0人；退休人员0人,增加0人。</w:t>
      </w:r>
    </w:p>
    <w:p w14:paraId="0882B9A2">
      <w:pPr>
        <w:spacing w:line="580" w:lineRule="exact"/>
        <w:ind w:firstLine="640"/>
        <w:jc w:val="both"/>
      </w:pPr>
      <w:r>
        <w:rPr>
          <w:rFonts w:ascii="仿宋_GB2312" w:hAnsi="仿宋_GB2312" w:eastAsia="仿宋_GB2312"/>
          <w:sz w:val="32"/>
        </w:rPr>
        <w:t>喀什地区城乡供水总站无下属预算单位，下设8个科室，分别是：办公室、党建办、水厂运维管理股、供水调度股、管线管护股、水质检测股、水源保障股、计划规划财务股。</w:t>
      </w:r>
    </w:p>
    <w:p w14:paraId="37170344">
      <w:r>
        <w:br w:type="page"/>
      </w:r>
    </w:p>
    <w:p w14:paraId="73EAE8CD">
      <w:pPr>
        <w:spacing w:line="240" w:lineRule="auto"/>
        <w:jc w:val="center"/>
        <w:outlineLvl w:val="1"/>
      </w:pPr>
      <w:r>
        <w:rPr>
          <w:rFonts w:ascii="黑体" w:hAnsi="黑体" w:eastAsia="黑体"/>
          <w:sz w:val="32"/>
        </w:rPr>
        <w:t>第二部分 部门决算情况说明</w:t>
      </w:r>
    </w:p>
    <w:p w14:paraId="1351DCF7">
      <w:pPr>
        <w:spacing w:line="640" w:lineRule="exact"/>
        <w:ind w:firstLine="640"/>
        <w:jc w:val="both"/>
        <w:outlineLvl w:val="2"/>
      </w:pPr>
      <w:r>
        <w:rPr>
          <w:rFonts w:ascii="黑体" w:hAnsi="黑体" w:eastAsia="黑体"/>
          <w:sz w:val="32"/>
        </w:rPr>
        <w:t>一、收入支出决算总体情况说明</w:t>
      </w:r>
    </w:p>
    <w:p w14:paraId="37AAD99F">
      <w:pPr>
        <w:spacing w:line="580" w:lineRule="exact"/>
        <w:ind w:firstLine="640"/>
        <w:jc w:val="both"/>
      </w:pPr>
      <w:r>
        <w:rPr>
          <w:rFonts w:ascii="仿宋_GB2312" w:hAnsi="仿宋_GB2312" w:eastAsia="仿宋_GB2312"/>
          <w:b/>
          <w:sz w:val="32"/>
        </w:rPr>
        <w:t>2024年度收入总计1,927.64万元，</w:t>
      </w:r>
      <w:r>
        <w:rPr>
          <w:rFonts w:ascii="仿宋_GB2312" w:hAnsi="仿宋_GB2312" w:eastAsia="仿宋_GB2312"/>
          <w:b w:val="0"/>
          <w:sz w:val="32"/>
        </w:rPr>
        <w:t>其中：本年收入合计1,927.64万元，使用非财政拨款结余（含专用结余）0.00万元，年初结转和结余0.00万元。</w:t>
      </w:r>
    </w:p>
    <w:p w14:paraId="3814DD4F">
      <w:pPr>
        <w:spacing w:line="580" w:lineRule="exact"/>
        <w:ind w:firstLine="640"/>
        <w:jc w:val="both"/>
      </w:pPr>
      <w:r>
        <w:rPr>
          <w:rFonts w:ascii="仿宋_GB2312" w:hAnsi="仿宋_GB2312" w:eastAsia="仿宋_GB2312"/>
          <w:b/>
          <w:sz w:val="32"/>
        </w:rPr>
        <w:t>2024年度支出总计1,927.64万元，</w:t>
      </w:r>
      <w:r>
        <w:rPr>
          <w:rFonts w:ascii="仿宋_GB2312" w:hAnsi="仿宋_GB2312" w:eastAsia="仿宋_GB2312"/>
          <w:b w:val="0"/>
          <w:sz w:val="32"/>
        </w:rPr>
        <w:t>其中：本年支出合计1,927.64万元，结余分配0.00万元，年末结转和结余0.00万元。</w:t>
      </w:r>
    </w:p>
    <w:p w14:paraId="2916B57E">
      <w:pPr>
        <w:spacing w:line="580" w:lineRule="exact"/>
        <w:ind w:firstLine="640"/>
        <w:jc w:val="both"/>
      </w:pPr>
      <w:r>
        <w:rPr>
          <w:rFonts w:ascii="仿宋_GB2312" w:hAnsi="仿宋_GB2312" w:eastAsia="仿宋_GB2312"/>
          <w:b w:val="0"/>
          <w:sz w:val="32"/>
        </w:rPr>
        <w:t>收入支出总体与上年相比，增加432.41万元，增长28.92%，主要原因是：本年在职人员增加，在职人员工资调增、社保、公积金基数调增，人员经费增加。本年增加城乡饮水安全工程运行及保障项目，经费较上年增加。</w:t>
      </w:r>
    </w:p>
    <w:p w14:paraId="3DC5C483">
      <w:pPr>
        <w:spacing w:line="640" w:lineRule="exact"/>
        <w:ind w:firstLine="640"/>
        <w:jc w:val="both"/>
        <w:outlineLvl w:val="2"/>
      </w:pPr>
      <w:r>
        <w:rPr>
          <w:rFonts w:ascii="黑体" w:hAnsi="黑体" w:eastAsia="黑体"/>
          <w:sz w:val="32"/>
        </w:rPr>
        <w:t>二、收入决算情况说明</w:t>
      </w:r>
    </w:p>
    <w:p w14:paraId="46440880">
      <w:pPr>
        <w:spacing w:line="580" w:lineRule="exact"/>
        <w:ind w:firstLine="640"/>
        <w:jc w:val="both"/>
      </w:pPr>
      <w:r>
        <w:rPr>
          <w:rFonts w:ascii="仿宋_GB2312" w:hAnsi="仿宋_GB2312" w:eastAsia="仿宋_GB2312"/>
          <w:b/>
          <w:sz w:val="32"/>
        </w:rPr>
        <w:t>本年收入1,927.64万元，</w:t>
      </w:r>
      <w:r>
        <w:rPr>
          <w:rFonts w:ascii="仿宋_GB2312" w:hAnsi="仿宋_GB2312" w:eastAsia="仿宋_GB2312"/>
          <w:b w:val="0"/>
          <w:sz w:val="32"/>
        </w:rPr>
        <w:t>其中：财政拨款收入701.66万元，占36.40%；上级补助收入0.00万元，占0.00%；事业收入1,225.98万元，占63.60%；经营收入0.00万元，占0.00%；附属单位上缴收入0.00万元，占0.00%；其他收入0.00万元，占0.00%。</w:t>
      </w:r>
    </w:p>
    <w:p w14:paraId="52E1BF93">
      <w:pPr>
        <w:spacing w:line="640" w:lineRule="exact"/>
        <w:ind w:firstLine="640"/>
        <w:jc w:val="both"/>
        <w:outlineLvl w:val="2"/>
      </w:pPr>
      <w:r>
        <w:rPr>
          <w:rFonts w:ascii="黑体" w:hAnsi="黑体" w:eastAsia="黑体"/>
          <w:sz w:val="32"/>
        </w:rPr>
        <w:t>三、支出决算情况说明</w:t>
      </w:r>
    </w:p>
    <w:p w14:paraId="73A4EDBB">
      <w:pPr>
        <w:spacing w:line="580" w:lineRule="exact"/>
        <w:ind w:firstLine="640"/>
        <w:jc w:val="both"/>
      </w:pPr>
      <w:r>
        <w:rPr>
          <w:rFonts w:ascii="仿宋_GB2312" w:hAnsi="仿宋_GB2312" w:eastAsia="仿宋_GB2312"/>
          <w:b/>
          <w:sz w:val="32"/>
        </w:rPr>
        <w:t>本年支出1,927.64万元，</w:t>
      </w:r>
      <w:r>
        <w:rPr>
          <w:rFonts w:ascii="仿宋_GB2312" w:hAnsi="仿宋_GB2312" w:eastAsia="仿宋_GB2312"/>
          <w:b w:val="0"/>
          <w:sz w:val="32"/>
        </w:rPr>
        <w:t>其中：基本支出740.36万元，占38.41%；项目支出1,187.28万元，占61.59%；上缴上级支出0.00万元，占0.00%；经营支出0.00万元，占0.00%；对附属单位补助支出0.00万元，占0.00%。</w:t>
      </w:r>
    </w:p>
    <w:p w14:paraId="03E4E016">
      <w:pPr>
        <w:spacing w:line="640" w:lineRule="exact"/>
        <w:ind w:firstLine="640"/>
        <w:jc w:val="both"/>
        <w:outlineLvl w:val="2"/>
      </w:pPr>
      <w:r>
        <w:rPr>
          <w:rFonts w:ascii="黑体" w:hAnsi="黑体" w:eastAsia="黑体"/>
          <w:sz w:val="32"/>
        </w:rPr>
        <w:t>四、财政拨款收入支出决算总体情况说明</w:t>
      </w:r>
    </w:p>
    <w:p w14:paraId="03EB775C">
      <w:pPr>
        <w:spacing w:line="580" w:lineRule="exact"/>
        <w:ind w:firstLine="640"/>
        <w:jc w:val="both"/>
      </w:pPr>
      <w:r>
        <w:rPr>
          <w:rFonts w:ascii="仿宋_GB2312" w:hAnsi="仿宋_GB2312" w:eastAsia="仿宋_GB2312"/>
          <w:b/>
          <w:sz w:val="32"/>
        </w:rPr>
        <w:t>2024年度财政拨款收入总计701.66万元，</w:t>
      </w:r>
      <w:r>
        <w:rPr>
          <w:rFonts w:ascii="仿宋_GB2312" w:hAnsi="仿宋_GB2312" w:eastAsia="仿宋_GB2312"/>
          <w:b w:val="0"/>
          <w:sz w:val="32"/>
        </w:rPr>
        <w:t>其中：年初财政拨款结转和结余0.00万元，本年财政拨款收入701.66万元。</w:t>
      </w:r>
      <w:r>
        <w:rPr>
          <w:rFonts w:ascii="仿宋_GB2312" w:hAnsi="仿宋_GB2312" w:eastAsia="仿宋_GB2312"/>
          <w:b/>
          <w:sz w:val="32"/>
        </w:rPr>
        <w:t>财政拨款支出总计701.66万元，</w:t>
      </w:r>
      <w:r>
        <w:rPr>
          <w:rFonts w:ascii="仿宋_GB2312" w:hAnsi="仿宋_GB2312" w:eastAsia="仿宋_GB2312"/>
          <w:b w:val="0"/>
          <w:sz w:val="32"/>
        </w:rPr>
        <w:t>其中：年末财政拨款结转和结余0.00万元，本年财政拨款支出701.66万元。</w:t>
      </w:r>
    </w:p>
    <w:p w14:paraId="486BA49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增加186.95万元，增长36.32%，主要原因是：本年在职人员增加，在职人员工资调增、社保、公积金基数调增，人员经费增加，导致经费较上年增加。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年初预算数537.22万元，决算数701.66万元，预决算差异率30.61%，主要原因是：本年在职人员增加，年中追加人员经费及人员工资、社保、公积金基数调增部分资金，导致预决算存在差异。</w:t>
      </w:r>
    </w:p>
    <w:p w14:paraId="0205668E">
      <w:pPr>
        <w:spacing w:line="640" w:lineRule="exact"/>
        <w:ind w:firstLine="640"/>
        <w:jc w:val="both"/>
        <w:outlineLvl w:val="2"/>
      </w:pPr>
      <w:r>
        <w:rPr>
          <w:rFonts w:ascii="黑体" w:hAnsi="黑体" w:eastAsia="黑体"/>
          <w:sz w:val="32"/>
        </w:rPr>
        <w:t>五、一般公共预算财政拨款支出决算情况说明</w:t>
      </w:r>
    </w:p>
    <w:p w14:paraId="428A778E">
      <w:pPr>
        <w:spacing w:line="640" w:lineRule="exact"/>
        <w:ind w:firstLine="640"/>
        <w:jc w:val="both"/>
        <w:outlineLvl w:val="3"/>
      </w:pPr>
      <w:r>
        <w:rPr>
          <w:rFonts w:ascii="楷体_GB2312" w:hAnsi="楷体_GB2312" w:eastAsia="楷体_GB2312"/>
          <w:b/>
          <w:sz w:val="32"/>
        </w:rPr>
        <w:t>（一）一般公共预算财政拨款支出决算总体情况</w:t>
      </w:r>
    </w:p>
    <w:p w14:paraId="1DA60855">
      <w:pPr>
        <w:spacing w:line="580" w:lineRule="exact"/>
        <w:ind w:firstLine="640"/>
        <w:jc w:val="both"/>
      </w:pPr>
      <w:r>
        <w:rPr>
          <w:rFonts w:ascii="仿宋_GB2312" w:hAnsi="仿宋_GB2312" w:eastAsia="仿宋_GB2312"/>
          <w:b/>
          <w:sz w:val="32"/>
        </w:rPr>
        <w:t>2024年度一般公共预算财政拨款支出701.66万元，</w:t>
      </w:r>
      <w:r>
        <w:rPr>
          <w:rFonts w:ascii="仿宋_GB2312" w:hAnsi="仿宋_GB2312" w:eastAsia="仿宋_GB2312"/>
          <w:b w:val="0"/>
          <w:sz w:val="32"/>
        </w:rPr>
        <w:t>占本年支出合计的36.40%。</w:t>
      </w:r>
      <w:r>
        <w:rPr>
          <w:rFonts w:ascii="仿宋_GB2312" w:hAnsi="仿宋_GB2312" w:eastAsia="仿宋_GB2312"/>
          <w:b/>
          <w:sz w:val="32"/>
        </w:rPr>
        <w:t>与上年相比，</w:t>
      </w:r>
      <w:r>
        <w:rPr>
          <w:rFonts w:ascii="仿宋_GB2312" w:hAnsi="仿宋_GB2312" w:eastAsia="仿宋_GB2312"/>
          <w:b w:val="0"/>
          <w:sz w:val="32"/>
        </w:rPr>
        <w:t>增加186.95万元，增长36.32%，主要原因是：本年在职人员增加，在职人员工资调增、社保、公积金基数调增，人员经费增加，导致经费较上年增加。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年初预算数537.22万元，决算数701.66万元，预决算差异率30.61%，主要原因是：本年在职人员增加，年中追加人员经费及人员工资、社保、公积金基数调增部分资金，导致预决算存在差异。</w:t>
      </w:r>
    </w:p>
    <w:p w14:paraId="072DF905">
      <w:pPr>
        <w:spacing w:line="640" w:lineRule="exact"/>
        <w:ind w:firstLine="640"/>
        <w:jc w:val="both"/>
        <w:outlineLvl w:val="3"/>
      </w:pPr>
      <w:r>
        <w:rPr>
          <w:rFonts w:ascii="楷体_GB2312" w:hAnsi="楷体_GB2312" w:eastAsia="楷体_GB2312"/>
          <w:b/>
          <w:sz w:val="32"/>
        </w:rPr>
        <w:t>（二）一般公共预算财政拨款支出决算结构情况</w:t>
      </w:r>
    </w:p>
    <w:p w14:paraId="57194AF9">
      <w:pPr>
        <w:spacing w:line="580" w:lineRule="exact"/>
        <w:ind w:firstLine="640"/>
        <w:jc w:val="both"/>
      </w:pPr>
      <w:r>
        <w:rPr>
          <w:rFonts w:ascii="仿宋_GB2312" w:hAnsi="仿宋_GB2312" w:eastAsia="仿宋_GB2312"/>
          <w:b w:val="0"/>
          <w:sz w:val="32"/>
        </w:rPr>
        <w:t>1.社会保障和就业支出(类)74.23万元,占10.58%。</w:t>
      </w:r>
    </w:p>
    <w:p w14:paraId="3BF644E7">
      <w:pPr>
        <w:spacing w:line="580" w:lineRule="exact"/>
        <w:ind w:firstLine="640"/>
        <w:jc w:val="both"/>
      </w:pPr>
      <w:r>
        <w:rPr>
          <w:rFonts w:ascii="仿宋_GB2312" w:hAnsi="仿宋_GB2312" w:eastAsia="仿宋_GB2312"/>
          <w:b w:val="0"/>
          <w:sz w:val="32"/>
        </w:rPr>
        <w:t>2.卫生健康支出(类)31.55万元,占4.50%。</w:t>
      </w:r>
    </w:p>
    <w:p w14:paraId="29C6E83A">
      <w:pPr>
        <w:spacing w:line="580" w:lineRule="exact"/>
        <w:ind w:firstLine="640"/>
        <w:jc w:val="both"/>
      </w:pPr>
      <w:r>
        <w:rPr>
          <w:rFonts w:ascii="仿宋_GB2312" w:hAnsi="仿宋_GB2312" w:eastAsia="仿宋_GB2312"/>
          <w:b w:val="0"/>
          <w:sz w:val="32"/>
        </w:rPr>
        <w:t>3.农林水支出(类)536.18万元,占76.42%。</w:t>
      </w:r>
    </w:p>
    <w:p w14:paraId="0B0E994C">
      <w:pPr>
        <w:spacing w:line="580" w:lineRule="exact"/>
        <w:ind w:firstLine="640"/>
        <w:jc w:val="both"/>
      </w:pPr>
      <w:r>
        <w:rPr>
          <w:rFonts w:ascii="仿宋_GB2312" w:hAnsi="仿宋_GB2312" w:eastAsia="仿宋_GB2312"/>
          <w:b w:val="0"/>
          <w:sz w:val="32"/>
        </w:rPr>
        <w:t>4.住房保障支出(类)59.70万元,占8.51%。</w:t>
      </w:r>
    </w:p>
    <w:p w14:paraId="01CB3535">
      <w:pPr>
        <w:spacing w:line="640" w:lineRule="exact"/>
        <w:ind w:firstLine="640"/>
        <w:jc w:val="both"/>
        <w:outlineLvl w:val="3"/>
      </w:pPr>
      <w:r>
        <w:rPr>
          <w:rFonts w:ascii="楷体_GB2312" w:hAnsi="楷体_GB2312" w:eastAsia="楷体_GB2312"/>
          <w:b/>
          <w:sz w:val="32"/>
        </w:rPr>
        <w:t>（三）一般公共预算财政拨款支出决算具体情况</w:t>
      </w:r>
    </w:p>
    <w:p w14:paraId="53A79582">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74.23万元，比上年决算增加27.20万元，增长57.84%,主要原因是：本年在职人员增加，养老保险缴费较上年增加。</w:t>
      </w:r>
    </w:p>
    <w:p w14:paraId="7268E36C">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0.00万元，比上年决算减少7.08万元，下降100.00%,主要原因是：本年无新增调出人员，职业年金缴费较上年减少。</w:t>
      </w:r>
    </w:p>
    <w:p w14:paraId="0D7E0B1B">
      <w:pPr>
        <w:spacing w:line="580" w:lineRule="exact"/>
        <w:ind w:firstLine="640"/>
        <w:jc w:val="both"/>
      </w:pPr>
      <w:r>
        <w:rPr>
          <w:rFonts w:ascii="仿宋_GB2312" w:hAnsi="仿宋_GB2312" w:eastAsia="仿宋_GB2312"/>
          <w:b w:val="0"/>
          <w:sz w:val="32"/>
        </w:rPr>
        <w:t>3.卫生健康支出(类)行政事业单位医疗(款)事业单位医疗(项):支出决算数为31.55万元，比上年决算增加11.55万元，增长57.75%,主要原因是：本年在职人员增加，事业单位医疗支出较上年增加。</w:t>
      </w:r>
    </w:p>
    <w:p w14:paraId="7321046E">
      <w:pPr>
        <w:spacing w:line="580" w:lineRule="exact"/>
        <w:ind w:firstLine="640"/>
        <w:jc w:val="both"/>
      </w:pPr>
      <w:r>
        <w:rPr>
          <w:rFonts w:ascii="仿宋_GB2312" w:hAnsi="仿宋_GB2312" w:eastAsia="仿宋_GB2312"/>
          <w:b w:val="0"/>
          <w:sz w:val="32"/>
        </w:rPr>
        <w:t>4.农林水支出(类)水利(款)水利工程运行与维护(项):支出决算数为535.18万元，比上年决算增加135.35万元，增长33.85%,主要原因是：本年在职人员增加，工资调薪，相关人员经费增加。</w:t>
      </w:r>
    </w:p>
    <w:p w14:paraId="69AA7B89">
      <w:pPr>
        <w:spacing w:line="580" w:lineRule="exact"/>
        <w:ind w:firstLine="640"/>
        <w:jc w:val="both"/>
      </w:pPr>
      <w:r>
        <w:rPr>
          <w:rFonts w:ascii="仿宋_GB2312" w:hAnsi="仿宋_GB2312" w:eastAsia="仿宋_GB2312"/>
          <w:b w:val="0"/>
          <w:sz w:val="32"/>
        </w:rPr>
        <w:t>5.农林水支出(类)水利(款)江河湖库水系综合整治(项):支出决算数为1.00万元，比上年决算增加1.00万元，增长100.00%,主要原因是：本年专项项目经费增加。</w:t>
      </w:r>
    </w:p>
    <w:p w14:paraId="3BB1CBC3">
      <w:pPr>
        <w:spacing w:line="580" w:lineRule="exact"/>
        <w:ind w:firstLine="640"/>
        <w:jc w:val="both"/>
      </w:pPr>
      <w:r>
        <w:rPr>
          <w:rFonts w:ascii="仿宋_GB2312" w:hAnsi="仿宋_GB2312" w:eastAsia="仿宋_GB2312"/>
          <w:b w:val="0"/>
          <w:sz w:val="32"/>
        </w:rPr>
        <w:t>6.住房保障支出(类)住房改革支出(款)住房公积金(项):支出决算数为59.70万元，比上年决算增加18.93万元，增长46.43%,主要原因是：本年在职人员增加，住房公积金支出较上年增加。</w:t>
      </w:r>
    </w:p>
    <w:p w14:paraId="3D39FEE3">
      <w:pPr>
        <w:spacing w:line="640" w:lineRule="exact"/>
        <w:ind w:firstLine="640"/>
        <w:jc w:val="both"/>
        <w:outlineLvl w:val="2"/>
      </w:pPr>
      <w:r>
        <w:rPr>
          <w:rFonts w:ascii="黑体" w:hAnsi="黑体" w:eastAsia="黑体"/>
          <w:sz w:val="32"/>
        </w:rPr>
        <w:t>六、一般公共预算财政拨款基本支出决算情况说明</w:t>
      </w:r>
    </w:p>
    <w:p w14:paraId="6ACEC069">
      <w:pPr>
        <w:spacing w:line="580" w:lineRule="exact"/>
        <w:ind w:firstLine="640"/>
        <w:jc w:val="both"/>
      </w:pPr>
      <w:r>
        <w:rPr>
          <w:rFonts w:ascii="仿宋_GB2312" w:hAnsi="仿宋_GB2312" w:eastAsia="仿宋_GB2312"/>
          <w:b w:val="0"/>
          <w:sz w:val="32"/>
        </w:rPr>
        <w:t>2024年度一般公共预算财政拨款基本支出700.66万元，其中：</w:t>
      </w:r>
      <w:r>
        <w:rPr>
          <w:rFonts w:ascii="仿宋_GB2312" w:hAnsi="仿宋_GB2312" w:eastAsia="仿宋_GB2312"/>
          <w:b/>
          <w:sz w:val="32"/>
        </w:rPr>
        <w:t>人员经费700.66万元，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623188D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E7340FE">
      <w:pPr>
        <w:spacing w:line="640" w:lineRule="exact"/>
        <w:ind w:firstLine="640"/>
        <w:jc w:val="both"/>
        <w:outlineLvl w:val="2"/>
      </w:pPr>
      <w:r>
        <w:rPr>
          <w:rFonts w:ascii="黑体" w:hAnsi="黑体" w:eastAsia="黑体"/>
          <w:sz w:val="32"/>
        </w:rPr>
        <w:t>七、政府性基金预算财政拨款收入支出决算情况说明</w:t>
      </w:r>
    </w:p>
    <w:p w14:paraId="1D0306EF">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37ADA97">
      <w:pPr>
        <w:spacing w:line="640" w:lineRule="exact"/>
        <w:ind w:firstLine="640"/>
        <w:jc w:val="both"/>
        <w:outlineLvl w:val="2"/>
      </w:pPr>
      <w:r>
        <w:rPr>
          <w:rFonts w:ascii="黑体" w:hAnsi="黑体" w:eastAsia="黑体"/>
          <w:sz w:val="32"/>
        </w:rPr>
        <w:t>八、国有资本经营预算财政拨款收入支出决算情况说明</w:t>
      </w:r>
    </w:p>
    <w:p w14:paraId="3A55E982">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CE8BE3B">
      <w:pPr>
        <w:spacing w:line="640" w:lineRule="exact"/>
        <w:ind w:firstLine="640"/>
        <w:jc w:val="both"/>
        <w:outlineLvl w:val="2"/>
      </w:pPr>
      <w:r>
        <w:rPr>
          <w:rFonts w:ascii="黑体" w:hAnsi="黑体" w:eastAsia="黑体"/>
          <w:sz w:val="32"/>
        </w:rPr>
        <w:t>九、财政拨款“三公”经费支出决算情况说明</w:t>
      </w:r>
    </w:p>
    <w:p w14:paraId="4E20533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2.40万元，下降100.00%，主要原因是：本部门本年度未安排财政拨款“三公”经费。其中：因公出国（境）费支出0.00万元，占0.00%，比上年增加0.00万元，增长0.00%，主要原因是：2023年与2024年均未安排因公出国（境）费支出。公务用车购置及运行维护费支出0.00万元，占0.00%，比上年减少2.40万元，下降100.00%，主要原因是：本部门本年度未安排财政拨款公务用车购置及运行维护费。公务接待费支出0.00万元，占0.00%，比上年增加0.00万元，增长0.00%，主要原因是：2023年与2024年均未安排公务接待费支出。</w:t>
      </w:r>
    </w:p>
    <w:p w14:paraId="52B00CAE">
      <w:pPr>
        <w:spacing w:line="580" w:lineRule="exact"/>
        <w:ind w:firstLine="640"/>
        <w:jc w:val="both"/>
      </w:pPr>
      <w:r>
        <w:rPr>
          <w:rFonts w:ascii="仿宋_GB2312" w:hAnsi="仿宋_GB2312" w:eastAsia="仿宋_GB2312"/>
          <w:b/>
          <w:sz w:val="32"/>
        </w:rPr>
        <w:t>具体情况如下：</w:t>
      </w:r>
    </w:p>
    <w:p w14:paraId="61961A8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756FB00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2辆，与公务用车保有量差异原因是：差异车辆为单位业务用车，车辆费用未使用财政拨款公务用车运行维护费支付。</w:t>
      </w:r>
    </w:p>
    <w:p w14:paraId="460E3D8C">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CE9B78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7DED2890">
      <w:pPr>
        <w:spacing w:line="640" w:lineRule="exact"/>
        <w:ind w:firstLine="640"/>
        <w:jc w:val="both"/>
        <w:outlineLvl w:val="2"/>
      </w:pPr>
      <w:r>
        <w:rPr>
          <w:rFonts w:ascii="黑体" w:hAnsi="黑体" w:eastAsia="黑体"/>
          <w:sz w:val="32"/>
        </w:rPr>
        <w:t>十、其他重要事项的情况说明</w:t>
      </w:r>
    </w:p>
    <w:p w14:paraId="0EB04A49">
      <w:pPr>
        <w:spacing w:line="640" w:lineRule="exact"/>
        <w:ind w:firstLine="640"/>
        <w:jc w:val="both"/>
        <w:outlineLvl w:val="3"/>
      </w:pPr>
      <w:r>
        <w:rPr>
          <w:rFonts w:ascii="楷体_GB2312" w:hAnsi="楷体_GB2312" w:eastAsia="楷体_GB2312"/>
          <w:b/>
          <w:sz w:val="32"/>
        </w:rPr>
        <w:t>（一）机关运行经费及公用经费支出情况</w:t>
      </w:r>
    </w:p>
    <w:p w14:paraId="053A7C4C">
      <w:pPr>
        <w:spacing w:line="580" w:lineRule="exact"/>
        <w:ind w:firstLine="640"/>
        <w:jc w:val="both"/>
      </w:pPr>
      <w:r>
        <w:rPr>
          <w:rFonts w:ascii="仿宋_GB2312" w:hAnsi="仿宋_GB2312" w:eastAsia="仿宋_GB2312"/>
          <w:b w:val="0"/>
          <w:sz w:val="32"/>
        </w:rPr>
        <w:t>2024年度喀什地区城乡供水总站（事业单位）公用经费支出0.00万元，比上年减少13.91万元，下降100.00%，主要原因是：本年未安排财政拨款公用经费，导致经费支出减少。</w:t>
      </w:r>
    </w:p>
    <w:p w14:paraId="08F6E574">
      <w:pPr>
        <w:spacing w:line="640" w:lineRule="exact"/>
        <w:ind w:firstLine="640"/>
        <w:jc w:val="both"/>
        <w:outlineLvl w:val="3"/>
      </w:pPr>
      <w:r>
        <w:rPr>
          <w:rFonts w:ascii="楷体_GB2312" w:hAnsi="楷体_GB2312" w:eastAsia="楷体_GB2312"/>
          <w:b/>
          <w:sz w:val="32"/>
        </w:rPr>
        <w:t>（二）政府采购情况</w:t>
      </w:r>
    </w:p>
    <w:p w14:paraId="57956C9E">
      <w:pPr>
        <w:spacing w:line="580" w:lineRule="exact"/>
        <w:ind w:firstLine="640"/>
        <w:jc w:val="both"/>
      </w:pPr>
      <w:r>
        <w:rPr>
          <w:rFonts w:ascii="仿宋_GB2312" w:hAnsi="仿宋_GB2312" w:eastAsia="仿宋_GB2312"/>
          <w:b w:val="0"/>
          <w:sz w:val="32"/>
        </w:rPr>
        <w:t>2024年度政府采购支出总额85.89万元，其中：政府采购货物支出21.23万元、政府采购工程支出0.00万元、政府采购服务支出64.66万元。</w:t>
      </w:r>
    </w:p>
    <w:p w14:paraId="73E83307">
      <w:pPr>
        <w:spacing w:line="580" w:lineRule="exact"/>
        <w:ind w:firstLine="640"/>
        <w:jc w:val="both"/>
      </w:pPr>
      <w:r>
        <w:rPr>
          <w:rFonts w:ascii="仿宋_GB2312" w:hAnsi="仿宋_GB2312" w:eastAsia="仿宋_GB2312"/>
          <w:b w:val="0"/>
          <w:sz w:val="32"/>
        </w:rPr>
        <w:t>授予中小企业合同金额85.89万元，占政府采购支出总额的100.00%，其中：授予小微企业合同金额68.10万元，占政府采购支出总额的79.29%。</w:t>
      </w:r>
    </w:p>
    <w:p w14:paraId="47A23C0E">
      <w:pPr>
        <w:spacing w:line="640" w:lineRule="exact"/>
        <w:ind w:firstLine="640"/>
        <w:jc w:val="both"/>
        <w:outlineLvl w:val="3"/>
      </w:pPr>
      <w:r>
        <w:rPr>
          <w:rFonts w:ascii="楷体_GB2312" w:hAnsi="楷体_GB2312" w:eastAsia="楷体_GB2312"/>
          <w:b/>
          <w:sz w:val="32"/>
        </w:rPr>
        <w:t>（三）国有资产占用情况说明</w:t>
      </w:r>
    </w:p>
    <w:p w14:paraId="131A4A1C">
      <w:pPr>
        <w:spacing w:line="580" w:lineRule="exact"/>
        <w:ind w:firstLine="640"/>
        <w:jc w:val="both"/>
      </w:pPr>
      <w:r>
        <w:rPr>
          <w:rFonts w:ascii="仿宋_GB2312" w:hAnsi="仿宋_GB2312" w:eastAsia="仿宋_GB2312"/>
          <w:b w:val="0"/>
          <w:sz w:val="32"/>
        </w:rPr>
        <w:t>截至2024年12月31日，房屋0.00平方米，价值0.00万元。车辆2辆，价值22.32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0F5D8344">
      <w:pPr>
        <w:spacing w:line="640" w:lineRule="exact"/>
        <w:ind w:firstLine="640"/>
        <w:jc w:val="both"/>
        <w:outlineLvl w:val="2"/>
      </w:pPr>
      <w:r>
        <w:rPr>
          <w:rFonts w:ascii="黑体" w:hAnsi="黑体" w:eastAsia="黑体"/>
          <w:sz w:val="32"/>
        </w:rPr>
        <w:t>十一、预算绩效的情况说明</w:t>
      </w:r>
    </w:p>
    <w:p w14:paraId="28FCA30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1,930.43万元，实际执行总额1,927.64万元；预算绩效评价项目4个，全年预算数1,188.35万元，全年执行数1,187.28万元。预算绩效管理取得的成效：管理制度完善、责任落实到位，跟踪考核机制完善且运行有效，定期不定期地对项目实施情况和经费使用情况进行跟踪检查，对进展缓慢的项目，及时调整整改，确保项目实施工作正常运行，达到预期目标。发现的问题及原因：绩效目标和指标往往根据项目实际完成情况制定，对项目执行过程有效约束不够，存在一定偏差。对各项指标和指标值要进一步优化、完善，主要在细化、量化上改进。单位出差业务较少，差旅费未支付完。下一步改进措施：加强项目预算编制工作，精准编制项目预算，提高项目资金执行率。积极推进标准化管理、规范化运行管理体系，探索完善监督机制，以“设施良好、管理规范、供水达标、水价合理、运行可靠”为着力点，提高数字化、网络化、智慧化水平，推动城乡供水发展一体管理、一体运管、一体供水、一体保障。具体附部门整体支出绩效自评表，项目支出绩效自评表和部门评价报告。</w:t>
      </w:r>
    </w:p>
    <w:p w14:paraId="7B52311E">
      <w:r>
        <w:br w:type="page"/>
      </w:r>
    </w:p>
    <w:tbl>
      <w:tblPr>
        <w:tblStyle w:val="9"/>
        <w:tblW w:w="0" w:type="auto"/>
        <w:tblInd w:w="0" w:type="dxa"/>
        <w:tblLayout w:type="autofit"/>
        <w:tblCellMar>
          <w:top w:w="0" w:type="dxa"/>
          <w:left w:w="108" w:type="dxa"/>
          <w:bottom w:w="0" w:type="dxa"/>
          <w:right w:w="108" w:type="dxa"/>
        </w:tblCellMar>
      </w:tblPr>
      <w:tblGrid>
        <w:gridCol w:w="936"/>
        <w:gridCol w:w="936"/>
        <w:gridCol w:w="970"/>
        <w:gridCol w:w="970"/>
        <w:gridCol w:w="1496"/>
        <w:gridCol w:w="919"/>
        <w:gridCol w:w="961"/>
        <w:gridCol w:w="953"/>
        <w:gridCol w:w="919"/>
      </w:tblGrid>
      <w:tr w14:paraId="26641925">
        <w:tblPrEx>
          <w:tblCellMar>
            <w:top w:w="0" w:type="dxa"/>
            <w:left w:w="108" w:type="dxa"/>
            <w:bottom w:w="0" w:type="dxa"/>
            <w:right w:w="108" w:type="dxa"/>
          </w:tblCellMar>
        </w:tblPrEx>
        <w:tc>
          <w:tcPr>
            <w:tcW w:w="8847" w:type="dxa"/>
            <w:gridSpan w:val="9"/>
            <w:vAlign w:val="center"/>
          </w:tcPr>
          <w:p w14:paraId="6B877E68">
            <w:pPr>
              <w:jc w:val="center"/>
            </w:pPr>
            <w:r>
              <w:rPr>
                <w:rFonts w:ascii="宋体" w:hAnsi="宋体" w:eastAsia="宋体"/>
                <w:sz w:val="24"/>
              </w:rPr>
              <w:t>部门整体支出绩效自评表</w:t>
            </w:r>
          </w:p>
        </w:tc>
      </w:tr>
      <w:tr w14:paraId="0ED41B97">
        <w:tblPrEx>
          <w:tblCellMar>
            <w:top w:w="0" w:type="dxa"/>
            <w:left w:w="108" w:type="dxa"/>
            <w:bottom w:w="0" w:type="dxa"/>
            <w:right w:w="108" w:type="dxa"/>
          </w:tblCellMar>
        </w:tblPrEx>
        <w:tc>
          <w:tcPr>
            <w:tcW w:w="8847" w:type="dxa"/>
            <w:gridSpan w:val="9"/>
            <w:vAlign w:val="center"/>
          </w:tcPr>
          <w:p w14:paraId="06D9ADBE">
            <w:pPr>
              <w:jc w:val="center"/>
            </w:pPr>
            <w:r>
              <w:rPr>
                <w:rFonts w:ascii="宋体" w:hAnsi="宋体" w:eastAsia="宋体"/>
                <w:sz w:val="24"/>
              </w:rPr>
              <w:t>（2024年度）</w:t>
            </w:r>
          </w:p>
        </w:tc>
      </w:tr>
      <w:tr w14:paraId="32B332B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FBF09">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DC94FC">
            <w:pPr>
              <w:jc w:val="center"/>
            </w:pPr>
            <w:r>
              <w:rPr>
                <w:rFonts w:ascii="宋体" w:hAnsi="宋体" w:eastAsia="宋体"/>
                <w:sz w:val="16"/>
              </w:rPr>
              <w:t>喀什地区城乡供水总站</w:t>
            </w:r>
          </w:p>
        </w:tc>
      </w:tr>
      <w:tr w14:paraId="166DBE3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0A1D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A273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2D3C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F2DA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C95A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5981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458B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54DFB">
            <w:pPr>
              <w:jc w:val="center"/>
            </w:pPr>
            <w:r>
              <w:rPr>
                <w:rFonts w:ascii="宋体" w:hAnsi="宋体" w:eastAsia="宋体"/>
                <w:sz w:val="16"/>
              </w:rPr>
              <w:t>得分</w:t>
            </w:r>
          </w:p>
        </w:tc>
      </w:tr>
      <w:tr w14:paraId="589492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09A3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C94D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58699">
            <w:pPr>
              <w:jc w:val="center"/>
            </w:pPr>
            <w:r>
              <w:rPr>
                <w:rFonts w:ascii="宋体" w:hAnsi="宋体" w:eastAsia="宋体"/>
                <w:sz w:val="16"/>
              </w:rPr>
              <w:t>1,709.72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E5C3A">
            <w:pPr>
              <w:jc w:val="center"/>
            </w:pPr>
            <w:r>
              <w:rPr>
                <w:rFonts w:ascii="宋体" w:hAnsi="宋体" w:eastAsia="宋体"/>
                <w:sz w:val="16"/>
              </w:rPr>
              <w:t>1,930.43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F2B5E">
            <w:pPr>
              <w:jc w:val="center"/>
            </w:pPr>
            <w:r>
              <w:rPr>
                <w:rFonts w:ascii="宋体" w:hAnsi="宋体" w:eastAsia="宋体"/>
                <w:sz w:val="16"/>
              </w:rPr>
              <w:t>1,927.64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B05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1748D">
            <w:pPr>
              <w:jc w:val="center"/>
            </w:pPr>
            <w:r>
              <w:rPr>
                <w:rFonts w:ascii="宋体" w:hAnsi="宋体" w:eastAsia="宋体"/>
                <w:sz w:val="16"/>
              </w:rPr>
              <w:t>99.86%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0BEBD">
            <w:pPr>
              <w:jc w:val="center"/>
            </w:pPr>
            <w:r>
              <w:rPr>
                <w:rFonts w:ascii="宋体" w:hAnsi="宋体" w:eastAsia="宋体"/>
                <w:sz w:val="16"/>
              </w:rPr>
              <w:t>9.99</w:t>
            </w:r>
          </w:p>
        </w:tc>
      </w:tr>
      <w:tr w14:paraId="65909A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33EB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4151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A5A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2F9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628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0F5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8335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8F8E6">
            <w:pPr>
              <w:jc w:val="center"/>
            </w:pPr>
            <w:r>
              <w:rPr>
                <w:rFonts w:ascii="宋体" w:hAnsi="宋体" w:eastAsia="宋体"/>
                <w:sz w:val="16"/>
              </w:rPr>
              <w:t>—</w:t>
            </w:r>
          </w:p>
        </w:tc>
      </w:tr>
      <w:tr w14:paraId="72A0C6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DDF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C902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ADF4A">
            <w:pPr>
              <w:jc w:val="center"/>
            </w:pPr>
            <w:r>
              <w:rPr>
                <w:rFonts w:ascii="宋体" w:hAnsi="宋体" w:eastAsia="宋体"/>
                <w:sz w:val="16"/>
              </w:rPr>
              <w:t>536.22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B7643">
            <w:pPr>
              <w:jc w:val="center"/>
            </w:pPr>
            <w:r>
              <w:rPr>
                <w:rFonts w:ascii="宋体" w:hAnsi="宋体" w:eastAsia="宋体"/>
                <w:sz w:val="16"/>
              </w:rPr>
              <w:t>742.08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C9571">
            <w:pPr>
              <w:jc w:val="center"/>
            </w:pPr>
            <w:r>
              <w:rPr>
                <w:rFonts w:ascii="宋体" w:hAnsi="宋体" w:eastAsia="宋体"/>
                <w:sz w:val="16"/>
              </w:rPr>
              <w:t>740.36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F07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4FB8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8B99D">
            <w:pPr>
              <w:jc w:val="center"/>
            </w:pPr>
            <w:r>
              <w:rPr>
                <w:rFonts w:ascii="宋体" w:hAnsi="宋体" w:eastAsia="宋体"/>
                <w:sz w:val="16"/>
              </w:rPr>
              <w:t>—</w:t>
            </w:r>
          </w:p>
        </w:tc>
      </w:tr>
      <w:tr w14:paraId="4F7B9C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6B43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BAC2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4C467">
            <w:pPr>
              <w:jc w:val="center"/>
            </w:pPr>
            <w:r>
              <w:rPr>
                <w:rFonts w:ascii="宋体" w:hAnsi="宋体" w:eastAsia="宋体"/>
                <w:sz w:val="16"/>
              </w:rPr>
              <w:t>1,172.50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3920B">
            <w:pPr>
              <w:jc w:val="center"/>
            </w:pPr>
            <w:r>
              <w:rPr>
                <w:rFonts w:ascii="宋体" w:hAnsi="宋体" w:eastAsia="宋体"/>
                <w:sz w:val="16"/>
              </w:rPr>
              <w:t>1,188.35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58D48">
            <w:pPr>
              <w:jc w:val="center"/>
            </w:pPr>
            <w:r>
              <w:rPr>
                <w:rFonts w:ascii="宋体" w:hAnsi="宋体" w:eastAsia="宋体"/>
                <w:sz w:val="16"/>
              </w:rPr>
              <w:t>1,186.28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64C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B64C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6BF01">
            <w:pPr>
              <w:jc w:val="center"/>
            </w:pPr>
            <w:r>
              <w:rPr>
                <w:rFonts w:ascii="宋体" w:hAnsi="宋体" w:eastAsia="宋体"/>
                <w:sz w:val="16"/>
              </w:rPr>
              <w:t>—</w:t>
            </w:r>
          </w:p>
        </w:tc>
      </w:tr>
      <w:tr w14:paraId="3709BD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9371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FBD45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9EE84B">
            <w:pPr>
              <w:jc w:val="center"/>
            </w:pPr>
            <w:r>
              <w:rPr>
                <w:rFonts w:ascii="宋体" w:hAnsi="宋体" w:eastAsia="宋体"/>
                <w:sz w:val="16"/>
              </w:rPr>
              <w:t>实际完成情况</w:t>
            </w:r>
          </w:p>
        </w:tc>
      </w:tr>
      <w:tr w14:paraId="7B9ED1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74977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835DFC">
            <w:pPr>
              <w:jc w:val="both"/>
            </w:pPr>
            <w:r>
              <w:rPr>
                <w:rFonts w:ascii="宋体" w:hAnsi="宋体" w:eastAsia="宋体"/>
                <w:sz w:val="16"/>
              </w:rPr>
              <w:t>坚持以习近平新时代中国特色社会主义思想为指导，深入学习贯彻党的二十大精神，学习贯彻习近平总书记视察新疆重要讲话重要指示精神，深入学习</w:t>
            </w:r>
            <w:r>
              <w:rPr>
                <w:rFonts w:hint="eastAsia" w:ascii="宋体" w:hAnsi="宋体"/>
                <w:sz w:val="16"/>
                <w:lang w:eastAsia="zh-CN"/>
              </w:rPr>
              <w:t>习近平新时代</w:t>
            </w:r>
            <w:r>
              <w:rPr>
                <w:rFonts w:ascii="宋体" w:hAnsi="宋体" w:eastAsia="宋体"/>
                <w:sz w:val="16"/>
              </w:rPr>
              <w:t>“节水优先、空间均衡、系统治理、两手发力”十六字治水方针，准确理解和把握治水方略的新内涵、新要求，进一步弘扬和传承新时代“忠诚、干净、担当、科学、求实、创新”的水利精神，按照自治区标准化、规范化水库工程创建标准要求，创建合格的自治区标准化、规范化水库工程。以供水日常运行管理为重点，按照2024年度制定的全年供水计划供水约5561万立方米，日供水13.15万立方米，全力做好安全生产，建立健全水质检测机制，每月委托第三方进行水质检测，确保水质合格率达到100%，解决喀什市城乡、疏附县城、疏勒县城101.39万人的生活饮用水水量不足、水质不达标问题，让喀什“一市两县”境内所辖的城乡居民喝上处理后符合《生活饮用水卫生标准》（GB5749-2022）要求的安全、卫生、洁净的饮用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BDECDC">
            <w:pPr>
              <w:jc w:val="both"/>
            </w:pPr>
            <w:r>
              <w:rPr>
                <w:rFonts w:ascii="宋体" w:hAnsi="宋体" w:eastAsia="宋体"/>
                <w:sz w:val="16"/>
              </w:rPr>
              <w:t>全年供水总量为5584.52万立方米，项目日供水规模15.3万立方米，全年水质检测12次，项目实施后水质达标率100%，让喀什市城乡、疏附县城、疏勒县城101.39万居民喝上处理后符合《生活饮用水卫生标准》（GB5749-2006）要求的安全、卫生、洁净的饮用水。</w:t>
            </w:r>
          </w:p>
        </w:tc>
      </w:tr>
      <w:tr w14:paraId="47915D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B38F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01C8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40DB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980B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824B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06DE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A1BF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C916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71523">
            <w:pPr>
              <w:jc w:val="center"/>
            </w:pPr>
            <w:r>
              <w:rPr>
                <w:rFonts w:ascii="宋体" w:hAnsi="宋体" w:eastAsia="宋体"/>
                <w:sz w:val="16"/>
              </w:rPr>
              <w:t>得分</w:t>
            </w:r>
          </w:p>
        </w:tc>
      </w:tr>
      <w:tr w14:paraId="20F303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3739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8CBD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D059B">
            <w:pPr>
              <w:jc w:val="center"/>
            </w:pPr>
            <w:r>
              <w:rPr>
                <w:rFonts w:ascii="宋体" w:hAnsi="宋体" w:eastAsia="宋体"/>
                <w:sz w:val="16"/>
              </w:rPr>
              <w:t>计划全年供水总量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0E477">
            <w:pPr>
              <w:jc w:val="center"/>
            </w:pPr>
            <w:r>
              <w:rPr>
                <w:rFonts w:ascii="宋体" w:hAnsi="宋体" w:eastAsia="宋体"/>
                <w:sz w:val="16"/>
              </w:rPr>
              <w:t>&gt;=5561万立方米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FBEAE">
            <w:pPr>
              <w:jc w:val="center"/>
            </w:pPr>
            <w:r>
              <w:rPr>
                <w:rFonts w:ascii="宋体" w:hAnsi="宋体" w:eastAsia="宋体"/>
                <w:sz w:val="16"/>
              </w:rPr>
              <w:t>喀什市2024年度用水计划报告、喀什市农村2024年度用水计划报告、疏附县2024年度用水计划报告、疏勒县2024年度用水计划报告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4188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6DBA2">
            <w:pPr>
              <w:jc w:val="center"/>
            </w:pPr>
            <w:r>
              <w:rPr>
                <w:rFonts w:ascii="宋体" w:hAnsi="宋体" w:eastAsia="宋体"/>
                <w:sz w:val="16"/>
              </w:rPr>
              <w:t>5584.52万立方米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363B8">
            <w:pPr>
              <w:jc w:val="center"/>
            </w:pPr>
            <w:r>
              <w:rPr>
                <w:rFonts w:ascii="宋体" w:hAnsi="宋体" w:eastAsia="宋体"/>
                <w:sz w:val="16"/>
              </w:rPr>
              <w:t>100.42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BEDF0">
            <w:pPr>
              <w:jc w:val="center"/>
            </w:pPr>
            <w:r>
              <w:rPr>
                <w:rFonts w:ascii="宋体" w:hAnsi="宋体" w:eastAsia="宋体"/>
                <w:sz w:val="16"/>
              </w:rPr>
              <w:t>15</w:t>
            </w:r>
          </w:p>
        </w:tc>
      </w:tr>
      <w:tr w14:paraId="669140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A838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7B14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9F34E">
            <w:pPr>
              <w:jc w:val="center"/>
            </w:pPr>
            <w:r>
              <w:rPr>
                <w:rFonts w:ascii="宋体" w:hAnsi="宋体" w:eastAsia="宋体"/>
                <w:sz w:val="16"/>
              </w:rPr>
              <w:t>项目日供水规模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3E4B0">
            <w:pPr>
              <w:jc w:val="center"/>
            </w:pPr>
            <w:r>
              <w:rPr>
                <w:rFonts w:ascii="宋体" w:hAnsi="宋体" w:eastAsia="宋体"/>
                <w:sz w:val="16"/>
              </w:rPr>
              <w:t>&gt;=13.15万立方米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4FC69">
            <w:pPr>
              <w:jc w:val="center"/>
            </w:pPr>
            <w:r>
              <w:rPr>
                <w:rFonts w:ascii="宋体" w:hAnsi="宋体" w:eastAsia="宋体"/>
                <w:sz w:val="16"/>
              </w:rPr>
              <w:t>“一市两县”2023年度供水报告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8C2F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D1531">
            <w:pPr>
              <w:jc w:val="center"/>
            </w:pPr>
            <w:r>
              <w:rPr>
                <w:rFonts w:ascii="宋体" w:hAnsi="宋体" w:eastAsia="宋体"/>
                <w:sz w:val="16"/>
              </w:rPr>
              <w:t>15.3万立方米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D3E3C">
            <w:pPr>
              <w:jc w:val="center"/>
            </w:pPr>
            <w:r>
              <w:rPr>
                <w:rFonts w:ascii="宋体" w:hAnsi="宋体" w:eastAsia="宋体"/>
                <w:sz w:val="16"/>
              </w:rPr>
              <w:t>116.34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FB527">
            <w:pPr>
              <w:jc w:val="center"/>
            </w:pPr>
            <w:r>
              <w:rPr>
                <w:rFonts w:ascii="宋体" w:hAnsi="宋体" w:eastAsia="宋体"/>
                <w:sz w:val="16"/>
              </w:rPr>
              <w:t>15</w:t>
            </w:r>
          </w:p>
        </w:tc>
      </w:tr>
      <w:tr w14:paraId="7688BF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24FD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8596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9986C">
            <w:pPr>
              <w:jc w:val="center"/>
            </w:pPr>
            <w:r>
              <w:rPr>
                <w:rFonts w:ascii="宋体" w:hAnsi="宋体" w:eastAsia="宋体"/>
                <w:sz w:val="16"/>
              </w:rPr>
              <w:t>水质检测次数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C093D">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EE091">
            <w:pPr>
              <w:jc w:val="center"/>
            </w:pPr>
            <w:r>
              <w:rPr>
                <w:rFonts w:ascii="宋体" w:hAnsi="宋体" w:eastAsia="宋体"/>
                <w:sz w:val="16"/>
              </w:rPr>
              <w:t>2024年度水质</w:t>
            </w:r>
            <w:r>
              <w:rPr>
                <w:rFonts w:hint="eastAsia" w:ascii="宋体" w:hAnsi="宋体"/>
                <w:sz w:val="16"/>
                <w:lang w:eastAsia="zh-CN"/>
              </w:rPr>
              <w:t>监测</w:t>
            </w: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0C34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A65C7">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40E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49904">
            <w:pPr>
              <w:jc w:val="center"/>
            </w:pPr>
            <w:r>
              <w:rPr>
                <w:rFonts w:ascii="宋体" w:hAnsi="宋体" w:eastAsia="宋体"/>
                <w:sz w:val="16"/>
              </w:rPr>
              <w:t>15</w:t>
            </w:r>
          </w:p>
        </w:tc>
      </w:tr>
      <w:tr w14:paraId="643B43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65F6B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C818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3EAAB">
            <w:pPr>
              <w:jc w:val="center"/>
            </w:pPr>
            <w:r>
              <w:rPr>
                <w:rFonts w:ascii="宋体" w:hAnsi="宋体" w:eastAsia="宋体"/>
                <w:sz w:val="16"/>
              </w:rPr>
              <w:t>项目实施后水质达标率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15D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BCAFB">
            <w:pPr>
              <w:jc w:val="center"/>
            </w:pPr>
            <w:r>
              <w:rPr>
                <w:rFonts w:ascii="宋体" w:hAnsi="宋体" w:eastAsia="宋体"/>
                <w:sz w:val="16"/>
              </w:rPr>
              <w:t>《生活饮用水卫生标准》（GB5749-2022)、水质检测报告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D00C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75F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273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B57A3">
            <w:pPr>
              <w:jc w:val="center"/>
            </w:pPr>
            <w:r>
              <w:rPr>
                <w:rFonts w:ascii="宋体" w:hAnsi="宋体" w:eastAsia="宋体"/>
                <w:sz w:val="16"/>
              </w:rPr>
              <w:t>15</w:t>
            </w:r>
          </w:p>
        </w:tc>
      </w:tr>
      <w:tr w14:paraId="0C0D08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268F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2A07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86681">
            <w:pPr>
              <w:jc w:val="center"/>
            </w:pPr>
            <w:r>
              <w:rPr>
                <w:rFonts w:ascii="宋体" w:hAnsi="宋体" w:eastAsia="宋体"/>
                <w:sz w:val="16"/>
              </w:rPr>
              <w:t>水源地（水库）标准化管理创建合格率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1D3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8D2CD">
            <w:pPr>
              <w:jc w:val="center"/>
            </w:pPr>
            <w:r>
              <w:rPr>
                <w:rFonts w:ascii="宋体" w:hAnsi="宋体" w:eastAsia="宋体"/>
                <w:sz w:val="16"/>
              </w:rPr>
              <w:t>关于印发《新疆维吾尔自治区水利工程（水库、水闸、堤防）标准化管理评价细则》的通知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4408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F52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59F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AC18A">
            <w:pPr>
              <w:jc w:val="center"/>
            </w:pPr>
            <w:r>
              <w:rPr>
                <w:rFonts w:ascii="宋体" w:hAnsi="宋体" w:eastAsia="宋体"/>
                <w:sz w:val="16"/>
              </w:rPr>
              <w:t>15</w:t>
            </w:r>
          </w:p>
        </w:tc>
      </w:tr>
      <w:tr w14:paraId="5392C7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771C2">
            <w:pPr>
              <w:jc w:val="center"/>
            </w:pPr>
            <w:r>
              <w:rPr>
                <w:rFonts w:ascii="宋体" w:hAnsi="宋体" w:eastAsia="宋体"/>
                <w:sz w:val="16"/>
              </w:rPr>
              <w:t>社会效应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158F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36ABB">
            <w:pPr>
              <w:jc w:val="center"/>
            </w:pPr>
            <w:r>
              <w:rPr>
                <w:rFonts w:ascii="宋体" w:hAnsi="宋体" w:eastAsia="宋体"/>
                <w:sz w:val="16"/>
              </w:rPr>
              <w:t>解决饮水安全人口数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A63A4">
            <w:pPr>
              <w:jc w:val="center"/>
            </w:pPr>
            <w:r>
              <w:rPr>
                <w:rFonts w:ascii="宋体" w:hAnsi="宋体" w:eastAsia="宋体"/>
                <w:sz w:val="16"/>
              </w:rPr>
              <w:t>&gt;=101.39万人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37095">
            <w:pPr>
              <w:jc w:val="center"/>
            </w:pPr>
            <w:r>
              <w:rPr>
                <w:rFonts w:ascii="宋体" w:hAnsi="宋体" w:eastAsia="宋体"/>
                <w:sz w:val="16"/>
              </w:rPr>
              <w:t>关于喀什“一市两县”城乡饮水安全工程优化实施方案的批复喀发农经</w:t>
            </w:r>
            <w:r>
              <w:rPr>
                <w:rFonts w:hint="eastAsia" w:ascii="宋体" w:hAnsi="宋体"/>
                <w:sz w:val="16"/>
                <w:lang w:eastAsia="zh-CN"/>
              </w:rPr>
              <w:t>〔2019〕323号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CBE0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CC10C">
            <w:pPr>
              <w:jc w:val="center"/>
            </w:pPr>
            <w:r>
              <w:rPr>
                <w:rFonts w:ascii="宋体" w:hAnsi="宋体" w:eastAsia="宋体"/>
                <w:sz w:val="16"/>
              </w:rPr>
              <w:t>101.39万人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B23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3F607">
            <w:pPr>
              <w:jc w:val="center"/>
            </w:pPr>
            <w:r>
              <w:rPr>
                <w:rFonts w:ascii="宋体" w:hAnsi="宋体" w:eastAsia="宋体"/>
                <w:sz w:val="16"/>
              </w:rPr>
              <w:t>15</w:t>
            </w:r>
          </w:p>
        </w:tc>
      </w:tr>
    </w:tbl>
    <w:p w14:paraId="2974F4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BBDFA87">
        <w:tblPrEx>
          <w:tblCellMar>
            <w:top w:w="0" w:type="dxa"/>
            <w:left w:w="108" w:type="dxa"/>
            <w:bottom w:w="0" w:type="dxa"/>
            <w:right w:w="108" w:type="dxa"/>
          </w:tblCellMar>
        </w:tblPrEx>
        <w:tc>
          <w:tcPr>
            <w:tcW w:w="8848" w:type="dxa"/>
            <w:gridSpan w:val="14"/>
            <w:vAlign w:val="center"/>
          </w:tcPr>
          <w:p w14:paraId="6B3C2282">
            <w:pPr>
              <w:jc w:val="center"/>
            </w:pPr>
            <w:r>
              <w:rPr>
                <w:rFonts w:ascii="宋体" w:hAnsi="宋体" w:eastAsia="宋体"/>
                <w:sz w:val="24"/>
              </w:rPr>
              <w:t>项目支出绩效自评表</w:t>
            </w:r>
          </w:p>
        </w:tc>
      </w:tr>
      <w:tr w14:paraId="2E95543F">
        <w:tblPrEx>
          <w:tblCellMar>
            <w:top w:w="0" w:type="dxa"/>
            <w:left w:w="108" w:type="dxa"/>
            <w:bottom w:w="0" w:type="dxa"/>
            <w:right w:w="108" w:type="dxa"/>
          </w:tblCellMar>
        </w:tblPrEx>
        <w:tc>
          <w:tcPr>
            <w:tcW w:w="8848" w:type="dxa"/>
            <w:gridSpan w:val="14"/>
            <w:vAlign w:val="center"/>
          </w:tcPr>
          <w:p w14:paraId="3B2907AC">
            <w:pPr>
              <w:jc w:val="center"/>
            </w:pPr>
            <w:r>
              <w:rPr>
                <w:rFonts w:ascii="宋体" w:hAnsi="宋体" w:eastAsia="宋体"/>
                <w:sz w:val="24"/>
              </w:rPr>
              <w:t>(2024年度)</w:t>
            </w:r>
          </w:p>
        </w:tc>
      </w:tr>
      <w:tr w14:paraId="12A31C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D3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F80DF1">
            <w:pPr>
              <w:jc w:val="center"/>
            </w:pPr>
            <w:r>
              <w:rPr>
                <w:rFonts w:ascii="宋体" w:hAnsi="宋体" w:eastAsia="宋体"/>
                <w:sz w:val="16"/>
              </w:rPr>
              <w:t>2024年江河湖库水系综合整治（小型水库维修养护）项目</w:t>
            </w:r>
          </w:p>
        </w:tc>
      </w:tr>
      <w:tr w14:paraId="7F8B33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18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E8DE0E">
            <w:pPr>
              <w:jc w:val="center"/>
            </w:pPr>
            <w:r>
              <w:rPr>
                <w:rFonts w:ascii="宋体" w:hAnsi="宋体" w:eastAsia="宋体"/>
                <w:sz w:val="16"/>
              </w:rPr>
              <w:t>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4C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C98C9E">
            <w:pPr>
              <w:jc w:val="center"/>
            </w:pPr>
            <w:r>
              <w:rPr>
                <w:rFonts w:ascii="宋体" w:hAnsi="宋体" w:eastAsia="宋体"/>
                <w:sz w:val="16"/>
              </w:rPr>
              <w:t>喀什地区城乡供水总站</w:t>
            </w:r>
          </w:p>
        </w:tc>
      </w:tr>
      <w:tr w14:paraId="25E7CA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6F1A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15A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0CD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369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C95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BA0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323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6A01">
            <w:pPr>
              <w:jc w:val="center"/>
            </w:pPr>
            <w:r>
              <w:rPr>
                <w:rFonts w:ascii="宋体" w:hAnsi="宋体" w:eastAsia="宋体"/>
                <w:sz w:val="16"/>
              </w:rPr>
              <w:t>得分</w:t>
            </w:r>
          </w:p>
        </w:tc>
      </w:tr>
      <w:tr w14:paraId="5E14D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5E6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33D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C3DC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0A30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F4814">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F23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CDD6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BC87">
            <w:pPr>
              <w:jc w:val="center"/>
            </w:pPr>
            <w:r>
              <w:rPr>
                <w:rFonts w:ascii="宋体" w:hAnsi="宋体" w:eastAsia="宋体"/>
                <w:sz w:val="16"/>
              </w:rPr>
              <w:t>10.00分</w:t>
            </w:r>
          </w:p>
        </w:tc>
      </w:tr>
      <w:tr w14:paraId="407518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716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4AB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0F08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BE01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D97F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774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FE1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AFF4">
            <w:pPr>
              <w:jc w:val="center"/>
            </w:pPr>
            <w:r>
              <w:rPr>
                <w:rFonts w:ascii="宋体" w:hAnsi="宋体" w:eastAsia="宋体"/>
                <w:sz w:val="16"/>
              </w:rPr>
              <w:t>—</w:t>
            </w:r>
          </w:p>
        </w:tc>
      </w:tr>
      <w:tr w14:paraId="50E1B9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B82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274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156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7B8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D26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93A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2CB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4612">
            <w:pPr>
              <w:jc w:val="center"/>
            </w:pPr>
            <w:r>
              <w:rPr>
                <w:rFonts w:ascii="宋体" w:hAnsi="宋体" w:eastAsia="宋体"/>
                <w:sz w:val="16"/>
              </w:rPr>
              <w:t>—</w:t>
            </w:r>
          </w:p>
        </w:tc>
      </w:tr>
      <w:tr w14:paraId="1DFAB8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837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8D5C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3B660E">
            <w:pPr>
              <w:jc w:val="center"/>
            </w:pPr>
            <w:r>
              <w:rPr>
                <w:rFonts w:ascii="宋体" w:hAnsi="宋体" w:eastAsia="宋体"/>
                <w:sz w:val="16"/>
              </w:rPr>
              <w:t>实际完成情况</w:t>
            </w:r>
          </w:p>
        </w:tc>
      </w:tr>
      <w:tr w14:paraId="61CEF0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328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A44F06">
            <w:pPr>
              <w:jc w:val="both"/>
            </w:pPr>
            <w:r>
              <w:rPr>
                <w:rFonts w:ascii="宋体" w:hAnsi="宋体" w:eastAsia="宋体"/>
                <w:sz w:val="16"/>
              </w:rPr>
              <w:t>关于提前下达2024年江河湖库水系综合整治（小型水库维修养护）项目是地区重点民生工程，为解决喀什市城乡、疏附县城、疏勒县城101.39万人的生活饮用水水量不足、水质不达标问题，</w:t>
            </w:r>
            <w:r>
              <w:rPr>
                <w:rFonts w:hint="eastAsia" w:ascii="宋体" w:hAnsi="宋体"/>
                <w:sz w:val="16"/>
                <w:lang w:eastAsia="zh-CN"/>
              </w:rPr>
              <w:t>本部门</w:t>
            </w:r>
            <w:r>
              <w:rPr>
                <w:rFonts w:ascii="宋体" w:hAnsi="宋体" w:eastAsia="宋体"/>
                <w:sz w:val="16"/>
              </w:rPr>
              <w:t>计划采购常规中型捕鼠笼20个，20kg聚氨酯6桶，15L黄油3桶，二氧化碳灭火器4个，柔性有机堵料防火泥2件，超威电瓶4个，1.5m*2m铁丝网20个，30-1200m2电子驱鼠器3台，切实保障喀什市城乡、疏附县城、疏勒县城101.39万居民喝上处理后符合《生活饮用水卫生标准》（GB5749-2006）要求的安全、卫生、洁净的饮用水，推动高质量发展、提高人民生活品质的重要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C043B0">
            <w:pPr>
              <w:jc w:val="both"/>
            </w:pPr>
            <w:r>
              <w:rPr>
                <w:rFonts w:hint="eastAsia" w:ascii="宋体" w:hAnsi="宋体"/>
                <w:sz w:val="16"/>
                <w:lang w:eastAsia="zh-CN"/>
              </w:rPr>
              <w:t>本部门</w:t>
            </w:r>
            <w:r>
              <w:rPr>
                <w:rFonts w:ascii="宋体" w:hAnsi="宋体" w:eastAsia="宋体"/>
                <w:sz w:val="16"/>
              </w:rPr>
              <w:t>采购常规中型捕鼠笼20个，20kg聚氨酯6桶，超威电瓶4个，1.5m*2m铁丝网20个，30-1200m2电子驱鼠器3台，严格按照项目实际拨付资金，切实保障喀什市城乡、疏附县城、疏勒县城101.39万居民喝上处理后符合《生活饮用水卫生标准》（GB5749-2006）要求的安全、卫生、洁净的饮用水，推动高质量发展、提高人民生活品质的重要保障。</w:t>
            </w:r>
          </w:p>
        </w:tc>
      </w:tr>
      <w:tr w14:paraId="0EFED3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6086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F5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74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A1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A5FC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DDD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42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FF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A6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15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AA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12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A5C82">
            <w:pPr>
              <w:jc w:val="center"/>
            </w:pPr>
            <w:r>
              <w:rPr>
                <w:rFonts w:ascii="宋体" w:hAnsi="宋体" w:eastAsia="宋体"/>
                <w:sz w:val="16"/>
              </w:rPr>
              <w:t>偏差原因分析及改进措施</w:t>
            </w:r>
          </w:p>
        </w:tc>
      </w:tr>
      <w:tr w14:paraId="51ED2D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270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011E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00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87F1">
            <w:pPr>
              <w:jc w:val="center"/>
            </w:pPr>
            <w:r>
              <w:rPr>
                <w:rFonts w:ascii="宋体" w:hAnsi="宋体" w:eastAsia="宋体"/>
                <w:sz w:val="16"/>
              </w:rPr>
              <w:t>小型水库工程维修养护座数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EA82">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5B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AB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0A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DD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7A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B50F">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54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816DF">
            <w:pPr>
              <w:jc w:val="center"/>
            </w:pPr>
          </w:p>
        </w:tc>
      </w:tr>
      <w:tr w14:paraId="2F089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996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16D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56C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83E2">
            <w:pPr>
              <w:jc w:val="center"/>
            </w:pPr>
            <w:r>
              <w:rPr>
                <w:rFonts w:ascii="宋体" w:hAnsi="宋体" w:eastAsia="宋体"/>
                <w:sz w:val="16"/>
              </w:rPr>
              <w:t>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0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41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D4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24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D8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B8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E9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90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2A1BB">
            <w:pPr>
              <w:jc w:val="center"/>
            </w:pPr>
          </w:p>
        </w:tc>
      </w:tr>
      <w:tr w14:paraId="2A426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33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2A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C3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F4E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F5A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7A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B5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29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DA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0D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5DD7">
            <w:pPr>
              <w:jc w:val="center"/>
            </w:pPr>
            <w:r>
              <w:rPr>
                <w:rFonts w:ascii="宋体" w:hAnsi="宋体" w:eastAsia="宋体"/>
                <w:sz w:val="16"/>
              </w:rPr>
              <w:t>=2024年7月18日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98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3ADCF">
            <w:pPr>
              <w:jc w:val="center"/>
            </w:pPr>
          </w:p>
        </w:tc>
      </w:tr>
      <w:tr w14:paraId="56C768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450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A2F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A65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96DE">
            <w:pPr>
              <w:jc w:val="center"/>
            </w:pPr>
            <w:r>
              <w:rPr>
                <w:rFonts w:ascii="宋体" w:hAnsi="宋体" w:eastAsia="宋体"/>
                <w:sz w:val="16"/>
              </w:rPr>
              <w:t>维修材料费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8420">
            <w:pPr>
              <w:jc w:val="center"/>
            </w:pPr>
            <w:r>
              <w:rPr>
                <w:rFonts w:ascii="宋体" w:hAnsi="宋体" w:eastAsia="宋体"/>
                <w:sz w:val="16"/>
              </w:rPr>
              <w:t>&lt;=9146元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B5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44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93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C8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D9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1DB1">
            <w:pPr>
              <w:jc w:val="center"/>
            </w:pPr>
            <w:r>
              <w:rPr>
                <w:rFonts w:ascii="宋体" w:hAnsi="宋体" w:eastAsia="宋体"/>
                <w:sz w:val="16"/>
              </w:rPr>
              <w:t>=8464元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B649">
            <w:pPr>
              <w:jc w:val="center"/>
            </w:pPr>
            <w:r>
              <w:rPr>
                <w:rFonts w:ascii="宋体" w:hAnsi="宋体" w:eastAsia="宋体"/>
                <w:sz w:val="16"/>
              </w:rPr>
              <w:t>8.14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206B1">
            <w:pPr>
              <w:jc w:val="center"/>
            </w:pPr>
            <w:r>
              <w:rPr>
                <w:rFonts w:ascii="宋体" w:hAnsi="宋体" w:eastAsia="宋体"/>
                <w:sz w:val="16"/>
              </w:rPr>
              <w:t>偏差原因：</w:t>
            </w:r>
            <w:r>
              <w:rPr>
                <w:rFonts w:hint="eastAsia" w:ascii="宋体" w:hAnsi="宋体"/>
                <w:sz w:val="16"/>
                <w:lang w:eastAsia="zh-CN"/>
              </w:rPr>
              <w:t>本部门</w:t>
            </w:r>
            <w:r>
              <w:rPr>
                <w:rFonts w:ascii="宋体" w:hAnsi="宋体" w:eastAsia="宋体"/>
                <w:sz w:val="16"/>
              </w:rPr>
              <w:t>严格按照喀什地区水利局下达的关于此项目的批复进行物资采购。改进措施：优化项目指标，加强资金监管。</w:t>
            </w:r>
          </w:p>
        </w:tc>
      </w:tr>
      <w:tr w14:paraId="6E43D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35E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1B5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7CD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10DF">
            <w:pPr>
              <w:jc w:val="center"/>
            </w:pPr>
            <w:r>
              <w:rPr>
                <w:rFonts w:ascii="宋体" w:hAnsi="宋体" w:eastAsia="宋体"/>
                <w:sz w:val="16"/>
              </w:rPr>
              <w:t>防火材料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3221">
            <w:pPr>
              <w:jc w:val="center"/>
            </w:pPr>
            <w:r>
              <w:rPr>
                <w:rFonts w:ascii="宋体" w:hAnsi="宋体" w:eastAsia="宋体"/>
                <w:sz w:val="16"/>
              </w:rPr>
              <w:t>&lt;=854元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DE2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57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8F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04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EC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4267">
            <w:pPr>
              <w:jc w:val="center"/>
            </w:pPr>
            <w:r>
              <w:rPr>
                <w:rFonts w:ascii="宋体" w:hAnsi="宋体" w:eastAsia="宋体"/>
                <w:sz w:val="16"/>
              </w:rPr>
              <w:t>=1536元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2A65">
            <w:pPr>
              <w:jc w:val="center"/>
            </w:pPr>
            <w:r>
              <w:rPr>
                <w:rFonts w:ascii="宋体" w:hAnsi="宋体" w:eastAsia="宋体"/>
                <w:sz w:val="16"/>
              </w:rPr>
              <w:t>2.01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7EE83">
            <w:pPr>
              <w:jc w:val="center"/>
            </w:pPr>
            <w:r>
              <w:rPr>
                <w:rFonts w:ascii="宋体" w:hAnsi="宋体" w:eastAsia="宋体"/>
                <w:sz w:val="16"/>
              </w:rPr>
              <w:t>偏差原因：</w:t>
            </w:r>
            <w:r>
              <w:rPr>
                <w:rFonts w:hint="eastAsia" w:ascii="宋体" w:hAnsi="宋体"/>
                <w:sz w:val="16"/>
                <w:lang w:eastAsia="zh-CN"/>
              </w:rPr>
              <w:t>本部门</w:t>
            </w:r>
            <w:r>
              <w:rPr>
                <w:rFonts w:ascii="宋体" w:hAnsi="宋体" w:eastAsia="宋体"/>
                <w:sz w:val="16"/>
              </w:rPr>
              <w:t>严格按照项目实际采购所需物资。改进措施：</w:t>
            </w:r>
            <w:r>
              <w:rPr>
                <w:rFonts w:hint="eastAsia" w:ascii="宋体" w:hAnsi="宋体"/>
                <w:sz w:val="16"/>
                <w:lang w:eastAsia="zh-CN"/>
              </w:rPr>
              <w:t>本部门</w:t>
            </w:r>
            <w:r>
              <w:rPr>
                <w:rFonts w:ascii="宋体" w:hAnsi="宋体" w:eastAsia="宋体"/>
                <w:sz w:val="16"/>
              </w:rPr>
              <w:t>严格按照喀什地区水利局下达的关于此项目的批复进行物资采购。改进措施：优化项目指标，加强资金监管。</w:t>
            </w:r>
          </w:p>
        </w:tc>
      </w:tr>
      <w:tr w14:paraId="3EEBD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C92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7D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DC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6442">
            <w:pPr>
              <w:jc w:val="center"/>
            </w:pPr>
            <w:r>
              <w:rPr>
                <w:rFonts w:ascii="宋体" w:hAnsi="宋体" w:eastAsia="宋体"/>
                <w:sz w:val="16"/>
              </w:rPr>
              <w:t>保障供水工程良好运行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020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9D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C9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4A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68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72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7A1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19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1C3BF">
            <w:pPr>
              <w:jc w:val="center"/>
            </w:pPr>
          </w:p>
        </w:tc>
      </w:tr>
      <w:tr w14:paraId="7E1E34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222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9D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D4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981C">
            <w:pPr>
              <w:jc w:val="center"/>
            </w:pPr>
            <w:r>
              <w:rPr>
                <w:rFonts w:ascii="宋体" w:hAnsi="宋体" w:eastAsia="宋体"/>
                <w:sz w:val="16"/>
              </w:rPr>
              <w:t>一市两县受益群众满意度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DC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507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78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61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64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16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40C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E2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E478F">
            <w:pPr>
              <w:jc w:val="center"/>
            </w:pPr>
          </w:p>
        </w:tc>
      </w:tr>
      <w:tr w14:paraId="34293C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9DA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11B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6E0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734598">
            <w:pPr>
              <w:jc w:val="center"/>
            </w:pPr>
            <w:r>
              <w:rPr>
                <w:rFonts w:ascii="宋体" w:hAnsi="宋体" w:eastAsia="宋体"/>
                <w:sz w:val="16"/>
              </w:rPr>
              <w:t>90.15分</w:t>
            </w:r>
          </w:p>
        </w:tc>
      </w:tr>
    </w:tbl>
    <w:p w14:paraId="6DE456ED">
      <w:r>
        <w:br w:type="page"/>
      </w:r>
    </w:p>
    <w:tbl>
      <w:tblPr>
        <w:tblStyle w:val="9"/>
        <w:tblW w:w="0" w:type="auto"/>
        <w:tblInd w:w="0" w:type="dxa"/>
        <w:tblLayout w:type="autofit"/>
        <w:tblCellMar>
          <w:top w:w="0" w:type="dxa"/>
          <w:left w:w="108" w:type="dxa"/>
          <w:bottom w:w="0" w:type="dxa"/>
          <w:right w:w="108" w:type="dxa"/>
        </w:tblCellMar>
      </w:tblPr>
      <w:tblGrid>
        <w:gridCol w:w="608"/>
        <w:gridCol w:w="570"/>
        <w:gridCol w:w="570"/>
        <w:gridCol w:w="590"/>
        <w:gridCol w:w="1096"/>
        <w:gridCol w:w="571"/>
        <w:gridCol w:w="571"/>
        <w:gridCol w:w="571"/>
        <w:gridCol w:w="571"/>
        <w:gridCol w:w="571"/>
        <w:gridCol w:w="1016"/>
        <w:gridCol w:w="626"/>
        <w:gridCol w:w="501"/>
        <w:gridCol w:w="628"/>
      </w:tblGrid>
      <w:tr w14:paraId="653C4B12">
        <w:tblPrEx>
          <w:tblCellMar>
            <w:top w:w="0" w:type="dxa"/>
            <w:left w:w="108" w:type="dxa"/>
            <w:bottom w:w="0" w:type="dxa"/>
            <w:right w:w="108" w:type="dxa"/>
          </w:tblCellMar>
        </w:tblPrEx>
        <w:tc>
          <w:tcPr>
            <w:tcW w:w="8848" w:type="dxa"/>
            <w:gridSpan w:val="14"/>
            <w:vAlign w:val="center"/>
          </w:tcPr>
          <w:p w14:paraId="044F6819">
            <w:pPr>
              <w:jc w:val="center"/>
            </w:pPr>
            <w:r>
              <w:rPr>
                <w:rFonts w:ascii="宋体" w:hAnsi="宋体" w:eastAsia="宋体"/>
                <w:sz w:val="24"/>
              </w:rPr>
              <w:t>项目支出绩效自评表</w:t>
            </w:r>
          </w:p>
        </w:tc>
      </w:tr>
      <w:tr w14:paraId="5D03387E">
        <w:tblPrEx>
          <w:tblCellMar>
            <w:top w:w="0" w:type="dxa"/>
            <w:left w:w="108" w:type="dxa"/>
            <w:bottom w:w="0" w:type="dxa"/>
            <w:right w:w="108" w:type="dxa"/>
          </w:tblCellMar>
        </w:tblPrEx>
        <w:tc>
          <w:tcPr>
            <w:tcW w:w="8848" w:type="dxa"/>
            <w:gridSpan w:val="14"/>
            <w:vAlign w:val="center"/>
          </w:tcPr>
          <w:p w14:paraId="4428F7AD">
            <w:pPr>
              <w:jc w:val="center"/>
            </w:pPr>
            <w:r>
              <w:rPr>
                <w:rFonts w:ascii="宋体" w:hAnsi="宋体" w:eastAsia="宋体"/>
                <w:sz w:val="24"/>
              </w:rPr>
              <w:t>(2024年度)</w:t>
            </w:r>
          </w:p>
        </w:tc>
      </w:tr>
      <w:tr w14:paraId="58FCC7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EC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8FA040">
            <w:pPr>
              <w:jc w:val="center"/>
            </w:pPr>
            <w:r>
              <w:rPr>
                <w:rFonts w:ascii="宋体" w:hAnsi="宋体" w:eastAsia="宋体"/>
                <w:sz w:val="16"/>
              </w:rPr>
              <w:t>喀什地区现代农业（百万只肉羊）产业园一期供水工程项目</w:t>
            </w:r>
          </w:p>
        </w:tc>
      </w:tr>
      <w:tr w14:paraId="7C35D4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F9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466EB0">
            <w:pPr>
              <w:jc w:val="center"/>
            </w:pPr>
            <w:r>
              <w:rPr>
                <w:rFonts w:ascii="宋体" w:hAnsi="宋体" w:eastAsia="宋体"/>
                <w:sz w:val="16"/>
              </w:rPr>
              <w:t>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61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565632">
            <w:pPr>
              <w:jc w:val="center"/>
            </w:pPr>
            <w:r>
              <w:rPr>
                <w:rFonts w:ascii="宋体" w:hAnsi="宋体" w:eastAsia="宋体"/>
                <w:sz w:val="16"/>
              </w:rPr>
              <w:t>喀什地区城乡供水总站</w:t>
            </w:r>
          </w:p>
        </w:tc>
      </w:tr>
      <w:tr w14:paraId="250BB3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849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7E5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347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0A8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349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EAA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CA4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509C">
            <w:pPr>
              <w:jc w:val="center"/>
            </w:pPr>
            <w:r>
              <w:rPr>
                <w:rFonts w:ascii="宋体" w:hAnsi="宋体" w:eastAsia="宋体"/>
                <w:sz w:val="16"/>
              </w:rPr>
              <w:t>得分</w:t>
            </w:r>
          </w:p>
        </w:tc>
      </w:tr>
      <w:tr w14:paraId="01F96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E07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2E3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E2634">
            <w:pPr>
              <w:jc w:val="center"/>
            </w:pPr>
            <w:r>
              <w:rPr>
                <w:rFonts w:ascii="宋体" w:hAnsi="宋体" w:eastAsia="宋体"/>
                <w:sz w:val="16"/>
              </w:rPr>
              <w:t>38.16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54FFF">
            <w:pPr>
              <w:jc w:val="center"/>
            </w:pPr>
            <w:r>
              <w:rPr>
                <w:rFonts w:ascii="宋体" w:hAnsi="宋体" w:eastAsia="宋体"/>
                <w:sz w:val="16"/>
              </w:rPr>
              <w:t>38.16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3A04A">
            <w:pPr>
              <w:jc w:val="center"/>
            </w:pPr>
            <w:r>
              <w:rPr>
                <w:rFonts w:ascii="宋体" w:hAnsi="宋体" w:eastAsia="宋体"/>
                <w:sz w:val="16"/>
              </w:rPr>
              <w:t>38.16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F43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14AA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5B34">
            <w:pPr>
              <w:jc w:val="center"/>
            </w:pPr>
            <w:r>
              <w:rPr>
                <w:rFonts w:ascii="宋体" w:hAnsi="宋体" w:eastAsia="宋体"/>
                <w:sz w:val="16"/>
              </w:rPr>
              <w:t>10.00分</w:t>
            </w:r>
          </w:p>
        </w:tc>
      </w:tr>
      <w:tr w14:paraId="38E72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1E8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598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7F7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934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F77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BB3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D39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3C7C">
            <w:pPr>
              <w:jc w:val="center"/>
            </w:pPr>
            <w:r>
              <w:rPr>
                <w:rFonts w:ascii="宋体" w:hAnsi="宋体" w:eastAsia="宋体"/>
                <w:sz w:val="16"/>
              </w:rPr>
              <w:t>—</w:t>
            </w:r>
          </w:p>
        </w:tc>
      </w:tr>
      <w:tr w14:paraId="5C6E9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4F5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3867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EBBE">
            <w:pPr>
              <w:jc w:val="center"/>
            </w:pPr>
            <w:r>
              <w:rPr>
                <w:rFonts w:ascii="宋体" w:hAnsi="宋体" w:eastAsia="宋体"/>
                <w:sz w:val="16"/>
              </w:rPr>
              <w:t>38.16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CE2D4">
            <w:pPr>
              <w:jc w:val="center"/>
            </w:pPr>
            <w:r>
              <w:rPr>
                <w:rFonts w:ascii="宋体" w:hAnsi="宋体" w:eastAsia="宋体"/>
                <w:sz w:val="16"/>
              </w:rPr>
              <w:t>38.16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83680">
            <w:pPr>
              <w:jc w:val="center"/>
            </w:pPr>
            <w:r>
              <w:rPr>
                <w:rFonts w:ascii="宋体" w:hAnsi="宋体" w:eastAsia="宋体"/>
                <w:sz w:val="16"/>
              </w:rPr>
              <w:t>38.16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931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421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632E">
            <w:pPr>
              <w:jc w:val="center"/>
            </w:pPr>
            <w:r>
              <w:rPr>
                <w:rFonts w:ascii="宋体" w:hAnsi="宋体" w:eastAsia="宋体"/>
                <w:sz w:val="16"/>
              </w:rPr>
              <w:t>—</w:t>
            </w:r>
          </w:p>
        </w:tc>
      </w:tr>
      <w:tr w14:paraId="005BD6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93B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1718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8B6DEE">
            <w:pPr>
              <w:jc w:val="center"/>
            </w:pPr>
            <w:r>
              <w:rPr>
                <w:rFonts w:ascii="宋体" w:hAnsi="宋体" w:eastAsia="宋体"/>
                <w:sz w:val="16"/>
              </w:rPr>
              <w:t>实际完成情况</w:t>
            </w:r>
          </w:p>
        </w:tc>
      </w:tr>
      <w:tr w14:paraId="73459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A40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BAB03B">
            <w:pPr>
              <w:jc w:val="both"/>
            </w:pPr>
            <w:r>
              <w:rPr>
                <w:rFonts w:ascii="宋体" w:hAnsi="宋体" w:eastAsia="宋体"/>
                <w:sz w:val="16"/>
              </w:rPr>
              <w:t>喀什地区现代农业（百万只肉羊）产业园一期供水工程项目是喀什地区喀什市的一项重要供水工程，工程的实施，对项目区的农业发展奠定了基础，并为本市的经济发展、旅游事业提供了良好条件，为促进全市的经济发展和保持生态环境起到了一定的作用。 解决剩余项目资金，为避免引发信访问题，造成不良影响，</w:t>
            </w:r>
            <w:r>
              <w:rPr>
                <w:rFonts w:hint="eastAsia" w:ascii="宋体" w:hAnsi="宋体"/>
                <w:sz w:val="16"/>
                <w:lang w:eastAsia="zh-CN"/>
              </w:rPr>
              <w:t>本部门</w:t>
            </w:r>
            <w:r>
              <w:rPr>
                <w:rFonts w:ascii="宋体" w:hAnsi="宋体" w:eastAsia="宋体"/>
                <w:sz w:val="16"/>
              </w:rPr>
              <w:t>申请工程施工及设备费35.39万元，工程检测费0.679万元，工程结算审核费1.55万元，竣工决算审计费0.54万元，需尽快解决资金欠付问题。本工程将基本解决项目区的饮水困难问题，为项目区提供可靠、安全的饮用水，保障项目区一期工程正常施工及运行，因此该工程的实施是符合产业园区利益的，将对加快产</w:t>
            </w:r>
            <w:r>
              <w:rPr>
                <w:rFonts w:hint="eastAsia" w:ascii="宋体" w:hAnsi="宋体"/>
                <w:sz w:val="16"/>
                <w:lang w:eastAsia="zh-CN"/>
              </w:rPr>
              <w:t>业园</w:t>
            </w:r>
            <w:r>
              <w:rPr>
                <w:rFonts w:ascii="宋体" w:hAnsi="宋体" w:eastAsia="宋体"/>
                <w:sz w:val="16"/>
              </w:rPr>
              <w:t>区建设和喀什市经济发展起到重要的作用</w:t>
            </w:r>
            <w:r>
              <w:rPr>
                <w:rFonts w:hint="eastAsia" w:ascii="宋体" w:hAnsi="宋体"/>
                <w:sz w:val="16"/>
                <w:lang w:eastAsia="zh-CN"/>
              </w:rPr>
              <w:t>，有</w:t>
            </w:r>
            <w:r>
              <w:rPr>
                <w:rFonts w:ascii="宋体" w:hAnsi="宋体" w:eastAsia="宋体"/>
                <w:sz w:val="16"/>
              </w:rPr>
              <w:t>利于社会和谐发展。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3C7CB1">
            <w:pPr>
              <w:jc w:val="both"/>
            </w:pPr>
            <w:r>
              <w:rPr>
                <w:rFonts w:ascii="宋体" w:hAnsi="宋体" w:eastAsia="宋体"/>
                <w:sz w:val="16"/>
              </w:rPr>
              <w:t>喀什地区现代农业（百万只肉羊）产业园一期供水工程项目是喀什地区喀什市的一项重要供水工程，工程的实施，对项目区的农业发展奠定了基础，并为本市的经济发展、旅游事业提供了良好条件，为促进全市的经济发展和保持生态环境起到了一定的作用。 解决剩余项目资金，为避免引发信访问题，造成不良影响，</w:t>
            </w:r>
            <w:r>
              <w:rPr>
                <w:rFonts w:hint="eastAsia" w:ascii="宋体" w:hAnsi="宋体"/>
                <w:sz w:val="16"/>
                <w:lang w:eastAsia="zh-CN"/>
              </w:rPr>
              <w:t>本部门</w:t>
            </w:r>
            <w:r>
              <w:rPr>
                <w:rFonts w:ascii="宋体" w:hAnsi="宋体" w:eastAsia="宋体"/>
                <w:sz w:val="16"/>
              </w:rPr>
              <w:t>已支付工程施工及设备费35.39万元，工程检测费0.679万元，工程结算审核费1.55万元，竣工决算审计费0.54万元。</w:t>
            </w:r>
          </w:p>
        </w:tc>
      </w:tr>
      <w:tr w14:paraId="113FD1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0D8A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E0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F63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3C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71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12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8A6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3E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E3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59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843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4EB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5C4D0">
            <w:pPr>
              <w:jc w:val="center"/>
            </w:pPr>
            <w:r>
              <w:rPr>
                <w:rFonts w:ascii="宋体" w:hAnsi="宋体" w:eastAsia="宋体"/>
                <w:sz w:val="16"/>
              </w:rPr>
              <w:t>偏差原因分析及改进措施</w:t>
            </w:r>
          </w:p>
        </w:tc>
      </w:tr>
      <w:tr w14:paraId="3B8A7D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3E8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6059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D8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2DD7">
            <w:pPr>
              <w:jc w:val="center"/>
            </w:pPr>
            <w:r>
              <w:rPr>
                <w:rFonts w:ascii="宋体" w:hAnsi="宋体" w:eastAsia="宋体"/>
                <w:sz w:val="16"/>
              </w:rPr>
              <w:t>喀什地区现代农业(百万只肉羊)产业园一期供水工程项目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8D8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5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A5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2F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9B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AB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C06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93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1A612">
            <w:pPr>
              <w:jc w:val="center"/>
            </w:pPr>
          </w:p>
        </w:tc>
      </w:tr>
      <w:tr w14:paraId="4F0B11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5E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41F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C9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CB93">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27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92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98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11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CF4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45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AA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12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BED41">
            <w:pPr>
              <w:jc w:val="center"/>
            </w:pPr>
          </w:p>
        </w:tc>
      </w:tr>
      <w:tr w14:paraId="4EFBE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59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453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2C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110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C852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6A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AC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B5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8C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72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6C91">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48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8D256">
            <w:pPr>
              <w:jc w:val="center"/>
            </w:pPr>
          </w:p>
        </w:tc>
      </w:tr>
      <w:tr w14:paraId="25F82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935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C15E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AE3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4900">
            <w:pPr>
              <w:jc w:val="center"/>
            </w:pPr>
            <w:r>
              <w:rPr>
                <w:rFonts w:ascii="宋体" w:hAnsi="宋体" w:eastAsia="宋体"/>
                <w:sz w:val="16"/>
              </w:rPr>
              <w:t>工程施工及设备费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CA8E">
            <w:pPr>
              <w:jc w:val="center"/>
            </w:pPr>
            <w:r>
              <w:rPr>
                <w:rFonts w:ascii="宋体" w:hAnsi="宋体" w:eastAsia="宋体"/>
                <w:sz w:val="16"/>
              </w:rPr>
              <w:t>&lt;=353866.43元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03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57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60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52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93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EB4A">
            <w:pPr>
              <w:jc w:val="center"/>
            </w:pPr>
            <w:r>
              <w:rPr>
                <w:rFonts w:ascii="宋体" w:hAnsi="宋体" w:eastAsia="宋体"/>
                <w:sz w:val="16"/>
              </w:rPr>
              <w:t>=353866.43元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56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79237">
            <w:pPr>
              <w:jc w:val="center"/>
            </w:pPr>
          </w:p>
        </w:tc>
      </w:tr>
      <w:tr w14:paraId="2B9325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2A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F60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672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1972">
            <w:pPr>
              <w:jc w:val="center"/>
            </w:pPr>
            <w:r>
              <w:rPr>
                <w:rFonts w:ascii="宋体" w:hAnsi="宋体" w:eastAsia="宋体"/>
                <w:sz w:val="16"/>
              </w:rPr>
              <w:t>工程检测费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1B40">
            <w:pPr>
              <w:jc w:val="center"/>
            </w:pPr>
            <w:r>
              <w:rPr>
                <w:rFonts w:ascii="宋体" w:hAnsi="宋体" w:eastAsia="宋体"/>
                <w:sz w:val="16"/>
              </w:rPr>
              <w:t>&lt;=6790元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D5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27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02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F0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39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9EDD">
            <w:pPr>
              <w:jc w:val="center"/>
            </w:pPr>
            <w:r>
              <w:rPr>
                <w:rFonts w:ascii="宋体" w:hAnsi="宋体" w:eastAsia="宋体"/>
                <w:sz w:val="16"/>
              </w:rPr>
              <w:t>=6790元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F15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B879F">
            <w:pPr>
              <w:jc w:val="center"/>
            </w:pPr>
          </w:p>
        </w:tc>
      </w:tr>
      <w:tr w14:paraId="55D62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FC1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1E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7FE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C822">
            <w:pPr>
              <w:jc w:val="center"/>
            </w:pPr>
            <w:r>
              <w:rPr>
                <w:rFonts w:ascii="宋体" w:hAnsi="宋体" w:eastAsia="宋体"/>
                <w:sz w:val="16"/>
              </w:rPr>
              <w:t>工程结算审核费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DABD">
            <w:pPr>
              <w:jc w:val="center"/>
            </w:pPr>
            <w:r>
              <w:rPr>
                <w:rFonts w:ascii="宋体" w:hAnsi="宋体" w:eastAsia="宋体"/>
                <w:sz w:val="16"/>
              </w:rPr>
              <w:t>&lt;=15517元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17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9B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2D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B4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F8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E942">
            <w:pPr>
              <w:jc w:val="center"/>
            </w:pPr>
            <w:r>
              <w:rPr>
                <w:rFonts w:ascii="宋体" w:hAnsi="宋体" w:eastAsia="宋体"/>
                <w:sz w:val="16"/>
              </w:rPr>
              <w:t>=15517元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EF6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DB3F1">
            <w:pPr>
              <w:jc w:val="center"/>
            </w:pPr>
          </w:p>
        </w:tc>
      </w:tr>
      <w:tr w14:paraId="52F82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126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84D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594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93C6">
            <w:pPr>
              <w:jc w:val="center"/>
            </w:pPr>
            <w:r>
              <w:rPr>
                <w:rFonts w:ascii="宋体" w:hAnsi="宋体" w:eastAsia="宋体"/>
                <w:sz w:val="16"/>
              </w:rPr>
              <w:t>竣工财务决算审计费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F57B">
            <w:pPr>
              <w:jc w:val="center"/>
            </w:pPr>
            <w:r>
              <w:rPr>
                <w:rFonts w:ascii="宋体" w:hAnsi="宋体" w:eastAsia="宋体"/>
                <w:sz w:val="16"/>
              </w:rPr>
              <w:t>&lt;=5400元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6C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68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CA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62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A2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5F5F">
            <w:pPr>
              <w:jc w:val="center"/>
            </w:pPr>
            <w:r>
              <w:rPr>
                <w:rFonts w:ascii="宋体" w:hAnsi="宋体" w:eastAsia="宋体"/>
                <w:sz w:val="16"/>
              </w:rPr>
              <w:t>=5400元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276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AB29B">
            <w:pPr>
              <w:jc w:val="center"/>
            </w:pPr>
          </w:p>
        </w:tc>
      </w:tr>
      <w:tr w14:paraId="015608EA">
        <w:tblPrEx>
          <w:tblCellMar>
            <w:top w:w="0" w:type="dxa"/>
            <w:left w:w="108" w:type="dxa"/>
            <w:bottom w:w="0" w:type="dxa"/>
            <w:right w:w="108" w:type="dxa"/>
          </w:tblCellMar>
        </w:tblPrEx>
        <w:trPr>
          <w:trHeight w:val="3434"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EAE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CF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7F8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904E">
            <w:pPr>
              <w:jc w:val="center"/>
            </w:pPr>
            <w:r>
              <w:rPr>
                <w:rFonts w:ascii="宋体" w:hAnsi="宋体" w:eastAsia="宋体"/>
                <w:sz w:val="16"/>
              </w:rPr>
              <w:t>保障25万只肉羊养殖用水需求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CDF6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76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84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20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62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9D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CC3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29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9F904">
            <w:pPr>
              <w:jc w:val="center"/>
            </w:pPr>
          </w:p>
        </w:tc>
      </w:tr>
      <w:tr w14:paraId="22A86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B9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3E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CC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A3EA">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417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75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E9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54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12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F5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C5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60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ADDD9">
            <w:pPr>
              <w:jc w:val="center"/>
            </w:pPr>
            <w:r>
              <w:rPr>
                <w:rFonts w:ascii="宋体" w:hAnsi="宋体" w:eastAsia="宋体"/>
                <w:sz w:val="16"/>
              </w:rPr>
              <w:t>偏差原因：满意度指标目标值设置偏低，改进措施：根据实际情况合理设置目标值。</w:t>
            </w:r>
          </w:p>
        </w:tc>
      </w:tr>
      <w:tr w14:paraId="646758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2EC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6482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142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FEF7A5">
            <w:pPr>
              <w:jc w:val="center"/>
            </w:pPr>
            <w:r>
              <w:rPr>
                <w:rFonts w:ascii="宋体" w:hAnsi="宋体" w:eastAsia="宋体"/>
                <w:sz w:val="16"/>
              </w:rPr>
              <w:t>100分</w:t>
            </w:r>
          </w:p>
        </w:tc>
      </w:tr>
    </w:tbl>
    <w:p w14:paraId="5A6A26A3">
      <w:r>
        <w:br w:type="page"/>
      </w:r>
    </w:p>
    <w:tbl>
      <w:tblPr>
        <w:tblStyle w:val="9"/>
        <w:tblW w:w="0" w:type="auto"/>
        <w:tblInd w:w="0" w:type="dxa"/>
        <w:tblLayout w:type="autofit"/>
        <w:tblCellMar>
          <w:top w:w="0" w:type="dxa"/>
          <w:left w:w="108" w:type="dxa"/>
          <w:bottom w:w="0" w:type="dxa"/>
          <w:right w:w="108" w:type="dxa"/>
        </w:tblCellMar>
      </w:tblPr>
      <w:tblGrid>
        <w:gridCol w:w="620"/>
        <w:gridCol w:w="604"/>
        <w:gridCol w:w="604"/>
        <w:gridCol w:w="621"/>
        <w:gridCol w:w="856"/>
        <w:gridCol w:w="604"/>
        <w:gridCol w:w="696"/>
        <w:gridCol w:w="611"/>
        <w:gridCol w:w="608"/>
        <w:gridCol w:w="604"/>
        <w:gridCol w:w="776"/>
        <w:gridCol w:w="628"/>
        <w:gridCol w:w="596"/>
        <w:gridCol w:w="632"/>
      </w:tblGrid>
      <w:tr w14:paraId="406B1116">
        <w:tblPrEx>
          <w:tblCellMar>
            <w:top w:w="0" w:type="dxa"/>
            <w:left w:w="108" w:type="dxa"/>
            <w:bottom w:w="0" w:type="dxa"/>
            <w:right w:w="108" w:type="dxa"/>
          </w:tblCellMar>
        </w:tblPrEx>
        <w:tc>
          <w:tcPr>
            <w:tcW w:w="8848" w:type="dxa"/>
            <w:gridSpan w:val="14"/>
            <w:vAlign w:val="center"/>
          </w:tcPr>
          <w:p w14:paraId="4F942021">
            <w:pPr>
              <w:jc w:val="center"/>
            </w:pPr>
            <w:r>
              <w:rPr>
                <w:rFonts w:ascii="宋体" w:hAnsi="宋体" w:eastAsia="宋体"/>
                <w:sz w:val="24"/>
              </w:rPr>
              <w:t>项目支出绩效自评表</w:t>
            </w:r>
          </w:p>
        </w:tc>
      </w:tr>
      <w:tr w14:paraId="2BDF7CD0">
        <w:tblPrEx>
          <w:tblCellMar>
            <w:top w:w="0" w:type="dxa"/>
            <w:left w:w="108" w:type="dxa"/>
            <w:bottom w:w="0" w:type="dxa"/>
            <w:right w:w="108" w:type="dxa"/>
          </w:tblCellMar>
        </w:tblPrEx>
        <w:tc>
          <w:tcPr>
            <w:tcW w:w="8848" w:type="dxa"/>
            <w:gridSpan w:val="14"/>
            <w:vAlign w:val="center"/>
          </w:tcPr>
          <w:p w14:paraId="61C33104">
            <w:pPr>
              <w:jc w:val="center"/>
            </w:pPr>
            <w:r>
              <w:rPr>
                <w:rFonts w:ascii="宋体" w:hAnsi="宋体" w:eastAsia="宋体"/>
                <w:sz w:val="24"/>
              </w:rPr>
              <w:t>(2024年度)</w:t>
            </w:r>
          </w:p>
        </w:tc>
      </w:tr>
      <w:tr w14:paraId="07B808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94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1BCB68">
            <w:pPr>
              <w:jc w:val="center"/>
            </w:pPr>
            <w:r>
              <w:rPr>
                <w:rFonts w:ascii="宋体" w:hAnsi="宋体" w:eastAsia="宋体"/>
                <w:sz w:val="16"/>
              </w:rPr>
              <w:t>城乡饮水安全工程运行及保障项目</w:t>
            </w:r>
          </w:p>
        </w:tc>
      </w:tr>
      <w:tr w14:paraId="17BEBC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D2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75DED3">
            <w:pPr>
              <w:jc w:val="center"/>
            </w:pPr>
            <w:r>
              <w:rPr>
                <w:rFonts w:ascii="宋体" w:hAnsi="宋体" w:eastAsia="宋体"/>
                <w:sz w:val="16"/>
              </w:rPr>
              <w:t>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76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BE0B84">
            <w:pPr>
              <w:jc w:val="center"/>
            </w:pPr>
            <w:r>
              <w:rPr>
                <w:rFonts w:ascii="宋体" w:hAnsi="宋体" w:eastAsia="宋体"/>
                <w:sz w:val="16"/>
              </w:rPr>
              <w:t>喀什地区城乡供水总站</w:t>
            </w:r>
          </w:p>
        </w:tc>
      </w:tr>
      <w:tr w14:paraId="1BA7E0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5B4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B02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15C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AAE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EBE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560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FDD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3733">
            <w:pPr>
              <w:jc w:val="center"/>
            </w:pPr>
            <w:r>
              <w:rPr>
                <w:rFonts w:ascii="宋体" w:hAnsi="宋体" w:eastAsia="宋体"/>
                <w:sz w:val="16"/>
              </w:rPr>
              <w:t>得分</w:t>
            </w:r>
          </w:p>
        </w:tc>
      </w:tr>
      <w:tr w14:paraId="49D4B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45F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2ED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D2E2E">
            <w:pPr>
              <w:jc w:val="center"/>
            </w:pPr>
            <w:r>
              <w:rPr>
                <w:rFonts w:ascii="宋体" w:hAnsi="宋体" w:eastAsia="宋体"/>
                <w:sz w:val="16"/>
              </w:rPr>
              <w:t>1,099.37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15820">
            <w:pPr>
              <w:jc w:val="center"/>
            </w:pPr>
            <w:r>
              <w:rPr>
                <w:rFonts w:ascii="宋体" w:hAnsi="宋体" w:eastAsia="宋体"/>
                <w:sz w:val="16"/>
              </w:rPr>
              <w:t>1,099.37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EF0DE">
            <w:pPr>
              <w:jc w:val="center"/>
            </w:pPr>
            <w:r>
              <w:rPr>
                <w:rFonts w:ascii="宋体" w:hAnsi="宋体" w:eastAsia="宋体"/>
                <w:sz w:val="16"/>
              </w:rPr>
              <w:t>1,098.30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1B5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A8994">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739A">
            <w:pPr>
              <w:jc w:val="center"/>
            </w:pPr>
            <w:r>
              <w:rPr>
                <w:rFonts w:ascii="宋体" w:hAnsi="宋体" w:eastAsia="宋体"/>
                <w:sz w:val="16"/>
              </w:rPr>
              <w:t>9.98分</w:t>
            </w:r>
          </w:p>
        </w:tc>
      </w:tr>
      <w:tr w14:paraId="7FE6D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A60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07B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A3E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DC0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BEA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551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7F8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815C">
            <w:pPr>
              <w:jc w:val="center"/>
            </w:pPr>
            <w:r>
              <w:rPr>
                <w:rFonts w:ascii="宋体" w:hAnsi="宋体" w:eastAsia="宋体"/>
                <w:sz w:val="16"/>
              </w:rPr>
              <w:t>—</w:t>
            </w:r>
          </w:p>
        </w:tc>
      </w:tr>
      <w:tr w14:paraId="3B3C7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A11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015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0C80A">
            <w:pPr>
              <w:jc w:val="center"/>
            </w:pPr>
            <w:r>
              <w:rPr>
                <w:rFonts w:ascii="宋体" w:hAnsi="宋体" w:eastAsia="宋体"/>
                <w:sz w:val="16"/>
              </w:rPr>
              <w:t>1,099.37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90B89">
            <w:pPr>
              <w:jc w:val="center"/>
            </w:pPr>
            <w:r>
              <w:rPr>
                <w:rFonts w:ascii="宋体" w:hAnsi="宋体" w:eastAsia="宋体"/>
                <w:sz w:val="16"/>
              </w:rPr>
              <w:t>1,099.37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B54F1">
            <w:pPr>
              <w:jc w:val="center"/>
            </w:pPr>
            <w:r>
              <w:rPr>
                <w:rFonts w:ascii="宋体" w:hAnsi="宋体" w:eastAsia="宋体"/>
                <w:sz w:val="16"/>
              </w:rPr>
              <w:t>1,098.30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836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1E2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FE1C">
            <w:pPr>
              <w:jc w:val="center"/>
            </w:pPr>
            <w:r>
              <w:rPr>
                <w:rFonts w:ascii="宋体" w:hAnsi="宋体" w:eastAsia="宋体"/>
                <w:sz w:val="16"/>
              </w:rPr>
              <w:t>—</w:t>
            </w:r>
          </w:p>
        </w:tc>
      </w:tr>
      <w:tr w14:paraId="053595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4050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6734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54FC52">
            <w:pPr>
              <w:jc w:val="center"/>
            </w:pPr>
            <w:r>
              <w:rPr>
                <w:rFonts w:ascii="宋体" w:hAnsi="宋体" w:eastAsia="宋体"/>
                <w:sz w:val="16"/>
              </w:rPr>
              <w:t>实际完成情况</w:t>
            </w:r>
          </w:p>
        </w:tc>
      </w:tr>
      <w:tr w14:paraId="629B5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FD5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A5190B">
            <w:pPr>
              <w:jc w:val="both"/>
            </w:pPr>
            <w:r>
              <w:rPr>
                <w:rFonts w:ascii="宋体" w:hAnsi="宋体" w:eastAsia="宋体"/>
                <w:sz w:val="16"/>
              </w:rPr>
              <w:t>城乡饮水安全工程运行及保障项目是地区重点民生工程，为解决喀什市城乡、疏附县城、疏勒县城101.39万人的生活饮用水水量不足、水质不达标问题，我站计划上交水资源费2699565元，上交原水费2891760元</w:t>
            </w:r>
            <w:r>
              <w:rPr>
                <w:rFonts w:hint="eastAsia" w:ascii="宋体" w:hAnsi="宋体"/>
                <w:sz w:val="16"/>
                <w:lang w:eastAsia="zh-CN"/>
              </w:rPr>
              <w:t>，</w:t>
            </w:r>
            <w:r>
              <w:rPr>
                <w:rFonts w:ascii="宋体" w:hAnsi="宋体" w:eastAsia="宋体"/>
                <w:sz w:val="16"/>
              </w:rPr>
              <w:t>采购pac360吨，pam5吨.采购精制盐90吨，水质检测（39项）12次，水质检测（106项）2次，对18名聘用人员发放工资及员工生活补助，切实保障喀什市城乡、疏附县城、疏勒县城101.39万居民喝上处理后符合《生活饮用水卫生标准》（GB5749-2006）要求的安全、卫生、洁净的饮用水，推动高质量发展、提高人民生活品质的重要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6041A6">
            <w:pPr>
              <w:jc w:val="both"/>
            </w:pPr>
            <w:r>
              <w:rPr>
                <w:rFonts w:ascii="宋体" w:hAnsi="宋体" w:eastAsia="宋体"/>
                <w:sz w:val="16"/>
              </w:rPr>
              <w:t>2024年</w:t>
            </w:r>
            <w:r>
              <w:rPr>
                <w:rFonts w:hint="eastAsia" w:ascii="宋体" w:hAnsi="宋体"/>
                <w:sz w:val="16"/>
                <w:lang w:eastAsia="zh-CN"/>
              </w:rPr>
              <w:t>本部门上缴</w:t>
            </w:r>
            <w:r>
              <w:rPr>
                <w:rFonts w:ascii="宋体" w:hAnsi="宋体" w:eastAsia="宋体"/>
                <w:sz w:val="16"/>
              </w:rPr>
              <w:t>水资源费228.55万元，上交原水费330.59万元，购电107.28万元，采购pac，pam，精制盐等专用材料费167.8万元，水质检测（39项）12次，水质检测（106项）2次，对18名聘用人员发放劳务费86.4万元，食堂伙食补助支出38.88万元，水源地运行维护费用27.77万元，切实保障喀什市城乡、疏附县城、疏勒县城101.39万居民喝上处理后符合《生活饮用水卫生标准》（GB5749-2006）要求的安全、卫生、洁净的饮用水，提高了人民生活的品质。</w:t>
            </w:r>
          </w:p>
        </w:tc>
      </w:tr>
      <w:tr w14:paraId="068B1E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0AE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BE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4C4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86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FB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CB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5E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D8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00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82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2B8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64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E198F">
            <w:pPr>
              <w:jc w:val="center"/>
            </w:pPr>
            <w:r>
              <w:rPr>
                <w:rFonts w:ascii="宋体" w:hAnsi="宋体" w:eastAsia="宋体"/>
                <w:sz w:val="16"/>
              </w:rPr>
              <w:t>偏差原因分析及改进措施</w:t>
            </w:r>
          </w:p>
        </w:tc>
      </w:tr>
      <w:tr w14:paraId="43FD76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7E0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CBFE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6A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56E0">
            <w:pPr>
              <w:jc w:val="center"/>
            </w:pPr>
            <w:r>
              <w:rPr>
                <w:rFonts w:ascii="宋体" w:hAnsi="宋体" w:eastAsia="宋体"/>
                <w:sz w:val="16"/>
              </w:rPr>
              <w:t>城乡饮水安全工程运行及保障项目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B1E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5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71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DE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4A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43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5B59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4D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7C7FF">
            <w:pPr>
              <w:jc w:val="center"/>
            </w:pPr>
          </w:p>
        </w:tc>
      </w:tr>
      <w:tr w14:paraId="07A504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126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33A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F1A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1E0C">
            <w:pPr>
              <w:jc w:val="center"/>
            </w:pPr>
            <w:r>
              <w:rPr>
                <w:rFonts w:ascii="宋体" w:hAnsi="宋体" w:eastAsia="宋体"/>
                <w:sz w:val="16"/>
              </w:rPr>
              <w:t>项目实施后水质达标率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30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0EF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CC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E3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0B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0DE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93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B4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BC635">
            <w:pPr>
              <w:jc w:val="center"/>
            </w:pPr>
          </w:p>
        </w:tc>
      </w:tr>
      <w:tr w14:paraId="419B3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C13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041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075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0893">
            <w:pPr>
              <w:jc w:val="center"/>
            </w:pPr>
            <w:r>
              <w:rPr>
                <w:rFonts w:ascii="宋体" w:hAnsi="宋体" w:eastAsia="宋体"/>
                <w:sz w:val="16"/>
              </w:rPr>
              <w:t>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F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4A0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03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C4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F8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D0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3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FA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C94C">
            <w:pPr>
              <w:jc w:val="center"/>
            </w:pPr>
          </w:p>
        </w:tc>
      </w:tr>
      <w:tr w14:paraId="571FB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2F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196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078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CAD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11A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BA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50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FA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A5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D6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AF57">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AB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61A16">
            <w:pPr>
              <w:jc w:val="center"/>
            </w:pPr>
          </w:p>
        </w:tc>
      </w:tr>
      <w:tr w14:paraId="1B07D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C5F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CFAD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814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2F89">
            <w:pPr>
              <w:jc w:val="center"/>
            </w:pPr>
            <w:r>
              <w:rPr>
                <w:rFonts w:ascii="宋体" w:hAnsi="宋体" w:eastAsia="宋体"/>
                <w:sz w:val="16"/>
              </w:rPr>
              <w:t>水资源费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D004">
            <w:pPr>
              <w:jc w:val="center"/>
            </w:pPr>
            <w:r>
              <w:rPr>
                <w:rFonts w:ascii="宋体" w:hAnsi="宋体" w:eastAsia="宋体"/>
                <w:sz w:val="16"/>
              </w:rPr>
              <w:t>&lt;=269.96万元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26B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D528">
            <w:pPr>
              <w:jc w:val="center"/>
            </w:pPr>
            <w:r>
              <w:rPr>
                <w:rFonts w:ascii="宋体" w:hAnsi="宋体" w:eastAsia="宋体"/>
                <w:sz w:val="16"/>
              </w:rPr>
              <w:t>376.92万元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F09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DC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33C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52C8">
            <w:pPr>
              <w:jc w:val="center"/>
            </w:pPr>
            <w:r>
              <w:rPr>
                <w:rFonts w:ascii="宋体" w:hAnsi="宋体" w:eastAsia="宋体"/>
                <w:sz w:val="16"/>
              </w:rPr>
              <w:t>=228.55万元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7E8D">
            <w:pPr>
              <w:jc w:val="center"/>
            </w:pPr>
            <w:r>
              <w:rPr>
                <w:rFonts w:ascii="宋体" w:hAnsi="宋体" w:eastAsia="宋体"/>
                <w:sz w:val="16"/>
              </w:rPr>
              <w:t>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4F227">
            <w:pPr>
              <w:jc w:val="center"/>
            </w:pPr>
            <w:r>
              <w:rPr>
                <w:rFonts w:ascii="宋体" w:hAnsi="宋体" w:eastAsia="宋体"/>
                <w:sz w:val="16"/>
              </w:rPr>
              <w:t>偏差率：-15.34%，偏差原因：核算不精准。改进措施：加强预算编制，精准做预算。</w:t>
            </w:r>
          </w:p>
        </w:tc>
      </w:tr>
      <w:tr w14:paraId="65AAF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5D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4E5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022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3553">
            <w:pPr>
              <w:jc w:val="center"/>
            </w:pPr>
            <w:r>
              <w:rPr>
                <w:rFonts w:ascii="宋体" w:hAnsi="宋体" w:eastAsia="宋体"/>
                <w:sz w:val="16"/>
              </w:rPr>
              <w:t>原水费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BB61">
            <w:pPr>
              <w:jc w:val="center"/>
            </w:pPr>
            <w:r>
              <w:rPr>
                <w:rFonts w:ascii="宋体" w:hAnsi="宋体" w:eastAsia="宋体"/>
                <w:sz w:val="16"/>
              </w:rPr>
              <w:t>&lt;=289.18万元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30B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883B">
            <w:pPr>
              <w:jc w:val="center"/>
            </w:pPr>
            <w:r>
              <w:rPr>
                <w:rFonts w:ascii="宋体" w:hAnsi="宋体" w:eastAsia="宋体"/>
                <w:sz w:val="16"/>
              </w:rPr>
              <w:t>125.5万元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5BC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92C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811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4242">
            <w:pPr>
              <w:jc w:val="center"/>
            </w:pPr>
            <w:r>
              <w:rPr>
                <w:rFonts w:ascii="宋体" w:hAnsi="宋体" w:eastAsia="宋体"/>
                <w:sz w:val="16"/>
              </w:rPr>
              <w:t>=330.59万元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B2D2">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29BD3">
            <w:pPr>
              <w:jc w:val="center"/>
            </w:pPr>
            <w:r>
              <w:rPr>
                <w:rFonts w:ascii="宋体" w:hAnsi="宋体" w:eastAsia="宋体"/>
                <w:sz w:val="16"/>
              </w:rPr>
              <w:t>偏差率：-98.96%，偏差原因：因核算不精准，欠往年原水费。改进措施：加强预算编制，精准做预算。</w:t>
            </w:r>
          </w:p>
        </w:tc>
      </w:tr>
      <w:tr w14:paraId="6F106A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E45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DA6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905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C1EE">
            <w:pPr>
              <w:jc w:val="center"/>
            </w:pPr>
            <w:r>
              <w:rPr>
                <w:rFonts w:ascii="宋体" w:hAnsi="宋体" w:eastAsia="宋体"/>
                <w:sz w:val="16"/>
              </w:rPr>
              <w:t>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09EB">
            <w:pPr>
              <w:jc w:val="center"/>
            </w:pPr>
            <w:r>
              <w:rPr>
                <w:rFonts w:ascii="宋体" w:hAnsi="宋体" w:eastAsia="宋体"/>
                <w:sz w:val="16"/>
              </w:rPr>
              <w:t>&lt;=107.28万元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8C9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762C">
            <w:pPr>
              <w:jc w:val="center"/>
            </w:pPr>
            <w:r>
              <w:rPr>
                <w:rFonts w:ascii="宋体" w:hAnsi="宋体" w:eastAsia="宋体"/>
                <w:sz w:val="16"/>
              </w:rPr>
              <w:t>127.2万元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714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31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20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E96B">
            <w:pPr>
              <w:jc w:val="center"/>
            </w:pPr>
            <w:r>
              <w:rPr>
                <w:rFonts w:ascii="宋体" w:hAnsi="宋体" w:eastAsia="宋体"/>
                <w:sz w:val="16"/>
              </w:rPr>
              <w:t>=107.28万元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096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2F676">
            <w:pPr>
              <w:jc w:val="center"/>
            </w:pPr>
          </w:p>
        </w:tc>
      </w:tr>
      <w:tr w14:paraId="105852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C2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45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7C7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E463">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2FEDC">
            <w:pPr>
              <w:jc w:val="center"/>
            </w:pPr>
            <w:r>
              <w:rPr>
                <w:rFonts w:ascii="宋体" w:hAnsi="宋体" w:eastAsia="宋体"/>
                <w:sz w:val="16"/>
              </w:rPr>
              <w:t>&lt;=167.8万元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3CC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7187">
            <w:pPr>
              <w:jc w:val="center"/>
            </w:pPr>
            <w:r>
              <w:rPr>
                <w:rFonts w:ascii="宋体" w:hAnsi="宋体" w:eastAsia="宋体"/>
                <w:sz w:val="16"/>
              </w:rPr>
              <w:t>130.4万元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73A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D5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F8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168E">
            <w:pPr>
              <w:jc w:val="center"/>
            </w:pPr>
            <w:r>
              <w:rPr>
                <w:rFonts w:ascii="宋体" w:hAnsi="宋体" w:eastAsia="宋体"/>
                <w:sz w:val="16"/>
              </w:rPr>
              <w:t>=167.8万元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73A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E7DD4">
            <w:pPr>
              <w:jc w:val="center"/>
            </w:pPr>
          </w:p>
        </w:tc>
      </w:tr>
      <w:tr w14:paraId="25D692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635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4B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0AF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C514">
            <w:pPr>
              <w:jc w:val="center"/>
            </w:pPr>
            <w:r>
              <w:rPr>
                <w:rFonts w:ascii="宋体" w:hAnsi="宋体" w:eastAsia="宋体"/>
                <w:sz w:val="16"/>
              </w:rPr>
              <w:t>水质检测费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F03C">
            <w:pPr>
              <w:jc w:val="center"/>
            </w:pPr>
            <w:r>
              <w:rPr>
                <w:rFonts w:ascii="宋体" w:hAnsi="宋体" w:eastAsia="宋体"/>
                <w:sz w:val="16"/>
              </w:rPr>
              <w:t>&lt;=8.94万元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EE7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67FA">
            <w:pPr>
              <w:jc w:val="center"/>
            </w:pPr>
            <w:r>
              <w:rPr>
                <w:rFonts w:ascii="宋体" w:hAnsi="宋体" w:eastAsia="宋体"/>
                <w:sz w:val="16"/>
              </w:rPr>
              <w:t>8.94万元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B40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5E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59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25CCE">
            <w:pPr>
              <w:jc w:val="center"/>
            </w:pPr>
            <w:r>
              <w:rPr>
                <w:rFonts w:ascii="宋体" w:hAnsi="宋体" w:eastAsia="宋体"/>
                <w:sz w:val="16"/>
              </w:rPr>
              <w:t>=8.94万元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A71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3D3E">
            <w:pPr>
              <w:jc w:val="center"/>
            </w:pPr>
          </w:p>
        </w:tc>
      </w:tr>
      <w:tr w14:paraId="48B2C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1A8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EF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62C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B3A2">
            <w:pPr>
              <w:jc w:val="center"/>
            </w:pPr>
            <w:r>
              <w:rPr>
                <w:rFonts w:ascii="宋体" w:hAnsi="宋体" w:eastAsia="宋体"/>
                <w:sz w:val="16"/>
              </w:rPr>
              <w:t>设备、管道维修维护保养费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6945">
            <w:pPr>
              <w:jc w:val="center"/>
            </w:pPr>
            <w:r>
              <w:rPr>
                <w:rFonts w:ascii="宋体" w:hAnsi="宋体" w:eastAsia="宋体"/>
                <w:sz w:val="16"/>
              </w:rPr>
              <w:t>&lt;=68.32万元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B9F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759C">
            <w:pPr>
              <w:jc w:val="center"/>
            </w:pPr>
            <w:r>
              <w:rPr>
                <w:rFonts w:ascii="宋体" w:hAnsi="宋体" w:eastAsia="宋体"/>
                <w:sz w:val="16"/>
              </w:rPr>
              <w:t>68.32万元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29E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80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C1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7342F">
            <w:pPr>
              <w:jc w:val="center"/>
            </w:pPr>
            <w:r>
              <w:rPr>
                <w:rFonts w:ascii="宋体" w:hAnsi="宋体" w:eastAsia="宋体"/>
                <w:sz w:val="16"/>
              </w:rPr>
              <w:t>=68.32万元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7383">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F76EB">
            <w:pPr>
              <w:jc w:val="center"/>
            </w:pPr>
          </w:p>
        </w:tc>
      </w:tr>
      <w:tr w14:paraId="428A5E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C4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4F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CC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1FF8">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B65A">
            <w:pPr>
              <w:jc w:val="center"/>
            </w:pPr>
            <w:r>
              <w:rPr>
                <w:rFonts w:ascii="宋体" w:hAnsi="宋体" w:eastAsia="宋体"/>
                <w:sz w:val="16"/>
              </w:rPr>
              <w:t>&lt;=86.4万元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D49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ECA9">
            <w:pPr>
              <w:jc w:val="center"/>
            </w:pPr>
            <w:r>
              <w:rPr>
                <w:rFonts w:ascii="宋体" w:hAnsi="宋体" w:eastAsia="宋体"/>
                <w:sz w:val="16"/>
              </w:rPr>
              <w:t>86.4万元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E2F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7F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8A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FF9C">
            <w:pPr>
              <w:jc w:val="center"/>
            </w:pPr>
            <w:r>
              <w:rPr>
                <w:rFonts w:ascii="宋体" w:hAnsi="宋体" w:eastAsia="宋体"/>
                <w:sz w:val="16"/>
              </w:rPr>
              <w:t>=86.4万元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898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2B119">
            <w:pPr>
              <w:jc w:val="center"/>
            </w:pPr>
          </w:p>
        </w:tc>
      </w:tr>
      <w:tr w14:paraId="2F9A3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998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C5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19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75BD">
            <w:pPr>
              <w:jc w:val="center"/>
            </w:pPr>
            <w:r>
              <w:rPr>
                <w:rFonts w:ascii="宋体" w:hAnsi="宋体" w:eastAsia="宋体"/>
                <w:sz w:val="16"/>
              </w:rPr>
              <w:t>车辆使用费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4DFE">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1A1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9F0B">
            <w:pPr>
              <w:jc w:val="center"/>
            </w:pPr>
            <w:r>
              <w:rPr>
                <w:rFonts w:ascii="宋体" w:hAnsi="宋体" w:eastAsia="宋体"/>
                <w:sz w:val="16"/>
              </w:rPr>
              <w: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8E25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42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7D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A69A">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A10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91760">
            <w:pPr>
              <w:jc w:val="center"/>
            </w:pPr>
          </w:p>
        </w:tc>
      </w:tr>
      <w:tr w14:paraId="359CF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143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749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0B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F35B">
            <w:pPr>
              <w:jc w:val="center"/>
            </w:pPr>
            <w:r>
              <w:rPr>
                <w:rFonts w:ascii="宋体" w:hAnsi="宋体" w:eastAsia="宋体"/>
                <w:sz w:val="16"/>
              </w:rPr>
              <w:t>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A8D0">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D7D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B85B">
            <w:pPr>
              <w:jc w:val="center"/>
            </w:pPr>
            <w:r>
              <w:rPr>
                <w:rFonts w:ascii="宋体" w:hAnsi="宋体" w:eastAsia="宋体"/>
                <w:sz w:val="16"/>
              </w:rPr>
              <w:t>7.56万元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40D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2A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1F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3910">
            <w:pPr>
              <w:jc w:val="center"/>
            </w:pPr>
            <w:r>
              <w:rPr>
                <w:rFonts w:ascii="宋体" w:hAnsi="宋体" w:eastAsia="宋体"/>
                <w:sz w:val="16"/>
              </w:rPr>
              <w:t>=18.95万元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5871">
            <w:pPr>
              <w:jc w:val="center"/>
            </w:pPr>
            <w:r>
              <w:rPr>
                <w:rFonts w:ascii="宋体" w:hAnsi="宋体" w:eastAsia="宋体"/>
                <w:sz w:val="16"/>
              </w:rPr>
              <w:t>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FB4F7">
            <w:pPr>
              <w:jc w:val="center"/>
            </w:pPr>
            <w:r>
              <w:rPr>
                <w:rFonts w:ascii="宋体" w:hAnsi="宋体" w:eastAsia="宋体"/>
                <w:sz w:val="16"/>
              </w:rPr>
              <w:t>偏差率：-5.20%，偏差原因：单位出差业务较少，差旅费未支付完。改进措施：加强预算编制，精准做预算。</w:t>
            </w:r>
          </w:p>
        </w:tc>
      </w:tr>
      <w:tr w14:paraId="28E612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0E0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A3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70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049D">
            <w:pPr>
              <w:jc w:val="center"/>
            </w:pPr>
            <w:r>
              <w:rPr>
                <w:rFonts w:ascii="宋体" w:hAnsi="宋体" w:eastAsia="宋体"/>
                <w:sz w:val="16"/>
              </w:rPr>
              <w:t>数据专线租用费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EE2B">
            <w:pPr>
              <w:jc w:val="center"/>
            </w:pPr>
            <w:r>
              <w:rPr>
                <w:rFonts w:ascii="宋体" w:hAnsi="宋体" w:eastAsia="宋体"/>
                <w:sz w:val="16"/>
              </w:rPr>
              <w:t>&lt;=2.32万元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962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4AD0">
            <w:pPr>
              <w:jc w:val="center"/>
            </w:pPr>
            <w:r>
              <w:rPr>
                <w:rFonts w:ascii="宋体" w:hAnsi="宋体" w:eastAsia="宋体"/>
                <w:sz w:val="16"/>
              </w:rPr>
              <w:t>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848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DE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41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960B">
            <w:pPr>
              <w:jc w:val="center"/>
            </w:pPr>
            <w:r>
              <w:rPr>
                <w:rFonts w:ascii="宋体" w:hAnsi="宋体" w:eastAsia="宋体"/>
                <w:sz w:val="16"/>
              </w:rPr>
              <w:t>=2.32万元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2A37">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BFF68">
            <w:pPr>
              <w:jc w:val="center"/>
            </w:pPr>
          </w:p>
        </w:tc>
      </w:tr>
      <w:tr w14:paraId="2432D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E0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A72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73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B36C">
            <w:pPr>
              <w:jc w:val="center"/>
            </w:pPr>
            <w:r>
              <w:rPr>
                <w:rFonts w:ascii="宋体" w:hAnsi="宋体" w:eastAsia="宋体"/>
                <w:sz w:val="16"/>
              </w:rPr>
              <w:t>食堂伙食补助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4EB1">
            <w:pPr>
              <w:jc w:val="center"/>
            </w:pPr>
            <w:r>
              <w:rPr>
                <w:rFonts w:ascii="宋体" w:hAnsi="宋体" w:eastAsia="宋体"/>
                <w:sz w:val="16"/>
              </w:rPr>
              <w:t>&lt;=38.88万元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99D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6FE5">
            <w:pPr>
              <w:jc w:val="center"/>
            </w:pPr>
            <w:r>
              <w:rPr>
                <w:rFonts w:ascii="宋体" w:hAnsi="宋体" w:eastAsia="宋体"/>
                <w:sz w:val="16"/>
              </w:rPr>
              <w:t>38.88万元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D36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EC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BA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E0F9">
            <w:pPr>
              <w:jc w:val="center"/>
            </w:pPr>
            <w:r>
              <w:rPr>
                <w:rFonts w:ascii="宋体" w:hAnsi="宋体" w:eastAsia="宋体"/>
                <w:sz w:val="16"/>
              </w:rPr>
              <w:t>=38.88万元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4332">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745C5">
            <w:pPr>
              <w:jc w:val="center"/>
            </w:pPr>
          </w:p>
        </w:tc>
      </w:tr>
      <w:tr w14:paraId="628A5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EAC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A93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08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EE74">
            <w:pPr>
              <w:jc w:val="center"/>
            </w:pPr>
            <w:r>
              <w:rPr>
                <w:rFonts w:ascii="宋体" w:hAnsi="宋体" w:eastAsia="宋体"/>
                <w:sz w:val="16"/>
              </w:rPr>
              <w:t>水源地运行维护费用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3C52E">
            <w:pPr>
              <w:jc w:val="center"/>
            </w:pPr>
            <w:r>
              <w:rPr>
                <w:rFonts w:ascii="宋体" w:hAnsi="宋体" w:eastAsia="宋体"/>
                <w:sz w:val="16"/>
              </w:rPr>
              <w:t>&lt;=27.80万元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6D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21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789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60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BB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ACFC">
            <w:pPr>
              <w:jc w:val="center"/>
            </w:pPr>
            <w:r>
              <w:rPr>
                <w:rFonts w:ascii="宋体" w:hAnsi="宋体" w:eastAsia="宋体"/>
                <w:sz w:val="16"/>
              </w:rPr>
              <w:t>=27.77万元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19F4">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F6C3B">
            <w:pPr>
              <w:jc w:val="center"/>
            </w:pPr>
            <w:r>
              <w:rPr>
                <w:rFonts w:ascii="宋体" w:hAnsi="宋体" w:eastAsia="宋体"/>
                <w:sz w:val="16"/>
              </w:rPr>
              <w:t>偏差率：-0.07%，偏差原因：零配件未采购齐全。改进措施：加强预算编制，精准做预算。</w:t>
            </w:r>
          </w:p>
        </w:tc>
      </w:tr>
      <w:tr w14:paraId="331E75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92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44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F5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BDF1">
            <w:pPr>
              <w:jc w:val="center"/>
            </w:pPr>
            <w:r>
              <w:rPr>
                <w:rFonts w:ascii="宋体" w:hAnsi="宋体" w:eastAsia="宋体"/>
                <w:sz w:val="16"/>
              </w:rPr>
              <w:t>保障供水工程良好运行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CCE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AAB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59D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A5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43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5C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11C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294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93101">
            <w:pPr>
              <w:jc w:val="center"/>
            </w:pPr>
          </w:p>
        </w:tc>
      </w:tr>
      <w:tr w14:paraId="33FC7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01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DE6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92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D97B">
            <w:pPr>
              <w:jc w:val="center"/>
            </w:pPr>
            <w:r>
              <w:rPr>
                <w:rFonts w:ascii="宋体" w:hAnsi="宋体" w:eastAsia="宋体"/>
                <w:sz w:val="16"/>
              </w:rPr>
              <w:t>一市两县居民满意度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41E4">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A9E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AADD">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CE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B7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12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04D0">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51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98D58">
            <w:pPr>
              <w:jc w:val="center"/>
            </w:pPr>
          </w:p>
        </w:tc>
      </w:tr>
      <w:tr w14:paraId="247F8E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2B1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7A4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713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E5DE43">
            <w:pPr>
              <w:jc w:val="center"/>
            </w:pPr>
            <w:r>
              <w:rPr>
                <w:rFonts w:ascii="宋体" w:hAnsi="宋体" w:eastAsia="宋体"/>
                <w:sz w:val="16"/>
              </w:rPr>
              <w:t>98.66分</w:t>
            </w:r>
          </w:p>
        </w:tc>
      </w:tr>
    </w:tbl>
    <w:p w14:paraId="4A89AB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D91CAE6">
        <w:tblPrEx>
          <w:tblCellMar>
            <w:top w:w="0" w:type="dxa"/>
            <w:left w:w="108" w:type="dxa"/>
            <w:bottom w:w="0" w:type="dxa"/>
            <w:right w:w="108" w:type="dxa"/>
          </w:tblCellMar>
        </w:tblPrEx>
        <w:tc>
          <w:tcPr>
            <w:tcW w:w="8848" w:type="dxa"/>
            <w:gridSpan w:val="14"/>
            <w:vAlign w:val="center"/>
          </w:tcPr>
          <w:p w14:paraId="4B603323">
            <w:pPr>
              <w:jc w:val="center"/>
            </w:pPr>
            <w:r>
              <w:rPr>
                <w:rFonts w:ascii="宋体" w:hAnsi="宋体" w:eastAsia="宋体"/>
                <w:sz w:val="24"/>
              </w:rPr>
              <w:t>项目支出绩效自评表</w:t>
            </w:r>
          </w:p>
        </w:tc>
      </w:tr>
      <w:tr w14:paraId="70A34541">
        <w:tblPrEx>
          <w:tblCellMar>
            <w:top w:w="0" w:type="dxa"/>
            <w:left w:w="108" w:type="dxa"/>
            <w:bottom w:w="0" w:type="dxa"/>
            <w:right w:w="108" w:type="dxa"/>
          </w:tblCellMar>
        </w:tblPrEx>
        <w:tc>
          <w:tcPr>
            <w:tcW w:w="8848" w:type="dxa"/>
            <w:gridSpan w:val="14"/>
            <w:vAlign w:val="center"/>
          </w:tcPr>
          <w:p w14:paraId="563C1E19">
            <w:pPr>
              <w:jc w:val="center"/>
            </w:pPr>
            <w:r>
              <w:rPr>
                <w:rFonts w:ascii="宋体" w:hAnsi="宋体" w:eastAsia="宋体"/>
                <w:sz w:val="24"/>
              </w:rPr>
              <w:t>(2024年度)</w:t>
            </w:r>
          </w:p>
        </w:tc>
      </w:tr>
      <w:tr w14:paraId="5F7AED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59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3C1472">
            <w:pPr>
              <w:jc w:val="center"/>
            </w:pPr>
            <w:r>
              <w:rPr>
                <w:rFonts w:ascii="宋体" w:hAnsi="宋体" w:eastAsia="宋体"/>
                <w:sz w:val="16"/>
              </w:rPr>
              <w:t>自治区水利系统整治群众身边不正之风和腐败问题交流会暨农村供水高质量发展现场观摩会项目</w:t>
            </w:r>
          </w:p>
        </w:tc>
      </w:tr>
      <w:tr w14:paraId="39DD7E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E3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D2A3BB">
            <w:pPr>
              <w:jc w:val="center"/>
            </w:pPr>
            <w:r>
              <w:rPr>
                <w:rFonts w:ascii="宋体" w:hAnsi="宋体" w:eastAsia="宋体"/>
                <w:sz w:val="16"/>
              </w:rPr>
              <w:t>喀什地区水利局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D0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D8ECD3">
            <w:pPr>
              <w:jc w:val="center"/>
            </w:pPr>
            <w:r>
              <w:rPr>
                <w:rFonts w:ascii="宋体" w:hAnsi="宋体" w:eastAsia="宋体"/>
                <w:sz w:val="16"/>
              </w:rPr>
              <w:t>喀什地区城乡供水总站</w:t>
            </w:r>
          </w:p>
        </w:tc>
      </w:tr>
      <w:tr w14:paraId="67B39B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F2F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90F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AD04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455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7F6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6137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0B3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7F7D">
            <w:pPr>
              <w:jc w:val="center"/>
            </w:pPr>
            <w:r>
              <w:rPr>
                <w:rFonts w:ascii="宋体" w:hAnsi="宋体" w:eastAsia="宋体"/>
                <w:sz w:val="16"/>
              </w:rPr>
              <w:t>得分</w:t>
            </w:r>
          </w:p>
        </w:tc>
      </w:tr>
      <w:tr w14:paraId="097F4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699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44E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681C9">
            <w:pPr>
              <w:jc w:val="center"/>
            </w:pPr>
            <w:r>
              <w:rPr>
                <w:rFonts w:ascii="宋体" w:hAnsi="宋体" w:eastAsia="宋体"/>
                <w:sz w:val="16"/>
              </w:rPr>
              <w:t>49.82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D5623">
            <w:pPr>
              <w:jc w:val="center"/>
            </w:pPr>
            <w:r>
              <w:rPr>
                <w:rFonts w:ascii="宋体" w:hAnsi="宋体" w:eastAsia="宋体"/>
                <w:sz w:val="16"/>
              </w:rPr>
              <w:t>49.82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EA936">
            <w:pPr>
              <w:jc w:val="center"/>
            </w:pPr>
            <w:r>
              <w:rPr>
                <w:rFonts w:ascii="宋体" w:hAnsi="宋体" w:eastAsia="宋体"/>
                <w:sz w:val="16"/>
              </w:rPr>
              <w:t>49.82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B32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AC1D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6DD7A">
            <w:pPr>
              <w:jc w:val="center"/>
            </w:pPr>
            <w:r>
              <w:rPr>
                <w:rFonts w:ascii="宋体" w:hAnsi="宋体" w:eastAsia="宋体"/>
                <w:sz w:val="16"/>
              </w:rPr>
              <w:t>10.00分</w:t>
            </w:r>
          </w:p>
        </w:tc>
      </w:tr>
      <w:tr w14:paraId="7A28E4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34C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F7C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59F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8C1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B30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AAE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DBC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9009">
            <w:pPr>
              <w:jc w:val="center"/>
            </w:pPr>
            <w:r>
              <w:rPr>
                <w:rFonts w:ascii="宋体" w:hAnsi="宋体" w:eastAsia="宋体"/>
                <w:sz w:val="16"/>
              </w:rPr>
              <w:t>—</w:t>
            </w:r>
          </w:p>
        </w:tc>
      </w:tr>
      <w:tr w14:paraId="0C5117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D88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3E9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058AB">
            <w:pPr>
              <w:jc w:val="center"/>
            </w:pPr>
            <w:r>
              <w:rPr>
                <w:rFonts w:ascii="宋体" w:hAnsi="宋体" w:eastAsia="宋体"/>
                <w:sz w:val="16"/>
              </w:rPr>
              <w:t>49.82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A45DA">
            <w:pPr>
              <w:jc w:val="center"/>
            </w:pPr>
            <w:r>
              <w:rPr>
                <w:rFonts w:ascii="宋体" w:hAnsi="宋体" w:eastAsia="宋体"/>
                <w:sz w:val="16"/>
              </w:rPr>
              <w:t>49.82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EB9B0">
            <w:pPr>
              <w:jc w:val="center"/>
            </w:pPr>
            <w:r>
              <w:rPr>
                <w:rFonts w:ascii="宋体" w:hAnsi="宋体" w:eastAsia="宋体"/>
                <w:sz w:val="16"/>
              </w:rPr>
              <w:t>49.82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C60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4E5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36DE">
            <w:pPr>
              <w:jc w:val="center"/>
            </w:pPr>
            <w:r>
              <w:rPr>
                <w:rFonts w:ascii="宋体" w:hAnsi="宋体" w:eastAsia="宋体"/>
                <w:sz w:val="16"/>
              </w:rPr>
              <w:t>—</w:t>
            </w:r>
          </w:p>
        </w:tc>
      </w:tr>
      <w:tr w14:paraId="77C4AE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66D9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4C812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AA0639">
            <w:pPr>
              <w:jc w:val="center"/>
            </w:pPr>
            <w:r>
              <w:rPr>
                <w:rFonts w:ascii="宋体" w:hAnsi="宋体" w:eastAsia="宋体"/>
                <w:sz w:val="16"/>
              </w:rPr>
              <w:t>实际完成情况</w:t>
            </w:r>
          </w:p>
        </w:tc>
      </w:tr>
      <w:tr w14:paraId="10E42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59D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B13A75">
            <w:pPr>
              <w:jc w:val="both"/>
            </w:pPr>
            <w:r>
              <w:rPr>
                <w:rFonts w:ascii="宋体" w:hAnsi="宋体" w:eastAsia="宋体"/>
                <w:sz w:val="16"/>
              </w:rPr>
              <w:t>根据新疆维吾尔自治区人民政府办公厅《新疆维吾尔自治区人民政府办公厅关于召开自治区水利系统整治群众身边不正之风和腐败问题交流会暨农村供水高质量发展现场观摩会》（新政办明电〔2024〕135号）通知要求，根据水利厅工作要求，对总水厂厂区进行完善优化，包括厂区外墙涂刷、制作横幅、路标、厂区采购长椅、彩色电子大屏、垃圾桶、制作水源地宣传栏等项目，按照会议议程内容，在喀什地区城乡供水总站总水厂召开农村供水高质量发展现场观摩会，通过本项目的实施，确保在喀什地区城乡供水总站总水厂召开的农村供水高质量发展现场观摩会顺利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E5E483">
            <w:pPr>
              <w:jc w:val="both"/>
            </w:pPr>
            <w:r>
              <w:rPr>
                <w:rFonts w:ascii="宋体" w:hAnsi="宋体" w:eastAsia="宋体"/>
                <w:sz w:val="16"/>
              </w:rPr>
              <w:t>根据通知要求，</w:t>
            </w:r>
            <w:r>
              <w:rPr>
                <w:rFonts w:hint="eastAsia" w:ascii="宋体" w:hAnsi="宋体"/>
                <w:sz w:val="16"/>
                <w:lang w:eastAsia="zh-CN"/>
              </w:rPr>
              <w:t>本部门</w:t>
            </w:r>
            <w:r>
              <w:rPr>
                <w:rFonts w:ascii="宋体" w:hAnsi="宋体" w:eastAsia="宋体"/>
                <w:sz w:val="16"/>
              </w:rPr>
              <w:t>对总水厂厂区进行完善优化，包括厂区外墙涂刷108750元、制作横幅、路标、制作水源地宣传栏、车间维修养护共计341418.9元，厂区采购长椅、垃圾桶6980元，彩色电子大屏41020元，通过本项目的实施，喀什地区城乡供水总站总水厂召开的农村供水高质量发展现场观摩会顺利完成。</w:t>
            </w:r>
          </w:p>
        </w:tc>
      </w:tr>
      <w:tr w14:paraId="3C8866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0806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42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33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DC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DE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26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D0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7C8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01D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87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56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9A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C7926">
            <w:pPr>
              <w:jc w:val="center"/>
            </w:pPr>
            <w:r>
              <w:rPr>
                <w:rFonts w:ascii="宋体" w:hAnsi="宋体" w:eastAsia="宋体"/>
                <w:sz w:val="16"/>
              </w:rPr>
              <w:t>偏差原因分析及改进措施</w:t>
            </w:r>
          </w:p>
        </w:tc>
      </w:tr>
      <w:tr w14:paraId="3B356A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F66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726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4EA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4B28">
            <w:pPr>
              <w:jc w:val="center"/>
            </w:pPr>
            <w:r>
              <w:rPr>
                <w:rFonts w:ascii="宋体" w:hAnsi="宋体" w:eastAsia="宋体"/>
                <w:sz w:val="16"/>
              </w:rPr>
              <w:t>会议天数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99B2">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42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FE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31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DD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0E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4664">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EE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586A9">
            <w:pPr>
              <w:jc w:val="center"/>
            </w:pPr>
          </w:p>
        </w:tc>
      </w:tr>
      <w:tr w14:paraId="7C105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2D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F8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28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27F27">
            <w:pPr>
              <w:jc w:val="center"/>
            </w:pPr>
            <w:r>
              <w:rPr>
                <w:rFonts w:ascii="宋体" w:hAnsi="宋体" w:eastAsia="宋体"/>
                <w:sz w:val="16"/>
              </w:rPr>
              <w:t>优化厂区数量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EA3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AF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89B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38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F4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13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9B8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CE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86150">
            <w:pPr>
              <w:jc w:val="center"/>
            </w:pPr>
          </w:p>
        </w:tc>
      </w:tr>
      <w:tr w14:paraId="30E12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84E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AE2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9D3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16DC">
            <w:pPr>
              <w:jc w:val="center"/>
            </w:pPr>
            <w:r>
              <w:rPr>
                <w:rFonts w:ascii="宋体" w:hAnsi="宋体" w:eastAsia="宋体"/>
                <w:sz w:val="16"/>
              </w:rPr>
              <w:t>观摩会完成率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C5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04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2BA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D3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52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BE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12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73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85A54">
            <w:pPr>
              <w:jc w:val="center"/>
            </w:pPr>
          </w:p>
        </w:tc>
      </w:tr>
      <w:tr w14:paraId="68FC8A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A4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2ED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884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E882">
            <w:pPr>
              <w:jc w:val="center"/>
            </w:pPr>
            <w:r>
              <w:rPr>
                <w:rFonts w:ascii="宋体" w:hAnsi="宋体" w:eastAsia="宋体"/>
                <w:sz w:val="16"/>
              </w:rPr>
              <w:t>厂区优化验收合格率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F8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62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12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9D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4F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A6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01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9B7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4702F">
            <w:pPr>
              <w:jc w:val="center"/>
            </w:pPr>
          </w:p>
        </w:tc>
      </w:tr>
      <w:tr w14:paraId="2C97D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CF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2A9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26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4071">
            <w:pPr>
              <w:jc w:val="center"/>
            </w:pPr>
            <w:r>
              <w:rPr>
                <w:rFonts w:ascii="宋体" w:hAnsi="宋体" w:eastAsia="宋体"/>
                <w:sz w:val="16"/>
              </w:rPr>
              <w:t>现场观摩会开展及时率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A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D8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4D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47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F4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36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BF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2E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8180A">
            <w:pPr>
              <w:jc w:val="center"/>
            </w:pPr>
          </w:p>
        </w:tc>
      </w:tr>
      <w:tr w14:paraId="4C355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6DC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215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917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E8C8">
            <w:pPr>
              <w:jc w:val="center"/>
            </w:pPr>
            <w:r>
              <w:rPr>
                <w:rFonts w:ascii="宋体" w:hAnsi="宋体" w:eastAsia="宋体"/>
                <w:sz w:val="16"/>
              </w:rPr>
              <w:t>观摩点位优化费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2591">
            <w:pPr>
              <w:jc w:val="center"/>
            </w:pPr>
            <w:r>
              <w:rPr>
                <w:rFonts w:ascii="宋体" w:hAnsi="宋体" w:eastAsia="宋体"/>
                <w:sz w:val="16"/>
              </w:rPr>
              <w:t>&lt;=49.82万元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D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11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0A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B2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F6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D6A6">
            <w:pPr>
              <w:jc w:val="center"/>
            </w:pPr>
            <w:r>
              <w:rPr>
                <w:rFonts w:ascii="宋体" w:hAnsi="宋体" w:eastAsia="宋体"/>
                <w:sz w:val="16"/>
              </w:rPr>
              <w:t>=49.82万元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B49E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543DD">
            <w:pPr>
              <w:jc w:val="center"/>
            </w:pPr>
          </w:p>
        </w:tc>
      </w:tr>
      <w:tr w14:paraId="5F7FC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BF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BD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44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D2D0">
            <w:pPr>
              <w:jc w:val="center"/>
            </w:pPr>
            <w:r>
              <w:rPr>
                <w:rFonts w:ascii="宋体" w:hAnsi="宋体" w:eastAsia="宋体"/>
                <w:sz w:val="16"/>
              </w:rPr>
              <w:t>提高公众身边不正之风和腐败问题整治工作的监督和支持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347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6A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8A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9C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7AD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37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0BD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EC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35622">
            <w:pPr>
              <w:jc w:val="center"/>
            </w:pPr>
          </w:p>
        </w:tc>
      </w:tr>
      <w:tr w14:paraId="5CAB7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56E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5C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42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3C15">
            <w:pPr>
              <w:jc w:val="center"/>
            </w:pPr>
            <w:r>
              <w:rPr>
                <w:rFonts w:ascii="宋体" w:hAnsi="宋体" w:eastAsia="宋体"/>
                <w:sz w:val="16"/>
              </w:rPr>
              <w:t>现场观摩会参与者满意度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78E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69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F6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9B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A2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76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29ED">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68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38C6A">
            <w:pPr>
              <w:jc w:val="center"/>
            </w:pPr>
          </w:p>
        </w:tc>
      </w:tr>
      <w:tr w14:paraId="38FD7F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2A7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EFE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07F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292A30">
            <w:pPr>
              <w:jc w:val="center"/>
            </w:pPr>
            <w:r>
              <w:rPr>
                <w:rFonts w:ascii="宋体" w:hAnsi="宋体" w:eastAsia="宋体"/>
                <w:sz w:val="16"/>
              </w:rPr>
              <w:t>100分</w:t>
            </w:r>
          </w:p>
        </w:tc>
      </w:tr>
    </w:tbl>
    <w:p w14:paraId="4F788A56">
      <w:r>
        <w:br w:type="page"/>
      </w:r>
    </w:p>
    <w:p w14:paraId="6AC78427">
      <w:pPr>
        <w:spacing w:line="640" w:lineRule="exact"/>
        <w:ind w:firstLine="640"/>
        <w:jc w:val="both"/>
        <w:outlineLvl w:val="2"/>
      </w:pPr>
      <w:r>
        <w:rPr>
          <w:rFonts w:ascii="黑体" w:hAnsi="黑体" w:eastAsia="黑体"/>
          <w:sz w:val="32"/>
        </w:rPr>
        <w:t>十二、其他需说明的事项</w:t>
      </w:r>
    </w:p>
    <w:p w14:paraId="428F1B32">
      <w:pPr>
        <w:spacing w:line="580" w:lineRule="exact"/>
        <w:ind w:firstLine="640"/>
        <w:jc w:val="both"/>
      </w:pPr>
      <w:r>
        <w:rPr>
          <w:rFonts w:hint="eastAsia" w:ascii="仿宋_GB2312" w:hAnsi="仿宋_GB2312" w:eastAsia="仿宋_GB2312"/>
          <w:b w:val="0"/>
          <w:sz w:val="32"/>
          <w:lang w:val="en-US" w:eastAsia="zh-CN"/>
        </w:rPr>
        <w:t>本部门</w:t>
      </w:r>
      <w:r>
        <w:rPr>
          <w:rFonts w:ascii="仿宋_GB2312" w:hAnsi="仿宋_GB2312" w:eastAsia="仿宋_GB2312"/>
          <w:b w:val="0"/>
          <w:sz w:val="32"/>
        </w:rPr>
        <w:t>无其他</w:t>
      </w:r>
      <w:r>
        <w:rPr>
          <w:rFonts w:hint="eastAsia" w:ascii="仿宋_GB2312" w:hAnsi="仿宋_GB2312" w:eastAsia="仿宋_GB2312"/>
          <w:b w:val="0"/>
          <w:sz w:val="32"/>
          <w:lang w:val="en-US" w:eastAsia="zh-CN"/>
        </w:rPr>
        <w:t>需</w:t>
      </w:r>
      <w:r>
        <w:rPr>
          <w:rFonts w:ascii="仿宋_GB2312" w:hAnsi="仿宋_GB2312" w:eastAsia="仿宋_GB2312"/>
          <w:b w:val="0"/>
          <w:sz w:val="32"/>
        </w:rPr>
        <w:t>说明</w:t>
      </w:r>
      <w:r>
        <w:rPr>
          <w:rFonts w:hint="eastAsia" w:ascii="仿宋_GB2312" w:hAnsi="仿宋_GB2312" w:eastAsia="仿宋_GB2312"/>
          <w:b w:val="0"/>
          <w:sz w:val="32"/>
          <w:lang w:val="en-US" w:eastAsia="zh-CN"/>
        </w:rPr>
        <w:t>的</w:t>
      </w:r>
      <w:r>
        <w:rPr>
          <w:rFonts w:ascii="仿宋_GB2312" w:hAnsi="仿宋_GB2312" w:eastAsia="仿宋_GB2312"/>
          <w:b w:val="0"/>
          <w:sz w:val="32"/>
        </w:rPr>
        <w:t>事项。</w:t>
      </w:r>
    </w:p>
    <w:p w14:paraId="396420E8">
      <w:r>
        <w:br w:type="page"/>
      </w:r>
    </w:p>
    <w:p w14:paraId="687298E3">
      <w:pPr>
        <w:spacing w:line="240" w:lineRule="auto"/>
        <w:jc w:val="center"/>
        <w:outlineLvl w:val="1"/>
      </w:pPr>
      <w:r>
        <w:rPr>
          <w:rFonts w:ascii="黑体" w:hAnsi="黑体" w:eastAsia="黑体"/>
          <w:sz w:val="32"/>
        </w:rPr>
        <w:t>第三部分 专业名词解释</w:t>
      </w:r>
    </w:p>
    <w:p w14:paraId="238F334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CE8693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061CA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C328B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AD785F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A61CF0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72A6C7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46839E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4779F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11EB61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433F5A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7345C8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1703A3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4D4F60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96B5542">
      <w:r>
        <w:br w:type="page"/>
      </w:r>
    </w:p>
    <w:p w14:paraId="72E300A9">
      <w:pPr>
        <w:spacing w:line="240" w:lineRule="auto"/>
        <w:jc w:val="center"/>
        <w:outlineLvl w:val="1"/>
      </w:pPr>
      <w:r>
        <w:rPr>
          <w:rFonts w:ascii="黑体" w:hAnsi="黑体" w:eastAsia="黑体"/>
          <w:sz w:val="32"/>
        </w:rPr>
        <w:t>第四部分 部门决算报表（见附表）</w:t>
      </w:r>
    </w:p>
    <w:p w14:paraId="7E6B7FC3">
      <w:pPr>
        <w:spacing w:line="240" w:lineRule="auto"/>
        <w:ind w:firstLine="640"/>
        <w:jc w:val="both"/>
      </w:pPr>
      <w:r>
        <w:rPr>
          <w:rFonts w:ascii="仿宋_GB2312" w:hAnsi="仿宋_GB2312" w:eastAsia="仿宋_GB2312"/>
          <w:b w:val="0"/>
          <w:sz w:val="32"/>
        </w:rPr>
        <w:t>一、《收入支出决算总表》</w:t>
      </w:r>
    </w:p>
    <w:p w14:paraId="03862565">
      <w:pPr>
        <w:spacing w:line="240" w:lineRule="auto"/>
        <w:ind w:firstLine="640"/>
        <w:jc w:val="both"/>
      </w:pPr>
      <w:r>
        <w:rPr>
          <w:rFonts w:ascii="仿宋_GB2312" w:hAnsi="仿宋_GB2312" w:eastAsia="仿宋_GB2312"/>
          <w:b w:val="0"/>
          <w:sz w:val="32"/>
        </w:rPr>
        <w:t>二、《收入决算表》</w:t>
      </w:r>
    </w:p>
    <w:p w14:paraId="509E20DC">
      <w:pPr>
        <w:spacing w:line="240" w:lineRule="auto"/>
        <w:ind w:firstLine="640"/>
        <w:jc w:val="both"/>
      </w:pPr>
      <w:r>
        <w:rPr>
          <w:rFonts w:ascii="仿宋_GB2312" w:hAnsi="仿宋_GB2312" w:eastAsia="仿宋_GB2312"/>
          <w:b w:val="0"/>
          <w:sz w:val="32"/>
        </w:rPr>
        <w:t>三、《支出决算表》</w:t>
      </w:r>
    </w:p>
    <w:p w14:paraId="0399EE95">
      <w:pPr>
        <w:spacing w:line="240" w:lineRule="auto"/>
        <w:ind w:firstLine="640"/>
        <w:jc w:val="both"/>
      </w:pPr>
      <w:r>
        <w:rPr>
          <w:rFonts w:ascii="仿宋_GB2312" w:hAnsi="仿宋_GB2312" w:eastAsia="仿宋_GB2312"/>
          <w:b w:val="0"/>
          <w:sz w:val="32"/>
        </w:rPr>
        <w:t>四、《财政拨款收入支出决算总表》</w:t>
      </w:r>
    </w:p>
    <w:p w14:paraId="4CE95CFC">
      <w:pPr>
        <w:spacing w:line="240" w:lineRule="auto"/>
        <w:ind w:firstLine="640"/>
        <w:jc w:val="both"/>
      </w:pPr>
      <w:r>
        <w:rPr>
          <w:rFonts w:ascii="仿宋_GB2312" w:hAnsi="仿宋_GB2312" w:eastAsia="仿宋_GB2312"/>
          <w:b w:val="0"/>
          <w:sz w:val="32"/>
        </w:rPr>
        <w:t>五、《一般公共预算财政拨款支出决算表》</w:t>
      </w:r>
    </w:p>
    <w:p w14:paraId="47613C6D">
      <w:pPr>
        <w:spacing w:line="240" w:lineRule="auto"/>
        <w:ind w:firstLine="640"/>
        <w:jc w:val="both"/>
      </w:pPr>
      <w:r>
        <w:rPr>
          <w:rFonts w:ascii="仿宋_GB2312" w:hAnsi="仿宋_GB2312" w:eastAsia="仿宋_GB2312"/>
          <w:b w:val="0"/>
          <w:sz w:val="32"/>
        </w:rPr>
        <w:t>六、《一般公共预算财政拨款基本支出决算表》</w:t>
      </w:r>
    </w:p>
    <w:p w14:paraId="0AAD238E">
      <w:pPr>
        <w:spacing w:line="240" w:lineRule="auto"/>
        <w:ind w:firstLine="640"/>
        <w:jc w:val="both"/>
      </w:pPr>
      <w:r>
        <w:rPr>
          <w:rFonts w:ascii="仿宋_GB2312" w:hAnsi="仿宋_GB2312" w:eastAsia="仿宋_GB2312"/>
          <w:b w:val="0"/>
          <w:sz w:val="32"/>
        </w:rPr>
        <w:t>七、《政府性基金预算财政拨款收入支出决算表》</w:t>
      </w:r>
    </w:p>
    <w:p w14:paraId="360F3016">
      <w:pPr>
        <w:spacing w:line="240" w:lineRule="auto"/>
        <w:ind w:firstLine="640"/>
        <w:jc w:val="both"/>
      </w:pPr>
      <w:r>
        <w:rPr>
          <w:rFonts w:ascii="仿宋_GB2312" w:hAnsi="仿宋_GB2312" w:eastAsia="仿宋_GB2312"/>
          <w:b w:val="0"/>
          <w:sz w:val="32"/>
        </w:rPr>
        <w:t>八、《国有资本经营预算财政拨款收入支出决算表》</w:t>
      </w:r>
    </w:p>
    <w:p w14:paraId="07C65184">
      <w:pPr>
        <w:spacing w:line="240" w:lineRule="auto"/>
        <w:ind w:firstLine="640"/>
        <w:jc w:val="both"/>
      </w:pPr>
      <w:r>
        <w:rPr>
          <w:rFonts w:ascii="仿宋_GB2312" w:hAnsi="仿宋_GB2312" w:eastAsia="仿宋_GB2312"/>
          <w:b w:val="0"/>
          <w:sz w:val="32"/>
        </w:rPr>
        <w:t>九、《财政拨款“三公”经费支出决算表》</w:t>
      </w:r>
    </w:p>
    <w:p w14:paraId="17A2AA07">
      <w:pPr>
        <w:spacing w:line="240" w:lineRule="auto"/>
        <w:ind w:firstLine="640"/>
        <w:jc w:val="both"/>
      </w:pPr>
    </w:p>
    <w:p w14:paraId="31D945BB">
      <w:pPr>
        <w:spacing w:line="240" w:lineRule="auto"/>
        <w:ind w:firstLine="640"/>
        <w:jc w:val="both"/>
      </w:pPr>
    </w:p>
    <w:p w14:paraId="11D8B596">
      <w:pPr>
        <w:spacing w:line="240" w:lineRule="auto"/>
        <w:ind w:firstLine="640"/>
        <w:jc w:val="both"/>
      </w:pPr>
    </w:p>
    <w:p w14:paraId="63E4239D">
      <w:pPr>
        <w:spacing w:line="240" w:lineRule="auto"/>
        <w:ind w:firstLine="640"/>
        <w:jc w:val="both"/>
      </w:pPr>
    </w:p>
    <w:p w14:paraId="066420D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236E97"/>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4F1C63"/>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413C64"/>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3A6B8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4350</Words>
  <Characters>5009</Characters>
  <Lines>0</Lines>
  <Paragraphs>0</Paragraphs>
  <TotalTime>37</TotalTime>
  <ScaleCrop>false</ScaleCrop>
  <LinksUpToDate>false</LinksUpToDate>
  <CharactersWithSpaces>5017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2025-09-03T10:14:31Z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