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城乡饮水安全工程运行及保障项目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喀什地区城乡供水总站</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喀什地区水利局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青松</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城乡安全饮水运行及保障项目实施前期、过程及效果，评价财政预算资金使用的效率及效益。通过该项目的实施，解决喀什“一市两县”境内所辖的城乡居民水质不安全、水量不达标问题，保障项目区101.39万居民喝上处理后符合《生活饮用水卫生标准》（GB5749-2006）要求的安全、卫生、洁净的饮用水。</w:t>
        <w:br/>
        <w:t>2. 主要内容及实施情况</w:t>
        <w:br/>
        <w:t>根据《中共喀什地区委员会机构编制委员会办公室关于&lt;关于设立喀什地区城乡供水总站的通知&gt;的批复》（喀党编办发〔2020〕8号）、《关于加强农村饮水安全工程水质检测能力建设的指导意见》(发改农经〔2013〕2259号)、《关于进一步强化农村饮水工程水质净化消毒和检测工作的通知》水农〔2015〕116号)文件，符合国家、自治区以及喀什地区等相关政策、规划和法律法规。缴纳水资源费、原水费，购电107.28万元，采购PAC360吨，采购精制盐90吨，采购PAM5吨，水质常规检测12次，水质全项检测2次，对18名聘用人员发放工资，水厂设备维保，切实保障喀什市城乡、疏附县城、疏勒县城101.39万居民喝上处理后符合《生活饮用水卫生标准》（GB5749-2006）要求的安全、卫生、洁净的饮用水，推动高质量发展、提高人民生活品质的重要保障。</w:t>
        <w:br/>
        <w:t>3.项目实施主体</w:t>
        <w:br/>
        <w:t>喀什地区城乡供水总站为差额事业单位，纳入2024年部门决算编制范围的有7个部门：综合管理部、运维保障部、水质检测部、财务资产部、水源保障部、建设管理部、供水调度部。</w:t>
        <w:br/>
        <w:t>编制人数65人，其中：全额预算事业编制10名、差额预算事业编制55人。实有在职人数58人，其中：事业在职58人。</w:t>
        <w:br/>
        <w:t>4. 资金投入和使用情况</w:t>
        <w:br/>
        <w:t>城乡安全饮水运行及保障项目根据（喀地财发〔2024〕1号）&lt;关于下达2024年喀什地区本级部门预算的通知&gt;共安排下达资金共安排下达资金1099.37万元，为事业收入资金，最终确定项目资金总数为1099.37万元。</w:t>
        <w:br/>
        <w:t>截至2024年12月31日，实际支出1098.30万元，预算执行率99.90%。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按照《关于加强农村饮水安全工程水质检测能力建设的指导意见》(发改农经〔2013〕2259号)、《农村饮水安全工程建设管理办法》（发改农经〔2013〕2673号）、《关于印发农村供水监督检查管理办（试行）的通知》(水农〔2019〕243号)文件要求，我单位开展城乡供水保障工程监管指导服务，为城乡供水工程运行管理提供技术支撑和服务，协调解决跨县市供水工程运行安全问题，保障城乡供水工程长期稳定良好的运行。为确保城乡供水工程正常运行，缴纳水资源费、原水费，全年缴纳107.28万元电费、采购PAC360吨、精制盐90吨，采购PAM5吨，水质常规检测12次，水质全项检测2次，对18名聘用人员发放工资，水厂设备维保，切实保障喀什市城乡、疏附县城、疏勒县城101.39万居民喝上处理后符合《生活饮用水卫生标准》（GB5749-2006）要求的安全、卫生、洁净的饮用水，推动高质量发展、提高人民生活品质的重要保障。</w:t>
        <w:br/>
        <w:t>2.阶段性目标</w:t>
        <w:br/>
        <w:t>实施的前期准备工作：我单位开展城乡供水保障工程监管指导服务，为城乡供水工程运行管理提供技术支撑和服务，协调解决跨县市供水工程运行安全问题，保障城乡供水工程长期稳定良好的运行，</w:t>
        <w:br/>
        <w:t>具体实施工作：缴纳水资源费、原水费，缴纳电费107.28万元、采购PAC280吨、精制盐90吨，PAM4吨，水质常规检测12次，水质全项检测2次，对18名聘用人员发放工资，水厂设备维保,保障单位正常运转。</w:t>
        <w:br/>
        <w:t>验收阶段的具体工作：截止2024年12月31日，本项目很好的实施，有效解决了城乡居民水质不安全、水量不达标问题，保障项目区101.39万居民喝上处理后符合《生活饮用水卫生标准》（GB5749-2006）要求的安全、卫生、洁净的饮用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城乡饮水安全工程运行及保障项目综合评分表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14.34</w:t>
        <w:br/>
        <w:t>效益（10分）	项目效益（10分）   实施效益（10分）		10</w:t>
        <w:br/>
        <w:t>满意度（10分）	满意度（10分）	   满意度（10分）		10</w:t>
        <w:br/>
        <w:t xml:space="preserve">                权重分值：100分	   总得分    	               99.34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青松任评价组组长，绩效评价工作职责为负责全盘工作。</w:t>
        <w:br/>
        <w:t>卢安科任评价组副组长，绩效评价工作职责为为对项目实施情况进行实地调查。</w:t>
        <w:br/>
        <w:t>许晓娟任评价组成员，绩效评价工作职责为负责资料审核等工作。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通过实施城乡安全饮水运行及保障项目产生社会效益。项目实施主要通过项目决策、项目过程、项目产出以及项目效益等方面进行评价，其中：</w:t>
        <w:br/>
        <w:t>项目决策：该项目主要通过喀什地区城乡供水总站2024年度工作重点和工作计划制定经费预算立项，项目实施符合国家、自治区要求，项目立项依据充分，立项程序规范。 </w:t>
        <w:br/>
        <w:t>项目过程：城乡安全饮水运行及保障项目预算安排 1099.37万元，实际支出1098.30万元，预算执行率99.90%。项目资金使用合规，项目财务管理制度健全，财务监控到位，所有资金支付均按照国库集中支付制度严格执行，现有项目管理制度执行情况良好。</w:t>
        <w:br/>
        <w:t>项目产出：按照《关于加强农村饮水安全工程水质检测能力建设的指导意见》(发改农经〔2013〕2259号)、《农村饮水安全工程建设管理办法》（发改农经〔2013〕2673号）、《关于印发农村供水监督检查管理办（试行）的通知》(水农〔2019〕243号)文件要求，我单位开展城乡供水保障工程监管指导服务，为城乡供水工程运行管理提供技术支撑和服务，协调解决跨县市供水工程运行安全问题，保障城乡供水工程长期稳定良好的运行。2024年组织职工对各县市城乡供水体制和运行机制改革开展调研、监督指导检查工作。为确保城乡供水工程正常运行，我单位全年缴纳电费107.28万元、缴纳水资源费、原水费559.14万元，采购PAC360吨、PAM5吨、精制盐90吨，常规水质检测每月一次共计12次，对18名聘用人员发放工资，水厂设备维保,保障了单位正常运转。</w:t>
        <w:br/>
        <w:t>项目效益：通过本项目的实施，有效解决了喀什“一市两县”境内所辖的城乡居民水质不安全、水量不达标问题，保障项目区101.39万居民喝上处理后符合《生活饮用水卫生标准》（GB5749-2006）要求的安全、卫生、洁净的饮用水。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城乡安全饮水运行及保障项目进行客观评价，最终评分结果：评价总分99.34分，绩效等级为“优”，每项一级指标得分情况见下表：</w:t>
        <w:br/>
        <w:t>城乡饮水安全工程运行及保障项目绩效评价评分汇总表</w:t>
        <w:br/>
        <w:t>一级指标	标准分值	得分	得分率</w:t>
        <w:br/>
        <w:t>决策指标	   15.00	15.00	  100%</w:t>
        <w:br/>
        <w:t>过程指标	   20.00	20.00	  100%</w:t>
        <w:br/>
        <w:t>产出指标	   45.00	44.34	  98.53%</w:t>
        <w:br/>
        <w:t>效益指标	   20.00	20.00	  100%</w:t>
        <w:br/>
        <w:t>合计	          100.00	99.34	  99.34%</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本项目立项符合《喀什地区城乡供水总站单位配置内设机构和人员编制规定》中职责范围中的为城乡供水工程运行管理提供技术支撑和服务，协调解决跨县市供水工程运行安全问题，保障城乡供水工程长期稳定良好的运行职责，属于我单位履职所需；根据《财政资金直接支付申请书》，本项目资金性质为“事业收入”，功能分类为“2130306水利工程运行与维护”经济分类为“50502商品和服务支出”属于财政支持范围，符合中央、地方事权支出责任划分原则；经检查我单位财政管理一体化信息系统，本项目不存在重复。结合为城乡供水工程运行管理提供技术支撑和服务，协调解决跨县市供水工程运行安全问题，保障城乡供水工程长期稳定良好的运行，并组织实施该项目。围绕喀什地区城乡供水总站2024年度工作重点和工作计划制定项目预算，根据评分标准，该指标不扣分，得3分。</w:t>
        <w:br/>
        <w:t>（2）立项程序规范性：根据喀什地区城乡供水总站城乡饮水安全工程运行及保障决策依据编制全年运行工作计划和运行经费预算，经过与分管领导进行沟通、筛选确定经费预算计划，上喀什地区城乡供水总站支部会研究确定最终预算方案，根据评分标准，该指标不扣分，得2分。</w:t>
        <w:br/>
        <w:t>（3）绩效目标合理性：</w:t>
        <w:br/>
        <w:t>①该项目已设置年度绩效目标，具体内容为城乡饮水安全工程运行及保障项目是地区重点民生工程，为解决喀什市城乡、疏附县城、疏勒县城101.39万人的生活饮用水水量不足、水质不达标问题，我站计划上交水资源费2699565元，上交原水费2891760元，采购pac360吨，pam5吨.采购精制盐90吨，水质检测（39项）12次，水质检测（106项）2次，对18名聘用人员发放工资及员工生活补助，切实保障喀什市城乡、疏附县城、疏勒县城101.39万居民喝上处理后符合《生活饮用水卫生标准》（GB5749-2006）要求的安全、卫生、洁净的饮用水，推动高质量发展、提高人民生活品质的重要保障。。</w:t>
        <w:br/>
        <w:t>②该项目实际工作内容为：2024年我单位水资源费228.55万元，原水费330.59万元，购电107.28万元，采购pac，pam，精制盐等专用材料费167.8万元，水质检测（39项）12次，水质检测（106项）2次，对18名聘用人员发放劳务费86.4万元，食堂伙食补助支出38.88万元，水源地运行维护费用27.8万元，切实保障喀什市城乡、疏附县城、疏勒县城101.39万居民喝上处理后符合《生活饮用水卫生标准》（GB5749-2006）要求的安全、卫生、洁净的饮用水，提高了人民生活的品质。绩效目标与实际工作内容一致，两者具有相关性。</w:t>
        <w:br/>
        <w:t>③该项目按照绩效目标完成数量指标、质量指标、时效指标、成本指标，完成了上交水资源费228.55万元，上交原水费330.59万元，购电107.28万元，采购pac，pam，精制盐等专用材料费167.8万元，水质检测（39项）12次，水质检测（106项）2次，对18名聘用人员发放劳务费86.4万元，食堂伙食补助支出38.88万元，水源地运行维护费用27.8万元，，切实保障喀什市城乡、疏附县城、疏勒县城101.39万居民喝上处理后符合《生活饮用水卫生标准》（GB5749-2006）要求的安全、卫生、洁净的饮用水，提高了人民生活的品质。预期产出效益和效果符合正常的业绩水平。</w:t>
        <w:br/>
        <w:t>④该项目批复的预算金额为1099.37万元，《项目支出绩效目标表》中预算金额为1099.37万元，预算确定的项目资金与预算确定的项目投资额相匹配。</w:t>
        <w:br/>
        <w:t>⑤本单位制定了实施方案，明确了总体思路及目标、并对任务进行了详细分解，对目标进行了细化，根据评分标准，该指标不扣分，得2分。</w:t>
        <w:br/>
        <w:t>（4）绩效指标明确性：经检查我单位年初设置的《项目支出绩效目标表》，得出如下结论：本项目已将年度绩效目标进行细化为绩效指标体系，共设置一级指标4个，二级指标6个，三级指标18个，定量指标17个，定性指标1个，指标量化率为94.44%，量化率达70.0%以上，将项目绩效目标细化分解为具体的绩效指标。</w:t>
        <w:br/>
        <w:t>该《项目绩效目标申报表》中，数量指标指标值为城乡饮水安全工程运行及保障项目1个，三级指标的年度指标值与年度绩效目标中任务数一致，已设置时效指标2024年12月20日完成。已设置的绩效目标具备明确性、可衡量性、可实现性、相关性、时限性。根据评分标准，该指标不扣分，得2分。</w:t>
        <w:br/>
        <w:t>（5）预算编制科学性：本项目城乡饮水安全工程运行及保障项目，即预算编制较科学且经过论证；</w:t>
        <w:br/>
        <w:t>预算申请内容为我站计划水资源费2699565元，原水费2891760元，采购pac360吨，pam5吨,采购精制盐90吨，水质检测（39项）12次，水质检测（106项）2次，对18名聘用人员发放工资及员工生活补助，切实保障喀什市城乡、疏附县城、疏勒县城101.39万居民喝上处理后符合《生活饮用水卫生标准》（GB5749-2006）要求的安全、卫生、洁净的饮用水，推动高质量发展、提高人民生活品质的重要保障。项目实际内容为水资源费228.55万元，原水费330.59万元，购电107.28万元，采购pac，pam，精制盐等专用材料费167.8万元，水质检测（39项）12次，水质检测（106项）2次，对18名聘用人员发放劳务费86.4万元，食堂伙食补助支出38.88万元，水源地运行维护费用27.8万元，切实保障喀什市城乡、疏附县城、疏勒县城101.39万居民喝上处理后符合《生活饮用水卫生标准》（GB5749-2006）要求的安全、卫生、洁净的饮用水，提高了人民生活的品质。预算申请与《城乡饮水安全工程运行及保障项目实施方案》中涉及的项目内容匹配；</w:t>
        <w:br/>
        <w:t>本项目预算申请资金1099.37万元，我单位在预算申请中严格按照项目实施内容及测算标准进行核算，其中：水资源费用269.96万元、原水费费用289.18万元、电费费用107.28万元，专用材料费167.8万元，水质检测费8.94万元，设备、管道维修维护保养费68.32万元，劳务费86.4万元，车辆使用费12.5万元，运转经费20万元，数据专线租用费2.32万元，食堂伙食补助38.88万元，水源地运行维护费用27.8万元，预算确定资金量与实际工作任务较不匹配。原因：单位出差业务较少，差旅费未支付完。改进措施：加强预算编制，精准做预算。</w:t>
        <w:br/>
        <w:t>根据评分标准，该指标扣1分，得2分。</w:t>
        <w:br/>
        <w:t>（6）资金分配合理性：本项目实际分配资金以《城乡饮水安全工程运行及保障项目实施方案》为依据进行资金分配，预算资金分配依据充分。根据关于批复（2024年喀什地区本级部门预算的通知）喀地财发〔2024〕1号，本项目实际到位资金1099.37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本项目预算资金为1099.37万元，其中：财政安排资金0万元，其他资金1099.37万元，实际到位资金1099.37万元，资金到位率100%；通过分析可知，该项目财政资金足额拨付到位，能够及时足额支付给实施单位。根据评分标准，该指标不扣分，得3分。   </w:t>
        <w:br/>
        <w:t>（2）预算执行率：本项目实际支出资金1099.37万元，预算执行率=（1098.30万元/1099.37万元）×100.0%=99.90%；项目已完成，通过分析可知，该项目预算编制较为详细，项目资金支出总体能够按照预算执行，根据评分标准，该指标不扣分，得3分。</w:t>
        <w:br/>
        <w:t>（3）资金使用合规性：通过检查项目资金申请文件、国库支付凭证等财务资料，得出本项目资金支出符合国家财经法规、《政府会计制度》《喀什地区城乡供水总站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项目资金管理办法》《项目收支业务管理制度》《项目政府采购业务管理制度》《项目合同管理制度》，相关制度均符合行政事业单位内控管理要求，财务和业务管理制度合法、合规、完整，本项目执行符合上述制度规定。根据评分标准，该指标不扣分，得5分。</w:t>
        <w:br/>
        <w:t>（5）制度执行有效性：①该项目的实施符合《项目管理办法》《财务管理制度》《事业单位采购业务管理制度》《项目采购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城乡饮水安全工程运行及保障项目工作领导小组，由青松任组长，负责项目的组织工作；卢安科任副组长，负责项目的实施工作；组员包括：许晓娟和吴易彤，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项目产出类指标包括产出数量、产出质量、产出时效三方面的内容，由4个三级指标构成，权重分为45分，实际得分44.34分，得分率为98.53%。</w:t>
        <w:br/>
        <w:t>（1）对于“产出数量”</w:t>
        <w:br/>
        <w:t>城乡饮水安全工程运行及保障项目指标，预期指标值为等于1个，实际完成值为1个，指标完成率为100%，与预期目标一致，根据评分标准，该指标不扣分，得10分。</w:t>
        <w:br/>
        <w:t>合计得10分。</w:t>
        <w:br/>
        <w:t>（2）对于“产出质量”：</w:t>
        <w:br/>
        <w:t>项目实施后水质达标率指标，预期指标值为100%，实际完成值为100%，指标完成率为100%，与预期目标一致，根据评分标准，该指标不扣分，得5分。</w:t>
        <w:br/>
        <w:t>采购质量合格率指标，预期指标值为100%，实际完成值为100%，指标完成率为100%，与预期目标一致，根据评分标准，该指标不扣分，得5分。</w:t>
        <w:br/>
        <w:t>合计得10分。</w:t>
        <w:br/>
        <w:t>（3）对于“产出时效”：</w:t>
        <w:br/>
        <w:t>项目完成时间指标，预期指标值为2024年12月20日前，实际完成值为2024年12月30日，指标完成率为100%，与预期目标一致，根据评分标准，该指标不扣分，得10分。</w:t>
        <w:br/>
        <w:t>合计得10分。</w:t>
        <w:br/>
        <w:t>（4）对于“产出成本”：</w:t>
        <w:br/>
        <w:t>水资源费成本指标，预期指标值为小于等于269.96万元，实际完成值为228.55万元，指标完成率为84.66%，得分=（84.66%-60%）/（100%-60%）×1分=0.62分，与预期目标存在偏差，偏差原因：核算不精准。改进措施：加强预算编制，达到预期目标。根据评分标准，该指标扣0.38分，得0.62分。</w:t>
        <w:br/>
        <w:t xml:space="preserve">    原水费成本指标，预期指标值为小于等于289.18万元，实际完成值为330.59万元，指标完成率为114.32%，得分=1-（114.32%-100%）×1=0.86分，与预期目标存在偏差，偏差原因：预算绩效指标不精准。改进措施：精准编制原水费成本指标预算。根据评分标准，该指标扣0.14分，得0.86分。</w:t>
        <w:br/>
        <w:t xml:space="preserve">    电费成本指标，预期指标值为小于等于107.28万元，实际完成值为107.28万元，指标完成率为100%，与预期目标一致，根据评分标准，该指标不扣分，得1分。</w:t>
        <w:br/>
        <w:t xml:space="preserve">    专用材料费成本指标，预期指标值为小于等于167.8万元，实际完成值为167.8万元，指标完成率为100%，与预期目标一致，根据评分标准，该指标不扣分，得1分。</w:t>
        <w:br/>
        <w:t xml:space="preserve">    水质检测费成本指标，预期指标值为小于等于8.94万元，实际完成值为8.94万元，指标完成率为100%，与预期目标一致，根据评分标准，该指标不扣分，得2分。</w:t>
        <w:br/>
        <w:t xml:space="preserve">    设备、管道维修维护保养费成本指标，预期指标值为小于等于68.32万元，实际完成值为68.32万元，指标完成率为100%，与预期目标一致，根据评分标准，该指标不扣分，得2分。</w:t>
        <w:br/>
        <w:t xml:space="preserve">    劳务费成本指标，预期指标值为小于等于86.4万元，实际完成值为86.4万元，指标完成率为100%，与预期目标一致，根据评分标准，该指标不扣分，得2分。</w:t>
        <w:br/>
        <w:t xml:space="preserve">    车辆使用费成本指标，预期指标值为小于等于12.5万元，实际完成值为12.5万元，指标完成率为100%，与预期目标一致，根据评分标准，该指标不扣分，得1分。</w:t>
        <w:br/>
        <w:t xml:space="preserve">    运转经费成本指标，预期指标值为小于等于20万元，实际完成值为18.96万元，指标完成率为94.75%，得分=（94.75%-60%）/（100%-60%）×1分=0.87分，与预期目标存在偏差，偏差原因：预算绩效指标不精准。改进措施：精准编制预算。根据评分标准，该指标扣0.13分，得0.87分。</w:t>
        <w:br/>
        <w:t xml:space="preserve">    数据专线租用费指标，预期指标值为小于等于2.32万元，实际完成值为2.32万元，指标完成率为100%，与预期目标一致，根据评分标准，该指标不扣分，得1分。</w:t>
        <w:br/>
        <w:t xml:space="preserve">    食堂伙食补助成本指标，预期指标值为小于等于38.88万元，实际完成值为38.88万元，指标完成率为100%，与预期目标一致，根据评分标准，该指标不扣分，得1分。</w:t>
        <w:br/>
        <w:t xml:space="preserve">    水源地运行维护费用成本指标，预期指标值为小于等于27.80万元，实际完成值为27.78万元，指标完成率为99.93%，得分=（99.93%-60%）/（100%-60%）×1分=0.99分，与预期目标存在偏差。偏差原因：零配件未采购齐全。改进措施：加强预算编制。根据评分标准，该指标扣0.01分，得0.99分。</w:t>
        <w:br/>
        <w:t xml:space="preserve">    合计得14.34分。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</w:t>
        <w:br/>
        <w:t>（1）对于“社会效益指标”：</w:t>
        <w:br/>
        <w:t>保障供水工程稳定运行指标，预期指标值为保障，实际完成值为保障，指标完成率为100%，与预期目标一致，根据评分标准，该指标不扣分，得10分。</w:t>
        <w:br/>
        <w:t>（2）对于“经济效益指标”：</w:t>
        <w:br/>
        <w:t>无</w:t>
        <w:br/>
        <w:t>（3）对于“生态效益指标”：</w:t>
        <w:br/>
        <w:t>无</w:t>
        <w:b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项目满意度指标包括项目效益1个方面的内容，由1个三级指标构成，权重分为10分，实际得分10分，得分率为100%。</w:t>
        <w:br/>
        <w:t>满意度指标分析</w:t>
        <w:br/>
        <w:t>对于“满意度指标：一市两县居民满意度，该指标预期指标值为大于等于99%，实际完成值为99%，指标完成率为100%，与预期目标一致。符合预期目标，根据评分标准，该指标不扣分,得10分。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城乡饮水安全工程运行及保障项目预算1099.37万元，到位1099.37万元，实际支出1098.30万元，预算执行率为99.90%，项目绩效指标总体完成率为99.7%，偏差率为0.3%。偏差原因1.单位出差业务较少，差旅费未支付完。改进措施：细化预算指标，精准预算。2.水源地运行维护费用未支付完，个别零配件未采购齐全。改进措施：加强与业务部门沟通，精准预算。</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城乡安全饮水运行及保障项目实施效果较好的原因：主要是管理制度完善、责任落实到位，跟踪考核机制完善且运行有效，定期不定期地对项目实施情况和经费使用情况进行跟踪检查，对进展缓慢的项目，及时调整整改，确保项目实施工作正常运行，达到预期目标。在项目实施过程中创新管理办法，采用监督管理方式使项目取得了良好的效果。</w:t>
        <w:br/>
        <w:t>（二）存在问题及原因分析</w:t>
        <w:br/>
        <w:t>绩效目标和指标往往根据项目实际完成情况制定，对项目执行过程有效约束不够，存在一定偏差。对各项指标和指标值要进一步优化、完善，主要在细化、量化上改进。单位出差业务较少，差旅费未支付完，改进措施：细化预算指标，精准预算。</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要规范绩效评价管理资料的收集整理，确保相关信息完整可靠，客观公正的反映项目资金实际使用和产生的绩效状况，为今后项目实施方向及管理方式改进提供指导。</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