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喀什地区植物保护站2024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2C8EA28">
      <w:r>
        <w:br w:type="page"/>
      </w:r>
    </w:p>
    <w:p w14:paraId="08526686">
      <w:pPr>
        <w:spacing w:line="640" w:lineRule="exact"/>
        <w:jc w:val="center"/>
        <w:outlineLvl w:val="1"/>
      </w:pPr>
      <w:r>
        <w:rPr>
          <w:rFonts w:ascii="黑体" w:hAnsi="黑体" w:eastAsia="黑体"/>
          <w:sz w:val="32"/>
        </w:rPr>
        <w:t>第一部分 部门概况</w:t>
      </w:r>
    </w:p>
    <w:p w14:paraId="2B0566AB">
      <w:pPr>
        <w:spacing w:line="640" w:lineRule="exact"/>
        <w:ind w:firstLine="640"/>
        <w:jc w:val="both"/>
        <w:outlineLvl w:val="2"/>
      </w:pPr>
      <w:r>
        <w:rPr>
          <w:rFonts w:ascii="黑体" w:hAnsi="黑体" w:eastAsia="黑体"/>
          <w:sz w:val="32"/>
        </w:rPr>
        <w:t>一、主要职能</w:t>
      </w:r>
    </w:p>
    <w:p w14:paraId="314AB21B">
      <w:pPr>
        <w:spacing w:line="580" w:lineRule="exact"/>
        <w:ind w:firstLine="640"/>
        <w:jc w:val="both"/>
      </w:pPr>
      <w:r>
        <w:rPr>
          <w:rFonts w:ascii="仿宋_GB2312" w:hAnsi="仿宋_GB2312" w:eastAsia="仿宋_GB2312"/>
          <w:sz w:val="32"/>
        </w:rPr>
        <w:t>（1）承担全地区植物保护技术推广工作。</w:t>
      </w:r>
    </w:p>
    <w:p w14:paraId="045357E5">
      <w:pPr>
        <w:spacing w:line="580" w:lineRule="exact"/>
        <w:ind w:firstLine="640"/>
        <w:jc w:val="both"/>
      </w:pPr>
      <w:r>
        <w:rPr>
          <w:rFonts w:ascii="仿宋_GB2312" w:hAnsi="仿宋_GB2312" w:eastAsia="仿宋_GB2312"/>
          <w:sz w:val="32"/>
        </w:rPr>
        <w:t>（2）承担农作物病虫草鼠害预测预报等工作。</w:t>
      </w:r>
    </w:p>
    <w:p w14:paraId="03C60E4D">
      <w:pPr>
        <w:spacing w:line="580" w:lineRule="exact"/>
        <w:ind w:firstLine="640"/>
        <w:jc w:val="both"/>
      </w:pPr>
      <w:r>
        <w:rPr>
          <w:rFonts w:ascii="仿宋_GB2312" w:hAnsi="仿宋_GB2312" w:eastAsia="仿宋_GB2312"/>
          <w:sz w:val="32"/>
        </w:rPr>
        <w:t>（3）承担农作物有害生物的防控工作。</w:t>
      </w:r>
    </w:p>
    <w:p w14:paraId="04EE41C4">
      <w:pPr>
        <w:spacing w:line="580" w:lineRule="exact"/>
        <w:ind w:firstLine="640"/>
        <w:jc w:val="both"/>
      </w:pPr>
      <w:r>
        <w:rPr>
          <w:rFonts w:ascii="仿宋_GB2312" w:hAnsi="仿宋_GB2312" w:eastAsia="仿宋_GB2312"/>
          <w:sz w:val="32"/>
        </w:rPr>
        <w:t>（4）承担新技术和新农药、药械的试验示范、推广等工作。</w:t>
      </w:r>
    </w:p>
    <w:p w14:paraId="05D8DEB0">
      <w:pPr>
        <w:spacing w:line="580" w:lineRule="exact"/>
        <w:ind w:firstLine="640"/>
        <w:jc w:val="both"/>
      </w:pPr>
      <w:r>
        <w:rPr>
          <w:rFonts w:ascii="仿宋_GB2312" w:hAnsi="仿宋_GB2312" w:eastAsia="仿宋_GB2312"/>
          <w:sz w:val="32"/>
        </w:rPr>
        <w:t>（5）承担外来入侵有害生物风险评估、疫情监测、应急处置及防控等工作。</w:t>
      </w:r>
    </w:p>
    <w:p w14:paraId="107512EF">
      <w:pPr>
        <w:spacing w:line="640" w:lineRule="exact"/>
        <w:ind w:firstLine="640"/>
        <w:jc w:val="both"/>
        <w:outlineLvl w:val="2"/>
      </w:pPr>
      <w:r>
        <w:rPr>
          <w:rFonts w:ascii="黑体" w:hAnsi="黑体" w:eastAsia="黑体"/>
          <w:sz w:val="32"/>
        </w:rPr>
        <w:t>二、机构设置及人员情况</w:t>
      </w:r>
    </w:p>
    <w:p w14:paraId="6EAFF2FF">
      <w:pPr>
        <w:spacing w:line="580" w:lineRule="exact"/>
        <w:ind w:firstLine="640"/>
        <w:jc w:val="both"/>
      </w:pPr>
      <w:r>
        <w:rPr>
          <w:rFonts w:ascii="仿宋_GB2312" w:hAnsi="仿宋_GB2312" w:eastAsia="仿宋_GB2312"/>
          <w:sz w:val="32"/>
        </w:rPr>
        <w:t>喀什地区植物保护站2024年度，实有人数16人，其中：在职人员10人，增加0人；离休人员0人，增加0人；退休人员6人,增加0人。</w:t>
      </w:r>
    </w:p>
    <w:p w14:paraId="505A1FB3">
      <w:pPr>
        <w:spacing w:line="580" w:lineRule="exact"/>
        <w:ind w:firstLine="640"/>
        <w:jc w:val="both"/>
      </w:pPr>
      <w:r>
        <w:rPr>
          <w:rFonts w:ascii="仿宋_GB2312" w:hAnsi="仿宋_GB2312" w:eastAsia="仿宋_GB2312"/>
          <w:sz w:val="32"/>
        </w:rPr>
        <w:t>喀什地区植物保护站无下属预算单位，下设1个科室，分别是：办公室。</w:t>
      </w:r>
    </w:p>
    <w:p w14:paraId="2BAF97F1">
      <w:r>
        <w:br w:type="page"/>
      </w:r>
    </w:p>
    <w:p w14:paraId="10BD7502">
      <w:pPr>
        <w:spacing w:line="240" w:lineRule="auto"/>
        <w:jc w:val="center"/>
        <w:outlineLvl w:val="1"/>
      </w:pPr>
      <w:r>
        <w:rPr>
          <w:rFonts w:ascii="黑体" w:hAnsi="黑体" w:eastAsia="黑体"/>
          <w:sz w:val="32"/>
        </w:rPr>
        <w:t>第二部分 部门决算情况说明</w:t>
      </w:r>
    </w:p>
    <w:p w14:paraId="580C9CD6">
      <w:pPr>
        <w:spacing w:line="640" w:lineRule="exact"/>
        <w:ind w:firstLine="640"/>
        <w:jc w:val="both"/>
        <w:outlineLvl w:val="2"/>
      </w:pPr>
      <w:r>
        <w:rPr>
          <w:rFonts w:ascii="黑体" w:hAnsi="黑体" w:eastAsia="黑体"/>
          <w:sz w:val="32"/>
        </w:rPr>
        <w:t>一、收入支出决算总体情况说明</w:t>
      </w:r>
    </w:p>
    <w:p w14:paraId="483AD1B9">
      <w:pPr>
        <w:spacing w:line="580" w:lineRule="exact"/>
        <w:ind w:firstLine="640"/>
        <w:jc w:val="both"/>
      </w:pPr>
      <w:r>
        <w:rPr>
          <w:rFonts w:ascii="仿宋_GB2312" w:hAnsi="仿宋_GB2312" w:eastAsia="仿宋_GB2312"/>
          <w:b/>
          <w:sz w:val="32"/>
        </w:rPr>
        <w:t>2024年度收入总计206.55万元，</w:t>
      </w:r>
      <w:r>
        <w:rPr>
          <w:rFonts w:ascii="仿宋_GB2312" w:hAnsi="仿宋_GB2312" w:eastAsia="仿宋_GB2312"/>
          <w:b w:val="0"/>
          <w:sz w:val="32"/>
        </w:rPr>
        <w:t>其中：本年收入合计206.55万元，使用非财政拨款结余（含专用结余）0.00万元，年初结转和结余0.00万元。</w:t>
      </w:r>
    </w:p>
    <w:p w14:paraId="1C367C87">
      <w:pPr>
        <w:spacing w:line="580" w:lineRule="exact"/>
        <w:ind w:firstLine="640"/>
        <w:jc w:val="both"/>
      </w:pPr>
      <w:r>
        <w:rPr>
          <w:rFonts w:ascii="仿宋_GB2312" w:hAnsi="仿宋_GB2312" w:eastAsia="仿宋_GB2312"/>
          <w:b/>
          <w:sz w:val="32"/>
        </w:rPr>
        <w:t>2024年度支出总计206.55万元，</w:t>
      </w:r>
      <w:r>
        <w:rPr>
          <w:rFonts w:ascii="仿宋_GB2312" w:hAnsi="仿宋_GB2312" w:eastAsia="仿宋_GB2312"/>
          <w:b w:val="0"/>
          <w:sz w:val="32"/>
        </w:rPr>
        <w:t>其中：本年支出合计206.55万元，结余分配0.00万元，年末结转和结余0.00万元。</w:t>
      </w:r>
    </w:p>
    <w:p w14:paraId="661FD599">
      <w:pPr>
        <w:spacing w:line="580" w:lineRule="exact"/>
        <w:ind w:firstLine="640"/>
        <w:jc w:val="both"/>
      </w:pPr>
      <w:r>
        <w:rPr>
          <w:rFonts w:ascii="仿宋_GB2312" w:hAnsi="仿宋_GB2312" w:eastAsia="仿宋_GB2312"/>
          <w:b w:val="0"/>
          <w:sz w:val="32"/>
        </w:rPr>
        <w:t>收入支出总体与上年相比，减少36.35万元，下降14.97%，主要原因是：本年自治区农业生产发展资金（农业防灾减灾）项目资金较上年减少。</w:t>
      </w:r>
    </w:p>
    <w:p w14:paraId="273EAF2D">
      <w:pPr>
        <w:spacing w:line="640" w:lineRule="exact"/>
        <w:ind w:firstLine="640"/>
        <w:jc w:val="both"/>
        <w:outlineLvl w:val="2"/>
      </w:pPr>
      <w:r>
        <w:rPr>
          <w:rFonts w:ascii="黑体" w:hAnsi="黑体" w:eastAsia="黑体"/>
          <w:sz w:val="32"/>
        </w:rPr>
        <w:t>二、收入决算情况说明</w:t>
      </w:r>
    </w:p>
    <w:p w14:paraId="73FEA79C">
      <w:pPr>
        <w:spacing w:line="580" w:lineRule="exact"/>
        <w:ind w:firstLine="640"/>
        <w:jc w:val="both"/>
      </w:pPr>
      <w:r>
        <w:rPr>
          <w:rFonts w:ascii="仿宋_GB2312" w:hAnsi="仿宋_GB2312" w:eastAsia="仿宋_GB2312"/>
          <w:b/>
          <w:sz w:val="32"/>
        </w:rPr>
        <w:t>本年收入206.55万元，</w:t>
      </w:r>
      <w:r>
        <w:rPr>
          <w:rFonts w:ascii="仿宋_GB2312" w:hAnsi="仿宋_GB2312" w:eastAsia="仿宋_GB2312"/>
          <w:b w:val="0"/>
          <w:sz w:val="32"/>
        </w:rPr>
        <w:t>其中：财政拨款收入206.55万元，占100.00%；上级补助收入0.00万元，占0.00%；事业收入0.00万元，占0.00%；经营收入0.00万元，占0.00%；附属单位上缴收入0.00万元，占0.00%；其他收入0.00万元，占0.00%。</w:t>
      </w:r>
    </w:p>
    <w:p w14:paraId="103C2138">
      <w:pPr>
        <w:spacing w:line="640" w:lineRule="exact"/>
        <w:ind w:firstLine="640"/>
        <w:jc w:val="both"/>
        <w:outlineLvl w:val="2"/>
      </w:pPr>
      <w:r>
        <w:rPr>
          <w:rFonts w:ascii="黑体" w:hAnsi="黑体" w:eastAsia="黑体"/>
          <w:sz w:val="32"/>
        </w:rPr>
        <w:t>三、支出决算情况说明</w:t>
      </w:r>
    </w:p>
    <w:p w14:paraId="7BB27FD8">
      <w:pPr>
        <w:spacing w:line="580" w:lineRule="exact"/>
        <w:ind w:firstLine="640"/>
        <w:jc w:val="both"/>
      </w:pPr>
      <w:r>
        <w:rPr>
          <w:rFonts w:ascii="仿宋_GB2312" w:hAnsi="仿宋_GB2312" w:eastAsia="仿宋_GB2312"/>
          <w:b/>
          <w:sz w:val="32"/>
        </w:rPr>
        <w:t>本年支出206.55万元，</w:t>
      </w:r>
      <w:r>
        <w:rPr>
          <w:rFonts w:ascii="仿宋_GB2312" w:hAnsi="仿宋_GB2312" w:eastAsia="仿宋_GB2312"/>
          <w:b w:val="0"/>
          <w:sz w:val="32"/>
        </w:rPr>
        <w:t>其中：基本支出195.29万元，占94.55%；项目支出11.26万元，占5.45%；上缴上级支出0.00万元，占0.00%；经营支出0.00万元，占0.00%；对附属单位补助支出0.00万元，占0.00%。</w:t>
      </w:r>
    </w:p>
    <w:p w14:paraId="7B038235">
      <w:pPr>
        <w:spacing w:line="640" w:lineRule="exact"/>
        <w:ind w:firstLine="640"/>
        <w:jc w:val="both"/>
        <w:outlineLvl w:val="2"/>
      </w:pPr>
      <w:r>
        <w:rPr>
          <w:rFonts w:ascii="黑体" w:hAnsi="黑体" w:eastAsia="黑体"/>
          <w:sz w:val="32"/>
        </w:rPr>
        <w:t>四、财政拨款收入支出决算总体情况说明</w:t>
      </w:r>
    </w:p>
    <w:p w14:paraId="1DF95212">
      <w:pPr>
        <w:spacing w:line="580" w:lineRule="exact"/>
        <w:ind w:firstLine="640"/>
        <w:jc w:val="both"/>
      </w:pPr>
      <w:r>
        <w:rPr>
          <w:rFonts w:ascii="仿宋_GB2312" w:hAnsi="仿宋_GB2312" w:eastAsia="仿宋_GB2312"/>
          <w:b/>
          <w:sz w:val="32"/>
        </w:rPr>
        <w:t>2024年度财政拨款收入总计206.55万元，</w:t>
      </w:r>
      <w:r>
        <w:rPr>
          <w:rFonts w:ascii="仿宋_GB2312" w:hAnsi="仿宋_GB2312" w:eastAsia="仿宋_GB2312"/>
          <w:b w:val="0"/>
          <w:sz w:val="32"/>
        </w:rPr>
        <w:t>其中：年初财政拨款结转和结余0.00万元，本年财政拨款收入206.55万元。</w:t>
      </w:r>
      <w:r>
        <w:rPr>
          <w:rFonts w:ascii="仿宋_GB2312" w:hAnsi="仿宋_GB2312" w:eastAsia="仿宋_GB2312"/>
          <w:b/>
          <w:sz w:val="32"/>
        </w:rPr>
        <w:t>财政拨款支出总计206.55万元，</w:t>
      </w:r>
      <w:r>
        <w:rPr>
          <w:rFonts w:ascii="仿宋_GB2312" w:hAnsi="仿宋_GB2312" w:eastAsia="仿宋_GB2312"/>
          <w:b w:val="0"/>
          <w:sz w:val="32"/>
        </w:rPr>
        <w:t>其中：年末财政拨款结转和结余0.00万元，本年财政拨款支出206.55万元。</w:t>
      </w:r>
    </w:p>
    <w:p w14:paraId="70752D9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减少36.35万元，下降14.97%，主要原因是：本年自治区农业生产发展资金（农业防灾减灾）项目资金较上年减少。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年初预算数204.05万元，决算数206.55万元，预决算差异率1.23%，主要原因是：年中追加人员工资、社保、公积金基数调增部分资金，导致预决算存在差异。</w:t>
      </w:r>
    </w:p>
    <w:p w14:paraId="5E170B06">
      <w:pPr>
        <w:spacing w:line="640" w:lineRule="exact"/>
        <w:ind w:firstLine="640"/>
        <w:jc w:val="both"/>
        <w:outlineLvl w:val="2"/>
      </w:pPr>
      <w:r>
        <w:rPr>
          <w:rFonts w:ascii="黑体" w:hAnsi="黑体" w:eastAsia="黑体"/>
          <w:sz w:val="32"/>
        </w:rPr>
        <w:t>五、一般公共预算财政拨款支出决算情况说明</w:t>
      </w:r>
    </w:p>
    <w:p w14:paraId="088D76F0">
      <w:pPr>
        <w:spacing w:line="640" w:lineRule="exact"/>
        <w:ind w:firstLine="640"/>
        <w:jc w:val="both"/>
        <w:outlineLvl w:val="3"/>
      </w:pPr>
      <w:r>
        <w:rPr>
          <w:rFonts w:ascii="楷体_GB2312" w:hAnsi="楷体_GB2312" w:eastAsia="楷体_GB2312"/>
          <w:b/>
          <w:sz w:val="32"/>
        </w:rPr>
        <w:t>（一）一般公共预算财政拨款支出决算总体情况</w:t>
      </w:r>
    </w:p>
    <w:p w14:paraId="27C3CFBA">
      <w:pPr>
        <w:spacing w:line="580" w:lineRule="exact"/>
        <w:ind w:firstLine="640"/>
        <w:jc w:val="both"/>
      </w:pPr>
      <w:r>
        <w:rPr>
          <w:rFonts w:ascii="仿宋_GB2312" w:hAnsi="仿宋_GB2312" w:eastAsia="仿宋_GB2312"/>
          <w:b/>
          <w:sz w:val="32"/>
        </w:rPr>
        <w:t>2024年度一般公共预算财政拨款支出206.55万元，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减少36.35万元，下降14.97%，主要原因是：本年自治区农业生产发展资金（农业防灾减灾）项目资金较上年减少。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年初预算数204.05万元，决算数206.55万元，预决算差异率1.23%，主要原因是：年中追加人员工资、社保、公积金基数调增部分资金，导致预决算存在差异。</w:t>
      </w:r>
    </w:p>
    <w:p w14:paraId="568BECC3">
      <w:pPr>
        <w:spacing w:line="640" w:lineRule="exact"/>
        <w:ind w:firstLine="640"/>
        <w:jc w:val="both"/>
        <w:outlineLvl w:val="3"/>
      </w:pPr>
      <w:r>
        <w:rPr>
          <w:rFonts w:ascii="楷体_GB2312" w:hAnsi="楷体_GB2312" w:eastAsia="楷体_GB2312"/>
          <w:b/>
          <w:sz w:val="32"/>
        </w:rPr>
        <w:t>（二）一般公共预算财政拨款支出决算结构情况</w:t>
      </w:r>
    </w:p>
    <w:p w14:paraId="08DEA148">
      <w:pPr>
        <w:spacing w:line="580" w:lineRule="exact"/>
        <w:ind w:firstLine="640"/>
        <w:jc w:val="both"/>
      </w:pPr>
      <w:r>
        <w:rPr>
          <w:rFonts w:ascii="仿宋_GB2312" w:hAnsi="仿宋_GB2312" w:eastAsia="仿宋_GB2312"/>
          <w:b w:val="0"/>
          <w:sz w:val="32"/>
        </w:rPr>
        <w:t>1.社会保障和就业支出(类)26.16万元,占12.67%。</w:t>
      </w:r>
    </w:p>
    <w:p w14:paraId="01F75C82">
      <w:pPr>
        <w:spacing w:line="580" w:lineRule="exact"/>
        <w:ind w:firstLine="640"/>
        <w:jc w:val="both"/>
      </w:pPr>
      <w:r>
        <w:rPr>
          <w:rFonts w:ascii="仿宋_GB2312" w:hAnsi="仿宋_GB2312" w:eastAsia="仿宋_GB2312"/>
          <w:b w:val="0"/>
          <w:sz w:val="32"/>
        </w:rPr>
        <w:t>2.卫生健康支出(类)9.32万元,占4.51%。</w:t>
      </w:r>
    </w:p>
    <w:p w14:paraId="33AD41A5">
      <w:pPr>
        <w:spacing w:line="580" w:lineRule="exact"/>
        <w:ind w:firstLine="640"/>
        <w:jc w:val="both"/>
      </w:pPr>
      <w:r>
        <w:rPr>
          <w:rFonts w:ascii="仿宋_GB2312" w:hAnsi="仿宋_GB2312" w:eastAsia="仿宋_GB2312"/>
          <w:b w:val="0"/>
          <w:sz w:val="32"/>
        </w:rPr>
        <w:t>3.农林水支出(类)155.92万元,占75.49%。</w:t>
      </w:r>
    </w:p>
    <w:p w14:paraId="7BF2667F">
      <w:pPr>
        <w:spacing w:line="580" w:lineRule="exact"/>
        <w:ind w:firstLine="640"/>
        <w:jc w:val="both"/>
      </w:pPr>
      <w:r>
        <w:rPr>
          <w:rFonts w:ascii="仿宋_GB2312" w:hAnsi="仿宋_GB2312" w:eastAsia="仿宋_GB2312"/>
          <w:b w:val="0"/>
          <w:sz w:val="32"/>
        </w:rPr>
        <w:t>4.住房保障支出(类)15.14万元,占7.33%。</w:t>
      </w:r>
    </w:p>
    <w:p w14:paraId="3BA3D489">
      <w:pPr>
        <w:spacing w:line="640" w:lineRule="exact"/>
        <w:ind w:firstLine="640"/>
        <w:jc w:val="both"/>
        <w:outlineLvl w:val="3"/>
      </w:pPr>
      <w:r>
        <w:rPr>
          <w:rFonts w:ascii="楷体_GB2312" w:hAnsi="楷体_GB2312" w:eastAsia="楷体_GB2312"/>
          <w:b/>
          <w:sz w:val="32"/>
        </w:rPr>
        <w:t>（三）一般公共预算财政拨款支出决算具体情况</w:t>
      </w:r>
    </w:p>
    <w:p w14:paraId="4667624E">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1.社会保障和就业支出(类)行政事业单位养老支出(款)行政单位离退休(项):支出决算数为8.47万元，比上年决算增加2.10万元，增长32.97%,主要原因是：本年增加退休人员基础绩效奖，退休费支出增加。</w:t>
      </w:r>
    </w:p>
    <w:p w14:paraId="7D22D9D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2.社会保障和就业支出(类)行政事业单位养老支出(款)机关事业单位基本养老保险缴费支出(项):支出决算数为17.69万元，比上年决算减少5.12万元，下降22.45%,主要原因是：2023年</w:t>
      </w:r>
      <w:r>
        <w:rPr>
          <w:rFonts w:hint="eastAsia" w:ascii="仿宋_GB2312" w:hAnsi="仿宋_GB2312" w:eastAsia="仿宋_GB2312"/>
          <w:b w:val="0"/>
          <w:sz w:val="32"/>
          <w:lang w:eastAsia="zh-CN"/>
        </w:rPr>
        <w:t>本</w:t>
      </w:r>
      <w:r>
        <w:rPr>
          <w:rFonts w:hint="eastAsia" w:ascii="仿宋_GB2312" w:hAnsi="仿宋_GB2312" w:eastAsia="仿宋_GB2312"/>
          <w:b w:val="0"/>
          <w:sz w:val="32"/>
          <w:lang w:val="en-US" w:eastAsia="zh-CN"/>
        </w:rPr>
        <w:t>单位</w:t>
      </w:r>
      <w:r>
        <w:rPr>
          <w:rFonts w:ascii="仿宋_GB2312" w:hAnsi="仿宋_GB2312" w:eastAsia="仿宋_GB2312"/>
          <w:b w:val="0"/>
          <w:sz w:val="32"/>
        </w:rPr>
        <w:t>补缴以前年度养老保险，2024年养老保险正常发放。</w:t>
      </w:r>
    </w:p>
    <w:p w14:paraId="42743020">
      <w:pPr>
        <w:spacing w:line="580" w:lineRule="exact"/>
        <w:ind w:firstLine="640"/>
        <w:jc w:val="both"/>
      </w:pPr>
      <w:r>
        <w:rPr>
          <w:rFonts w:ascii="仿宋_GB2312" w:hAnsi="仿宋_GB2312" w:eastAsia="仿宋_GB2312"/>
          <w:b w:val="0"/>
          <w:sz w:val="32"/>
        </w:rPr>
        <w:t>3.卫生健康支出(类)行政事业单位医疗(款)行政单位医疗(项):支出决算数为7.34万元，比上年决算增加0.50万元，增长7.31%,主要原因是：本年在职人员工资基数调增，医疗缴费基数上涨，相应支出增加。</w:t>
      </w:r>
    </w:p>
    <w:p w14:paraId="23AAD0F1">
      <w:pPr>
        <w:spacing w:line="580" w:lineRule="exact"/>
        <w:ind w:firstLine="640"/>
        <w:jc w:val="both"/>
      </w:pPr>
      <w:r>
        <w:rPr>
          <w:rFonts w:ascii="仿宋_GB2312" w:hAnsi="仿宋_GB2312" w:eastAsia="仿宋_GB2312"/>
          <w:b w:val="0"/>
          <w:sz w:val="32"/>
        </w:rPr>
        <w:t>4.卫生健康支出(类)行政事业单位医疗(款)公务员医疗补助(项):支出决算数为1.99万元，比上年决算增加0.22万元，增长12.43%,主要原因是：本年在职人员工资基数调增，医疗缴费基数上涨，相应支出增加。</w:t>
      </w:r>
    </w:p>
    <w:p w14:paraId="4F1E1BD5">
      <w:pPr>
        <w:spacing w:line="580" w:lineRule="exact"/>
        <w:ind w:firstLine="640"/>
        <w:jc w:val="both"/>
      </w:pPr>
      <w:r>
        <w:rPr>
          <w:rFonts w:ascii="仿宋_GB2312" w:hAnsi="仿宋_GB2312" w:eastAsia="仿宋_GB2312"/>
          <w:b w:val="0"/>
          <w:sz w:val="32"/>
        </w:rPr>
        <w:t>5.农林水支出(类)农业农村(款)行政运行(项):支出决算数为144.67万元，比上年决算增加7.38万元，增长5.38%,主要原因是：本年在职人员工资调增，导致相关人员经费较上年有所增加。</w:t>
      </w:r>
    </w:p>
    <w:p w14:paraId="7098CC32">
      <w:pPr>
        <w:spacing w:line="580" w:lineRule="exact"/>
        <w:ind w:firstLine="640"/>
        <w:jc w:val="both"/>
      </w:pPr>
      <w:r>
        <w:rPr>
          <w:rFonts w:ascii="仿宋_GB2312" w:hAnsi="仿宋_GB2312" w:eastAsia="仿宋_GB2312"/>
          <w:b w:val="0"/>
          <w:sz w:val="32"/>
        </w:rPr>
        <w:t>6.农林水支出(类)农业农村(款)一般行政管理事务(项):支出决算数为3.00万元，比上年决算增加0.00万元，增长0.00%,主要原因是：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农业植物检疫性有害生物监测与防控项目资金与上年一致无变化。</w:t>
      </w:r>
    </w:p>
    <w:p w14:paraId="31EB8135">
      <w:pPr>
        <w:spacing w:line="580" w:lineRule="exact"/>
        <w:ind w:firstLine="640"/>
        <w:jc w:val="both"/>
      </w:pPr>
      <w:r>
        <w:rPr>
          <w:rFonts w:ascii="仿宋_GB2312" w:hAnsi="仿宋_GB2312" w:eastAsia="仿宋_GB2312"/>
          <w:b w:val="0"/>
          <w:sz w:val="32"/>
        </w:rPr>
        <w:t>7.农林水支出(类)农业农村(款)防灾救灾(项):支出决算数为8.26万元，比上年决算减少43.48万元，下降84.04%,主要原因是：本年度自治区农业生产发展资金（农业防灾减灾）项目资金较上年减少。</w:t>
      </w:r>
    </w:p>
    <w:p w14:paraId="44660303">
      <w:pPr>
        <w:spacing w:line="580" w:lineRule="exact"/>
        <w:ind w:firstLine="640"/>
        <w:jc w:val="both"/>
      </w:pPr>
      <w:r>
        <w:rPr>
          <w:rFonts w:ascii="仿宋_GB2312" w:hAnsi="仿宋_GB2312" w:eastAsia="仿宋_GB2312"/>
          <w:b w:val="0"/>
          <w:sz w:val="32"/>
        </w:rPr>
        <w:t>8.住房保障支出(类)住房改革支出(款)住房公积金(项):支出决算数为15.14万元，比上年决算增加2.07万元，增长15.84%,主要原因是：本年在职人员工资基数调增，公积金缴费基数上涨，相应支出增加。</w:t>
      </w:r>
    </w:p>
    <w:p w14:paraId="4879005F">
      <w:pPr>
        <w:spacing w:line="640" w:lineRule="exact"/>
        <w:ind w:firstLine="640"/>
        <w:jc w:val="both"/>
        <w:outlineLvl w:val="2"/>
      </w:pPr>
      <w:r>
        <w:rPr>
          <w:rFonts w:ascii="黑体" w:hAnsi="黑体" w:eastAsia="黑体"/>
          <w:sz w:val="32"/>
        </w:rPr>
        <w:t>六、一般公共预算财政拨款基本支出决算情况说明</w:t>
      </w:r>
    </w:p>
    <w:p w14:paraId="3473E0C0">
      <w:pPr>
        <w:spacing w:line="580" w:lineRule="exact"/>
        <w:ind w:firstLine="640"/>
        <w:jc w:val="both"/>
      </w:pPr>
      <w:r>
        <w:rPr>
          <w:rFonts w:ascii="仿宋_GB2312" w:hAnsi="仿宋_GB2312" w:eastAsia="仿宋_GB2312"/>
          <w:b w:val="0"/>
          <w:sz w:val="32"/>
        </w:rPr>
        <w:t>2024年度一般公共预算财政拨款基本支出195.29万元，其中：</w:t>
      </w:r>
      <w:r>
        <w:rPr>
          <w:rFonts w:ascii="仿宋_GB2312" w:hAnsi="仿宋_GB2312" w:eastAsia="仿宋_GB2312"/>
          <w:b/>
          <w:sz w:val="32"/>
        </w:rPr>
        <w:t>人员经费182.50万元，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包括：基本工资、津贴补贴、奖金、机关事业单位基本养老保险缴费、职工基本医疗保险缴费、公务员医疗补助缴费、其他社会保障缴费、住房公积金、退休费、奖励金。</w:t>
      </w:r>
    </w:p>
    <w:p w14:paraId="797A3B91">
      <w:pPr>
        <w:spacing w:line="580" w:lineRule="exact"/>
        <w:ind w:firstLine="640"/>
        <w:jc w:val="both"/>
      </w:pPr>
      <w:r>
        <w:rPr>
          <w:rFonts w:ascii="仿宋_GB2312" w:hAnsi="仿宋_GB2312" w:eastAsia="仿宋_GB2312"/>
          <w:b/>
          <w:sz w:val="32"/>
        </w:rPr>
        <w:t>公用经费12.79万元，</w:t>
      </w:r>
      <w:r>
        <w:rPr>
          <w:rFonts w:ascii="仿宋_GB2312" w:hAnsi="仿宋_GB2312" w:eastAsia="仿宋_GB2312"/>
          <w:b w:val="0"/>
          <w:sz w:val="32"/>
        </w:rPr>
        <w:t>包括：办公费、水费、电费、邮电费、差旅费、专用材料费、工会经费、公务用车运行维护费、其他交通费用、其他商品和服务支出。</w:t>
      </w:r>
    </w:p>
    <w:p w14:paraId="6ABC9985">
      <w:pPr>
        <w:spacing w:line="640" w:lineRule="exact"/>
        <w:ind w:firstLine="640"/>
        <w:jc w:val="both"/>
        <w:outlineLvl w:val="2"/>
      </w:pPr>
      <w:r>
        <w:rPr>
          <w:rFonts w:ascii="黑体" w:hAnsi="黑体" w:eastAsia="黑体"/>
          <w:sz w:val="32"/>
        </w:rPr>
        <w:t>七、政府性基金预算财政拨款收入支出决算情况说明</w:t>
      </w:r>
    </w:p>
    <w:p w14:paraId="3BCB5A0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017B2FF">
      <w:pPr>
        <w:spacing w:line="640" w:lineRule="exact"/>
        <w:ind w:firstLine="640"/>
        <w:jc w:val="both"/>
        <w:outlineLvl w:val="2"/>
      </w:pPr>
      <w:r>
        <w:rPr>
          <w:rFonts w:ascii="黑体" w:hAnsi="黑体" w:eastAsia="黑体"/>
          <w:sz w:val="32"/>
        </w:rPr>
        <w:t>八、国有资本经营预算财政拨款收入支出决算情况说明</w:t>
      </w:r>
    </w:p>
    <w:p w14:paraId="73EC745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FB164E2">
      <w:pPr>
        <w:spacing w:line="640" w:lineRule="exact"/>
        <w:ind w:firstLine="640"/>
        <w:jc w:val="both"/>
        <w:outlineLvl w:val="2"/>
      </w:pPr>
      <w:r>
        <w:rPr>
          <w:rFonts w:ascii="黑体" w:hAnsi="黑体" w:eastAsia="黑体"/>
          <w:sz w:val="32"/>
        </w:rPr>
        <w:t>九、财政拨款“三公”经费支出决算情况说明</w:t>
      </w:r>
    </w:p>
    <w:p w14:paraId="472F98A6">
      <w:pPr>
        <w:spacing w:line="580" w:lineRule="exact"/>
        <w:ind w:firstLine="640"/>
        <w:jc w:val="both"/>
      </w:pPr>
      <w:r>
        <w:rPr>
          <w:rFonts w:ascii="仿宋_GB2312" w:hAnsi="仿宋_GB2312" w:eastAsia="仿宋_GB2312"/>
          <w:b/>
          <w:sz w:val="32"/>
        </w:rPr>
        <w:t>2024年度财政拨款“三公”经费支出0.67万元，</w:t>
      </w:r>
      <w:r>
        <w:rPr>
          <w:rFonts w:ascii="仿宋_GB2312" w:hAnsi="仿宋_GB2312" w:eastAsia="仿宋_GB2312"/>
          <w:b w:val="0"/>
          <w:sz w:val="32"/>
        </w:rPr>
        <w:t>比上年减少1.13万元，下降62.78%，主要原因是：下半年公务用车报废，</w:t>
      </w:r>
      <w:r>
        <w:rPr>
          <w:rFonts w:hint="eastAsia" w:ascii="仿宋_GB2312" w:hAnsi="仿宋_GB2312" w:eastAsia="仿宋_GB2312"/>
          <w:b w:val="0"/>
          <w:sz w:val="32"/>
          <w:lang w:val="en-US" w:eastAsia="zh-CN"/>
        </w:rPr>
        <w:t>导致后半年</w:t>
      </w:r>
      <w:r>
        <w:rPr>
          <w:rFonts w:ascii="仿宋_GB2312" w:hAnsi="仿宋_GB2312" w:eastAsia="仿宋_GB2312"/>
          <w:b w:val="0"/>
          <w:sz w:val="32"/>
        </w:rPr>
        <w:t>未产生公务用车运行维护费。其中：因公出国（境）费支出0.00万元，占0.00%，比上年增加0.00万元，增长0.00%，主要原因是：2023年与2024年均未安排因公出国（境）费支出。公务用车购置及运行维护费支出0.67万元，占100.00%，比上年减少1.13万元，下降62.78%，主要原因是：下半年公务用车报废，</w:t>
      </w:r>
      <w:r>
        <w:rPr>
          <w:rFonts w:hint="eastAsia" w:ascii="仿宋_GB2312" w:hAnsi="仿宋_GB2312" w:eastAsia="仿宋_GB2312"/>
          <w:b w:val="0"/>
          <w:sz w:val="32"/>
          <w:lang w:val="en-US" w:eastAsia="zh-CN"/>
        </w:rPr>
        <w:t>导致后半年</w:t>
      </w:r>
      <w:r>
        <w:rPr>
          <w:rFonts w:ascii="仿宋_GB2312" w:hAnsi="仿宋_GB2312" w:eastAsia="仿宋_GB2312"/>
          <w:b w:val="0"/>
          <w:sz w:val="32"/>
        </w:rPr>
        <w:t>未产生公务用车运行维护费。公务接待费支出0.00万元，占0.00%，比上年增加0.00万元，增长0.00%，主要原因是：2023年与2024年均未安排公务接待费支出。</w:t>
      </w:r>
    </w:p>
    <w:p w14:paraId="393C3124">
      <w:pPr>
        <w:spacing w:line="580" w:lineRule="exact"/>
        <w:ind w:firstLine="640"/>
        <w:jc w:val="both"/>
      </w:pPr>
      <w:r>
        <w:rPr>
          <w:rFonts w:ascii="仿宋_GB2312" w:hAnsi="仿宋_GB2312" w:eastAsia="仿宋_GB2312"/>
          <w:b/>
          <w:sz w:val="32"/>
        </w:rPr>
        <w:t>具体情况如下：</w:t>
      </w:r>
    </w:p>
    <w:p w14:paraId="04213AB2">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5BA9E21">
      <w:pPr>
        <w:spacing w:line="580" w:lineRule="exact"/>
        <w:ind w:firstLine="640"/>
        <w:jc w:val="both"/>
      </w:pPr>
      <w:r>
        <w:rPr>
          <w:rFonts w:ascii="仿宋_GB2312" w:hAnsi="仿宋_GB2312" w:eastAsia="仿宋_GB2312"/>
          <w:b w:val="0"/>
          <w:sz w:val="32"/>
        </w:rPr>
        <w:t>公务用车购置及运行维护费0.67万元，其中：公务用车购置费0.00万元，公务用车运行维护费0.67万元。公务用车运行维护费开支内容包括车辆加油费。公务用车购置数0辆，公务用车保有量1辆。国有资产占用情况中固定资产车辆0辆，与公务用车保有量差异原因是：借用其他单位车辆，车辆费用由本部门支付。</w:t>
      </w:r>
    </w:p>
    <w:p w14:paraId="3BC1E27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03426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0.67万元，决算数0.67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0.67万元，决算数0.67万元，预决算差异率0.00%，主要原因是：严格按照预算执行，预决算无差异。公务接待费全年预算数0.00万元，决算数0.00万元，预决算差异率0.00%，主要原因是：本部门无公务接待费。</w:t>
      </w:r>
    </w:p>
    <w:p w14:paraId="1AA55D0E">
      <w:pPr>
        <w:spacing w:line="640" w:lineRule="exact"/>
        <w:ind w:firstLine="640"/>
        <w:jc w:val="both"/>
        <w:outlineLvl w:val="2"/>
      </w:pPr>
      <w:r>
        <w:rPr>
          <w:rFonts w:ascii="黑体" w:hAnsi="黑体" w:eastAsia="黑体"/>
          <w:sz w:val="32"/>
        </w:rPr>
        <w:t>十、其他重要事项的情况说明</w:t>
      </w:r>
    </w:p>
    <w:p w14:paraId="014D4162">
      <w:pPr>
        <w:spacing w:line="640" w:lineRule="exact"/>
        <w:ind w:firstLine="640"/>
        <w:jc w:val="both"/>
        <w:outlineLvl w:val="3"/>
      </w:pPr>
      <w:r>
        <w:rPr>
          <w:rFonts w:ascii="楷体_GB2312" w:hAnsi="楷体_GB2312" w:eastAsia="楷体_GB2312"/>
          <w:b/>
          <w:sz w:val="32"/>
        </w:rPr>
        <w:t>（一）机关运行经费及公用经费支出情况</w:t>
      </w:r>
    </w:p>
    <w:p w14:paraId="5DA860AE">
      <w:pPr>
        <w:spacing w:line="580" w:lineRule="exact"/>
        <w:ind w:firstLine="640"/>
        <w:jc w:val="both"/>
      </w:pPr>
      <w:r>
        <w:rPr>
          <w:rFonts w:ascii="仿宋_GB2312" w:hAnsi="仿宋_GB2312" w:eastAsia="仿宋_GB2312"/>
          <w:b w:val="0"/>
          <w:sz w:val="32"/>
        </w:rPr>
        <w:t>2024年度喀什地区植物保护站（行政单位和参照公务员法管理事业单位）机关运行经费支出12.79万元，比上年增加3.44万元，增长36.79%，主要原因是：本年增加活动经费，导致机关运行经费增加。</w:t>
      </w:r>
    </w:p>
    <w:p w14:paraId="64CA9811">
      <w:pPr>
        <w:spacing w:line="640" w:lineRule="exact"/>
        <w:ind w:firstLine="640"/>
        <w:jc w:val="both"/>
        <w:outlineLvl w:val="3"/>
      </w:pPr>
      <w:r>
        <w:rPr>
          <w:rFonts w:ascii="楷体_GB2312" w:hAnsi="楷体_GB2312" w:eastAsia="楷体_GB2312"/>
          <w:b/>
          <w:sz w:val="32"/>
        </w:rPr>
        <w:t>（二）政府采购情况</w:t>
      </w:r>
    </w:p>
    <w:p w14:paraId="7982E777">
      <w:pPr>
        <w:spacing w:line="580" w:lineRule="exact"/>
        <w:ind w:firstLine="640"/>
        <w:jc w:val="both"/>
      </w:pPr>
      <w:r>
        <w:rPr>
          <w:rFonts w:ascii="仿宋_GB2312" w:hAnsi="仿宋_GB2312" w:eastAsia="仿宋_GB2312"/>
          <w:b w:val="0"/>
          <w:sz w:val="32"/>
        </w:rPr>
        <w:t>2024年度政府采购支出总额11.30万元，其中：政府采购货物支出9.67万元、政府采购工程支出0.00万元、政府采购服务支出1.63万元。</w:t>
      </w:r>
    </w:p>
    <w:p w14:paraId="0F84D780">
      <w:pPr>
        <w:spacing w:line="580" w:lineRule="exact"/>
        <w:ind w:firstLine="640"/>
        <w:jc w:val="both"/>
      </w:pPr>
      <w:r>
        <w:rPr>
          <w:rFonts w:ascii="仿宋_GB2312" w:hAnsi="仿宋_GB2312" w:eastAsia="仿宋_GB2312"/>
          <w:b w:val="0"/>
          <w:sz w:val="32"/>
        </w:rPr>
        <w:t>授予中小企业合同金额11.30万元，占政府采购支出总额的100.00%，其中：授予小微企业合同金额11.08万元，占政府采购支出总额的98.05%。</w:t>
      </w:r>
    </w:p>
    <w:p w14:paraId="27C2A308">
      <w:pPr>
        <w:spacing w:line="640" w:lineRule="exact"/>
        <w:ind w:firstLine="640"/>
        <w:jc w:val="both"/>
        <w:outlineLvl w:val="3"/>
      </w:pPr>
      <w:r>
        <w:rPr>
          <w:rFonts w:ascii="楷体_GB2312" w:hAnsi="楷体_GB2312" w:eastAsia="楷体_GB2312"/>
          <w:b/>
          <w:sz w:val="32"/>
        </w:rPr>
        <w:t>（三）国有资产占用情况说明</w:t>
      </w:r>
    </w:p>
    <w:p w14:paraId="5300597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r>
        <w:rPr>
          <w:rFonts w:ascii="仿宋_GB2312" w:hAnsi="仿宋_GB2312" w:eastAsia="仿宋_GB2312"/>
          <w:b w:val="0"/>
          <w:sz w:val="32"/>
        </w:rPr>
        <w:t>执法执勤</w:t>
      </w:r>
      <w:bookmarkEnd w:id="0"/>
      <w:r>
        <w:rPr>
          <w:rFonts w:ascii="仿宋_GB2312" w:hAnsi="仿宋_GB2312" w:eastAsia="仿宋_GB2312"/>
          <w:b w:val="0"/>
          <w:sz w:val="32"/>
        </w:rPr>
        <w:t>用车0辆、特种专业技术用车0辆、离退休干部服务用车0辆、其他用车0辆，其他用车主要是：本部门无其他用车。单价100万元（含）以上设备（不含车辆）0台（套）。</w:t>
      </w:r>
    </w:p>
    <w:p w14:paraId="301C7EC4">
      <w:pPr>
        <w:spacing w:line="640" w:lineRule="exact"/>
        <w:ind w:firstLine="640"/>
        <w:jc w:val="both"/>
        <w:outlineLvl w:val="2"/>
      </w:pPr>
      <w:r>
        <w:rPr>
          <w:rFonts w:ascii="黑体" w:hAnsi="黑体" w:eastAsia="黑体"/>
          <w:sz w:val="32"/>
        </w:rPr>
        <w:t>十一、预算绩效的情况说明</w:t>
      </w:r>
    </w:p>
    <w:p w14:paraId="20F368F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206.55万元，实际执行总额206.55万元；预算绩效评价项目1个，全年预算数3.00万元，全年执行数3.00万元。预算绩效管理取得的成效：一是单位进一步提高预算绩效管理认识，强化以“绩效为中心、对支出结果负责、对社会公众负责”的理念。二是在绩效目标编制方面，针对绩效目标设置指向不清、预算和目标匹配不足，数量目标和质量目标量化不细，效益目标编制不完整等方面加以了改善。三是加强预算绩效动态管理，及时跟踪项目进度，对项目实施中存在的具体问题采取纠偏措施。发现的问题及原因：一是在执行部门预算时存在对公用经费开支不能很好地控制的问题，主要原因是对部门预算的认识不到位，在执行落实过程中按照单位实际情况开支。二是对单位领导进行部门预算的宣传不够，绩效无专人负责，导致单位人员对绩效的认识有偏差。下一步改进措施：一是今后的工作中将进一步细化工作，严格按照预算开支，从源头压缩开支，确保决算的正确性。二是对于绩效方面，做到绩效工作由专人负责，同时加强相关人员对绩效知识的培训；如遇到与实际情况有偏差的情况，需及时调整绩效目标。具体附部门整体支出绩效自评表，项目支出绩效自评表和部门评价报告。</w:t>
      </w:r>
    </w:p>
    <w:p w14:paraId="4105B46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D856018">
        <w:tblPrEx>
          <w:tblCellMar>
            <w:top w:w="0" w:type="dxa"/>
            <w:left w:w="108" w:type="dxa"/>
            <w:bottom w:w="0" w:type="dxa"/>
            <w:right w:w="108" w:type="dxa"/>
          </w:tblCellMar>
        </w:tblPrEx>
        <w:tc>
          <w:tcPr>
            <w:tcW w:w="8847" w:type="dxa"/>
            <w:gridSpan w:val="9"/>
            <w:vAlign w:val="center"/>
          </w:tcPr>
          <w:p w14:paraId="618BF59D">
            <w:pPr>
              <w:jc w:val="center"/>
            </w:pPr>
            <w:r>
              <w:rPr>
                <w:rFonts w:ascii="宋体" w:hAnsi="宋体" w:eastAsia="宋体"/>
                <w:sz w:val="24"/>
              </w:rPr>
              <w:t>部门整体支出绩效自评表</w:t>
            </w:r>
          </w:p>
        </w:tc>
      </w:tr>
      <w:tr w14:paraId="1F880CF1">
        <w:tblPrEx>
          <w:tblCellMar>
            <w:top w:w="0" w:type="dxa"/>
            <w:left w:w="108" w:type="dxa"/>
            <w:bottom w:w="0" w:type="dxa"/>
            <w:right w:w="108" w:type="dxa"/>
          </w:tblCellMar>
        </w:tblPrEx>
        <w:tc>
          <w:tcPr>
            <w:tcW w:w="8847" w:type="dxa"/>
            <w:gridSpan w:val="9"/>
            <w:vAlign w:val="center"/>
          </w:tcPr>
          <w:p w14:paraId="336A8DE6">
            <w:pPr>
              <w:jc w:val="center"/>
            </w:pPr>
            <w:r>
              <w:rPr>
                <w:rFonts w:ascii="宋体" w:hAnsi="宋体" w:eastAsia="宋体"/>
                <w:sz w:val="24"/>
              </w:rPr>
              <w:t>（2024年度）</w:t>
            </w:r>
          </w:p>
        </w:tc>
      </w:tr>
      <w:tr w14:paraId="541A064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F612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1A6AFE">
            <w:pPr>
              <w:jc w:val="center"/>
            </w:pPr>
            <w:r>
              <w:rPr>
                <w:rFonts w:ascii="宋体" w:hAnsi="宋体" w:eastAsia="宋体"/>
                <w:sz w:val="16"/>
              </w:rPr>
              <w:t>喀什地区植物保护站</w:t>
            </w:r>
          </w:p>
        </w:tc>
      </w:tr>
      <w:tr w14:paraId="78AF8E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C046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36C8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4D7F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73E1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E885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2EBE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BAE8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AC9BC">
            <w:pPr>
              <w:jc w:val="center"/>
            </w:pPr>
            <w:r>
              <w:rPr>
                <w:rFonts w:ascii="宋体" w:hAnsi="宋体" w:eastAsia="宋体"/>
                <w:sz w:val="16"/>
              </w:rPr>
              <w:t>得分</w:t>
            </w:r>
          </w:p>
        </w:tc>
      </w:tr>
      <w:tr w14:paraId="69168D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80D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8AEE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D3068">
            <w:pPr>
              <w:jc w:val="center"/>
            </w:pPr>
            <w:r>
              <w:rPr>
                <w:rFonts w:ascii="宋体" w:hAnsi="宋体" w:eastAsia="宋体"/>
                <w:sz w:val="16"/>
              </w:rPr>
              <w:t>204.05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1EA2C">
            <w:pPr>
              <w:jc w:val="center"/>
            </w:pPr>
            <w:r>
              <w:rPr>
                <w:rFonts w:ascii="宋体" w:hAnsi="宋体" w:eastAsia="宋体"/>
                <w:sz w:val="16"/>
              </w:rPr>
              <w:t>206.55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A8E8C">
            <w:pPr>
              <w:jc w:val="center"/>
            </w:pPr>
            <w:r>
              <w:rPr>
                <w:rFonts w:ascii="宋体" w:hAnsi="宋体" w:eastAsia="宋体"/>
                <w:sz w:val="16"/>
              </w:rPr>
              <w:t>206.55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612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342C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00E4">
            <w:pPr>
              <w:jc w:val="center"/>
            </w:pPr>
            <w:r>
              <w:rPr>
                <w:rFonts w:ascii="宋体" w:hAnsi="宋体" w:eastAsia="宋体"/>
                <w:sz w:val="16"/>
              </w:rPr>
              <w:t>10</w:t>
            </w:r>
          </w:p>
        </w:tc>
      </w:tr>
      <w:tr w14:paraId="6BFC45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D7D2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6C6B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28F98">
            <w:pPr>
              <w:jc w:val="center"/>
            </w:pPr>
            <w:r>
              <w:rPr>
                <w:rFonts w:ascii="宋体" w:hAnsi="宋体" w:eastAsia="宋体"/>
                <w:sz w:val="16"/>
              </w:rPr>
              <w:t>8.26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5B8C0">
            <w:pPr>
              <w:jc w:val="center"/>
            </w:pPr>
            <w:r>
              <w:rPr>
                <w:rFonts w:ascii="宋体" w:hAnsi="宋体" w:eastAsia="宋体"/>
                <w:sz w:val="16"/>
              </w:rPr>
              <w:t>11.12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93C8E">
            <w:pPr>
              <w:jc w:val="center"/>
            </w:pPr>
            <w:r>
              <w:rPr>
                <w:rFonts w:ascii="宋体" w:hAnsi="宋体" w:eastAsia="宋体"/>
                <w:sz w:val="16"/>
              </w:rPr>
              <w:t>11.12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E98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F7E9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55EA7">
            <w:pPr>
              <w:jc w:val="center"/>
            </w:pPr>
            <w:r>
              <w:rPr>
                <w:rFonts w:ascii="宋体" w:hAnsi="宋体" w:eastAsia="宋体"/>
                <w:sz w:val="16"/>
              </w:rPr>
              <w:t>—</w:t>
            </w:r>
          </w:p>
        </w:tc>
      </w:tr>
      <w:tr w14:paraId="075EEE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1E1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2100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CBDE1">
            <w:pPr>
              <w:jc w:val="center"/>
            </w:pPr>
            <w:r>
              <w:rPr>
                <w:rFonts w:ascii="宋体" w:hAnsi="宋体" w:eastAsia="宋体"/>
                <w:sz w:val="16"/>
              </w:rPr>
              <w:t>195.79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523BC">
            <w:pPr>
              <w:jc w:val="center"/>
            </w:pPr>
            <w:r>
              <w:rPr>
                <w:rFonts w:ascii="宋体" w:hAnsi="宋体" w:eastAsia="宋体"/>
                <w:sz w:val="16"/>
              </w:rPr>
              <w:t>195.43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3A431">
            <w:pPr>
              <w:jc w:val="center"/>
            </w:pPr>
            <w:r>
              <w:rPr>
                <w:rFonts w:ascii="宋体" w:hAnsi="宋体" w:eastAsia="宋体"/>
                <w:sz w:val="16"/>
              </w:rPr>
              <w:t>195.43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A6C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0914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98861">
            <w:pPr>
              <w:jc w:val="center"/>
            </w:pPr>
            <w:r>
              <w:rPr>
                <w:rFonts w:ascii="宋体" w:hAnsi="宋体" w:eastAsia="宋体"/>
                <w:sz w:val="16"/>
              </w:rPr>
              <w:t>—</w:t>
            </w:r>
          </w:p>
        </w:tc>
      </w:tr>
      <w:tr w14:paraId="666A9B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B1C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8225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5D9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DB4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08C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940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7237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96C4F">
            <w:pPr>
              <w:jc w:val="center"/>
            </w:pPr>
            <w:r>
              <w:rPr>
                <w:rFonts w:ascii="宋体" w:hAnsi="宋体" w:eastAsia="宋体"/>
                <w:sz w:val="16"/>
              </w:rPr>
              <w:t>—</w:t>
            </w:r>
          </w:p>
        </w:tc>
      </w:tr>
      <w:tr w14:paraId="51659D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C37E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42C27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13CAA9">
            <w:pPr>
              <w:jc w:val="center"/>
            </w:pPr>
            <w:r>
              <w:rPr>
                <w:rFonts w:ascii="宋体" w:hAnsi="宋体" w:eastAsia="宋体"/>
                <w:sz w:val="16"/>
              </w:rPr>
              <w:t>实际完成情况</w:t>
            </w:r>
          </w:p>
        </w:tc>
      </w:tr>
      <w:tr w14:paraId="0CE726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DBA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39D59F">
            <w:pPr>
              <w:jc w:val="both"/>
            </w:pPr>
            <w:r>
              <w:rPr>
                <w:rFonts w:ascii="宋体" w:hAnsi="宋体" w:eastAsia="宋体"/>
                <w:sz w:val="16"/>
              </w:rPr>
              <w:t>2024年深入学习贯彻党的二十大精神，围绕全面推进乡村振兴行动，牢牢守住保障粮食安全、农业产业安全和重要农产品质量安全“三道防线”，重点做到“三稳三保”，积极实施“两增两减”，增加统防统治面积、增加绿色防控比例，减少产量损失、减少农药使用，力争粮食病虫危害损失率控制在5%以内、棉花病虫危害损失率控制在5%以下、蔬菜病虫危害损失率控制在8%以下。三大粮食作物病虫害统防统治覆盖率达51%，主要农作物（小麦、玉米、水稻、大豆、棉花、蔬菜）病虫害绿色防控覆盖率达大于等于55%，绿色防控覆盖率同比提高1个百分点，统防统治区病虫危害损失率减少0.5个百分点，实现全地区种植业化学农药使用不增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B6E62B">
            <w:pPr>
              <w:jc w:val="both"/>
            </w:pPr>
            <w:r>
              <w:rPr>
                <w:rFonts w:ascii="宋体" w:hAnsi="宋体" w:eastAsia="宋体"/>
                <w:sz w:val="16"/>
              </w:rPr>
              <w:t>喀什地区植物保护站为全额拨款事业单位，</w:t>
            </w:r>
            <w:r>
              <w:rPr>
                <w:rFonts w:hint="eastAsia" w:ascii="宋体" w:hAnsi="宋体"/>
                <w:sz w:val="16"/>
                <w:lang w:eastAsia="zh-CN"/>
              </w:rPr>
              <w:t>截至2024</w:t>
            </w:r>
            <w:r>
              <w:rPr>
                <w:rFonts w:ascii="宋体" w:hAnsi="宋体" w:eastAsia="宋体"/>
                <w:sz w:val="16"/>
              </w:rPr>
              <w:t>年12月共有在职人员10人，退休人员6人，</w:t>
            </w:r>
            <w:r>
              <w:rPr>
                <w:rFonts w:hint="eastAsia" w:ascii="宋体" w:hAnsi="宋体"/>
                <w:sz w:val="16"/>
                <w:lang w:eastAsia="zh-CN"/>
              </w:rPr>
              <w:t>本部门</w:t>
            </w:r>
            <w:r>
              <w:rPr>
                <w:rFonts w:ascii="宋体" w:hAnsi="宋体" w:eastAsia="宋体"/>
                <w:sz w:val="16"/>
              </w:rPr>
              <w:t>本年度共花费资金206.55万元，其中基本支出195.29万元，项目支出11.26万元，保障了</w:t>
            </w:r>
            <w:r>
              <w:rPr>
                <w:rFonts w:hint="eastAsia" w:ascii="宋体" w:hAnsi="宋体"/>
                <w:sz w:val="16"/>
                <w:lang w:eastAsia="zh-CN"/>
              </w:rPr>
              <w:t>本部门</w:t>
            </w:r>
            <w:r>
              <w:rPr>
                <w:rFonts w:ascii="宋体" w:hAnsi="宋体" w:eastAsia="宋体"/>
                <w:sz w:val="16"/>
              </w:rPr>
              <w:t>在职和退休</w:t>
            </w:r>
            <w:r>
              <w:rPr>
                <w:rFonts w:hint="eastAsia" w:ascii="宋体" w:hAnsi="宋体"/>
                <w:sz w:val="16"/>
                <w:lang w:val="en-US" w:eastAsia="zh-CN"/>
              </w:rPr>
              <w:t>人员</w:t>
            </w:r>
            <w:r>
              <w:rPr>
                <w:rFonts w:ascii="宋体" w:hAnsi="宋体" w:eastAsia="宋体"/>
                <w:sz w:val="16"/>
              </w:rPr>
              <w:t>的工资、社保及日常运转所需各项支出，并通过实施植物检疫性有害生物监测与防控项目和2023年自治区农业生产发展资金（农业防灾减灾）项目对检疫性有害生物进行了长期防控及通过物资储备，建设农作物病虫绿色防控示范区个数40个，实现化学农药使用量负增长达1.29%，主要农作物病虫害绿色防控覆盖率数量指标j结余结转资金8.26万元2024年度完成值达100%，三大粮食作物病虫害统防统治覆盖率达56.22%，喀什地区种子田检疫县市覆盖率质量指标完成值为91.67%，除塔县以外其余县市全部覆盖，保障了我区农业生产的正常进行，提高了农产品的质量。</w:t>
            </w:r>
          </w:p>
        </w:tc>
      </w:tr>
      <w:tr w14:paraId="5100F5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5945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11E7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17B6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1C7B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02BE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B727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6B52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C979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59042">
            <w:pPr>
              <w:jc w:val="center"/>
            </w:pPr>
            <w:r>
              <w:rPr>
                <w:rFonts w:ascii="宋体" w:hAnsi="宋体" w:eastAsia="宋体"/>
                <w:sz w:val="16"/>
              </w:rPr>
              <w:t>得分</w:t>
            </w:r>
          </w:p>
        </w:tc>
      </w:tr>
      <w:tr w14:paraId="620EAE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176E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03AB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19CD9">
            <w:pPr>
              <w:jc w:val="center"/>
            </w:pPr>
            <w:r>
              <w:rPr>
                <w:rFonts w:ascii="宋体" w:hAnsi="宋体" w:eastAsia="宋体"/>
                <w:sz w:val="16"/>
              </w:rPr>
              <w:t>建设农作物病虫绿色防控示范区个数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D82E8">
            <w:pPr>
              <w:jc w:val="center"/>
            </w:pPr>
            <w:r>
              <w:rPr>
                <w:rFonts w:ascii="宋体" w:hAnsi="宋体" w:eastAsia="宋体"/>
                <w:sz w:val="16"/>
              </w:rPr>
              <w:t>=40个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4240D">
            <w:pPr>
              <w:jc w:val="center"/>
            </w:pPr>
            <w:r>
              <w:rPr>
                <w:rFonts w:ascii="宋体" w:hAnsi="宋体" w:eastAsia="宋体"/>
                <w:sz w:val="16"/>
              </w:rPr>
              <w:t>2024年植保工作计划要点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1D6F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5AA2F">
            <w:pPr>
              <w:jc w:val="center"/>
            </w:pPr>
            <w:r>
              <w:rPr>
                <w:rFonts w:ascii="宋体" w:hAnsi="宋体" w:eastAsia="宋体"/>
                <w:sz w:val="16"/>
              </w:rPr>
              <w:t>40个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29A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CCED0">
            <w:pPr>
              <w:jc w:val="center"/>
            </w:pPr>
            <w:r>
              <w:rPr>
                <w:rFonts w:ascii="宋体" w:hAnsi="宋体" w:eastAsia="宋体"/>
                <w:sz w:val="16"/>
              </w:rPr>
              <w:t>20</w:t>
            </w:r>
          </w:p>
        </w:tc>
      </w:tr>
      <w:tr w14:paraId="620F5A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8887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1DC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18525">
            <w:pPr>
              <w:jc w:val="center"/>
            </w:pPr>
            <w:r>
              <w:rPr>
                <w:rFonts w:ascii="宋体" w:hAnsi="宋体" w:eastAsia="宋体"/>
                <w:sz w:val="16"/>
              </w:rPr>
              <w:t>实现化学农药使用量负增长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BBDEF">
            <w:pPr>
              <w:jc w:val="center"/>
            </w:pPr>
            <w:r>
              <w:rPr>
                <w:rFonts w:ascii="宋体" w:hAnsi="宋体" w:eastAsia="宋体"/>
                <w:sz w:val="16"/>
              </w:rPr>
              <w:t>&gt;0.50%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B1209">
            <w:pPr>
              <w:jc w:val="center"/>
            </w:pPr>
            <w:r>
              <w:rPr>
                <w:rFonts w:ascii="宋体" w:hAnsi="宋体" w:eastAsia="宋体"/>
                <w:sz w:val="16"/>
              </w:rPr>
              <w:t>关于印发（喀什地区到2025年化学农药减量化行动实施方案）的通知）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14D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5AB26">
            <w:pPr>
              <w:jc w:val="center"/>
            </w:pPr>
            <w:r>
              <w:rPr>
                <w:rFonts w:ascii="宋体" w:hAnsi="宋体" w:eastAsia="宋体"/>
                <w:sz w:val="16"/>
              </w:rPr>
              <w:t>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106D9">
            <w:pPr>
              <w:jc w:val="center"/>
            </w:pPr>
            <w:r>
              <w:rPr>
                <w:rFonts w:ascii="宋体" w:hAnsi="宋体" w:eastAsia="宋体"/>
                <w:sz w:val="16"/>
              </w:rPr>
              <w:t>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0563E">
            <w:pPr>
              <w:jc w:val="center"/>
            </w:pPr>
            <w:r>
              <w:rPr>
                <w:rFonts w:ascii="宋体" w:hAnsi="宋体" w:eastAsia="宋体"/>
                <w:sz w:val="16"/>
              </w:rPr>
              <w:t>10</w:t>
            </w:r>
          </w:p>
        </w:tc>
      </w:tr>
      <w:tr w14:paraId="11B4F1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8F7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5939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2FB26">
            <w:pPr>
              <w:jc w:val="center"/>
            </w:pPr>
            <w:r>
              <w:rPr>
                <w:rFonts w:ascii="宋体" w:hAnsi="宋体" w:eastAsia="宋体"/>
                <w:sz w:val="16"/>
              </w:rPr>
              <w:t>主要农作物病虫害绿色防控覆盖率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AAEC2">
            <w:pPr>
              <w:jc w:val="center"/>
            </w:pPr>
            <w:r>
              <w:rPr>
                <w:rFonts w:ascii="宋体" w:hAnsi="宋体" w:eastAsia="宋体"/>
                <w:sz w:val="16"/>
              </w:rPr>
              <w:t>&gt;=55%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325BC">
            <w:pPr>
              <w:jc w:val="center"/>
            </w:pPr>
            <w:r>
              <w:rPr>
                <w:rFonts w:ascii="宋体" w:hAnsi="宋体" w:eastAsia="宋体"/>
                <w:sz w:val="16"/>
              </w:rPr>
              <w:t>2024年植保工作计划要点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7805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0E7C9">
            <w:pPr>
              <w:jc w:val="center"/>
            </w:pPr>
            <w:r>
              <w:rPr>
                <w:rFonts w:ascii="宋体" w:hAnsi="宋体" w:eastAsia="宋体"/>
                <w:sz w:val="16"/>
              </w:rPr>
              <w:t>56.88%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0D7D6">
            <w:pPr>
              <w:jc w:val="center"/>
            </w:pPr>
            <w:r>
              <w:rPr>
                <w:rFonts w:ascii="宋体" w:hAnsi="宋体" w:eastAsia="宋体"/>
                <w:sz w:val="16"/>
              </w:rPr>
              <w:t>103.42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75641">
            <w:pPr>
              <w:jc w:val="center"/>
            </w:pPr>
            <w:r>
              <w:rPr>
                <w:rFonts w:ascii="宋体" w:hAnsi="宋体" w:eastAsia="宋体"/>
                <w:sz w:val="16"/>
              </w:rPr>
              <w:t>20</w:t>
            </w:r>
          </w:p>
        </w:tc>
      </w:tr>
      <w:tr w14:paraId="49528D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3F9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C5E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406AA">
            <w:pPr>
              <w:jc w:val="center"/>
            </w:pPr>
            <w:r>
              <w:rPr>
                <w:rFonts w:ascii="宋体" w:hAnsi="宋体" w:eastAsia="宋体"/>
                <w:sz w:val="16"/>
              </w:rPr>
              <w:t>三大粮食作物病虫害统防统治覆盖率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4804F">
            <w:pPr>
              <w:jc w:val="center"/>
            </w:pPr>
            <w:r>
              <w:rPr>
                <w:rFonts w:ascii="宋体" w:hAnsi="宋体" w:eastAsia="宋体"/>
                <w:sz w:val="16"/>
              </w:rPr>
              <w:t>&gt;=44%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75405">
            <w:pPr>
              <w:jc w:val="center"/>
            </w:pPr>
            <w:r>
              <w:rPr>
                <w:rFonts w:ascii="宋体" w:hAnsi="宋体" w:eastAsia="宋体"/>
                <w:sz w:val="16"/>
              </w:rPr>
              <w:t>2024年植保工作计划要点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4CC8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CEB20">
            <w:pPr>
              <w:jc w:val="center"/>
            </w:pPr>
            <w:r>
              <w:rPr>
                <w:rFonts w:ascii="宋体" w:hAnsi="宋体" w:eastAsia="宋体"/>
                <w:sz w:val="16"/>
              </w:rPr>
              <w:t>56.22%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FE432">
            <w:pPr>
              <w:jc w:val="center"/>
            </w:pPr>
            <w:r>
              <w:rPr>
                <w:rFonts w:ascii="宋体" w:hAnsi="宋体" w:eastAsia="宋体"/>
                <w:sz w:val="16"/>
              </w:rPr>
              <w:t>127.77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0C837">
            <w:pPr>
              <w:jc w:val="center"/>
            </w:pPr>
            <w:r>
              <w:rPr>
                <w:rFonts w:ascii="宋体" w:hAnsi="宋体" w:eastAsia="宋体"/>
                <w:sz w:val="16"/>
              </w:rPr>
              <w:t>20</w:t>
            </w:r>
          </w:p>
        </w:tc>
      </w:tr>
      <w:tr w14:paraId="5619DF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3135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325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7AFA1">
            <w:pPr>
              <w:jc w:val="center"/>
            </w:pPr>
            <w:r>
              <w:rPr>
                <w:rFonts w:ascii="宋体" w:hAnsi="宋体" w:eastAsia="宋体"/>
                <w:sz w:val="16"/>
              </w:rPr>
              <w:t>喀什地区种子田检疫县市覆盖率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754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7E109">
            <w:pPr>
              <w:jc w:val="center"/>
            </w:pPr>
            <w:r>
              <w:rPr>
                <w:rFonts w:ascii="宋体" w:hAnsi="宋体" w:eastAsia="宋体"/>
                <w:sz w:val="16"/>
              </w:rPr>
              <w:t>2024年植保工作计划要点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168F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CB3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77E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C961E">
            <w:pPr>
              <w:jc w:val="center"/>
            </w:pPr>
            <w:r>
              <w:rPr>
                <w:rFonts w:ascii="宋体" w:hAnsi="宋体" w:eastAsia="宋体"/>
                <w:sz w:val="16"/>
              </w:rPr>
              <w:t>20</w:t>
            </w:r>
          </w:p>
        </w:tc>
      </w:tr>
    </w:tbl>
    <w:p w14:paraId="36EE585C">
      <w:r>
        <w:br w:type="page"/>
      </w:r>
    </w:p>
    <w:tbl>
      <w:tblPr>
        <w:tblStyle w:val="9"/>
        <w:tblW w:w="9620" w:type="dxa"/>
        <w:tblInd w:w="0" w:type="dxa"/>
        <w:tblLayout w:type="autofit"/>
        <w:tblCellMar>
          <w:top w:w="0" w:type="dxa"/>
          <w:left w:w="108" w:type="dxa"/>
          <w:bottom w:w="0" w:type="dxa"/>
          <w:right w:w="108" w:type="dxa"/>
        </w:tblCellMar>
      </w:tblPr>
      <w:tblGrid>
        <w:gridCol w:w="666"/>
        <w:gridCol w:w="663"/>
        <w:gridCol w:w="663"/>
        <w:gridCol w:w="737"/>
        <w:gridCol w:w="824"/>
        <w:gridCol w:w="663"/>
        <w:gridCol w:w="670"/>
        <w:gridCol w:w="669"/>
        <w:gridCol w:w="663"/>
        <w:gridCol w:w="663"/>
        <w:gridCol w:w="739"/>
        <w:gridCol w:w="1054"/>
        <w:gridCol w:w="270"/>
        <w:gridCol w:w="676"/>
      </w:tblGrid>
      <w:tr w14:paraId="619B60E7">
        <w:tblPrEx>
          <w:tblCellMar>
            <w:top w:w="0" w:type="dxa"/>
            <w:left w:w="108" w:type="dxa"/>
            <w:bottom w:w="0" w:type="dxa"/>
            <w:right w:w="108" w:type="dxa"/>
          </w:tblCellMar>
        </w:tblPrEx>
        <w:trPr>
          <w:trHeight w:val="90" w:hRule="atLeast"/>
        </w:trPr>
        <w:tc>
          <w:tcPr>
            <w:tcW w:w="9620" w:type="dxa"/>
            <w:gridSpan w:val="14"/>
            <w:vAlign w:val="center"/>
          </w:tcPr>
          <w:p w14:paraId="4DB9C1DB">
            <w:pPr>
              <w:jc w:val="center"/>
            </w:pPr>
            <w:r>
              <w:rPr>
                <w:rFonts w:ascii="宋体" w:hAnsi="宋体" w:eastAsia="宋体"/>
                <w:sz w:val="24"/>
              </w:rPr>
              <w:t>项目支出绩效自评表</w:t>
            </w:r>
          </w:p>
        </w:tc>
      </w:tr>
      <w:tr w14:paraId="1ECDAC2F">
        <w:tblPrEx>
          <w:tblCellMar>
            <w:top w:w="0" w:type="dxa"/>
            <w:left w:w="108" w:type="dxa"/>
            <w:bottom w:w="0" w:type="dxa"/>
            <w:right w:w="108" w:type="dxa"/>
          </w:tblCellMar>
        </w:tblPrEx>
        <w:trPr>
          <w:trHeight w:val="90" w:hRule="atLeast"/>
        </w:trPr>
        <w:tc>
          <w:tcPr>
            <w:tcW w:w="9620" w:type="dxa"/>
            <w:gridSpan w:val="14"/>
            <w:vAlign w:val="center"/>
          </w:tcPr>
          <w:p w14:paraId="72759E83">
            <w:pPr>
              <w:jc w:val="center"/>
            </w:pPr>
            <w:r>
              <w:rPr>
                <w:rFonts w:ascii="宋体" w:hAnsi="宋体" w:eastAsia="宋体"/>
                <w:sz w:val="24"/>
              </w:rPr>
              <w:t>(2024年度)</w:t>
            </w:r>
          </w:p>
        </w:tc>
      </w:tr>
      <w:tr w14:paraId="62601141">
        <w:tblPrEx>
          <w:tblCellMar>
            <w:top w:w="0" w:type="dxa"/>
            <w:left w:w="108" w:type="dxa"/>
            <w:bottom w:w="0" w:type="dxa"/>
            <w:right w:w="108" w:type="dxa"/>
          </w:tblCellMar>
        </w:tblPrEx>
        <w:trPr>
          <w:trHeight w:val="90" w:hRule="atLeast"/>
        </w:trPr>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5847F0F1">
            <w:pPr>
              <w:jc w:val="center"/>
            </w:pPr>
            <w:r>
              <w:rPr>
                <w:rFonts w:ascii="宋体" w:hAnsi="宋体" w:eastAsia="宋体"/>
                <w:sz w:val="16"/>
              </w:rPr>
              <w:t>项目名称</w:t>
            </w:r>
          </w:p>
        </w:tc>
        <w:tc>
          <w:tcPr>
            <w:tcW w:w="895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7DC299">
            <w:pPr>
              <w:jc w:val="center"/>
            </w:pPr>
            <w:r>
              <w:rPr>
                <w:rFonts w:ascii="宋体" w:hAnsi="宋体" w:eastAsia="宋体"/>
                <w:sz w:val="16"/>
              </w:rPr>
              <w:t>农业植物检疫性有害生物监测与防控项目</w:t>
            </w:r>
          </w:p>
        </w:tc>
      </w:tr>
      <w:tr w14:paraId="532447C3">
        <w:tblPrEx>
          <w:tblCellMar>
            <w:top w:w="0" w:type="dxa"/>
            <w:left w:w="108" w:type="dxa"/>
            <w:bottom w:w="0" w:type="dxa"/>
            <w:right w:w="108" w:type="dxa"/>
          </w:tblCellMar>
        </w:tblPrEx>
        <w:trPr>
          <w:trHeight w:val="90" w:hRule="atLeast"/>
        </w:trPr>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050C81FE">
            <w:pPr>
              <w:jc w:val="center"/>
            </w:pPr>
            <w:r>
              <w:rPr>
                <w:rFonts w:ascii="宋体" w:hAnsi="宋体" w:eastAsia="宋体"/>
                <w:sz w:val="16"/>
              </w:rPr>
              <w:t>主管部门</w:t>
            </w:r>
          </w:p>
        </w:tc>
        <w:tc>
          <w:tcPr>
            <w:tcW w:w="488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E09C55">
            <w:pPr>
              <w:jc w:val="center"/>
            </w:pPr>
            <w:r>
              <w:rPr>
                <w:rFonts w:ascii="宋体" w:hAnsi="宋体" w:eastAsia="宋体"/>
                <w:sz w:val="16"/>
              </w:rPr>
              <w:t>喀什地区农业农村局</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426B4DE">
            <w:pPr>
              <w:jc w:val="center"/>
            </w:pPr>
            <w:r>
              <w:rPr>
                <w:rFonts w:ascii="宋体" w:hAnsi="宋体" w:eastAsia="宋体"/>
                <w:sz w:val="16"/>
              </w:rPr>
              <w:t>实施单位</w:t>
            </w:r>
          </w:p>
        </w:tc>
        <w:tc>
          <w:tcPr>
            <w:tcW w:w="340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FE4DCF">
            <w:pPr>
              <w:jc w:val="center"/>
            </w:pPr>
            <w:r>
              <w:rPr>
                <w:rFonts w:ascii="宋体" w:hAnsi="宋体" w:eastAsia="宋体"/>
                <w:sz w:val="16"/>
              </w:rPr>
              <w:t>喀什地区植物保护站</w:t>
            </w:r>
          </w:p>
        </w:tc>
      </w:tr>
      <w:tr w14:paraId="0B82E984">
        <w:tblPrEx>
          <w:tblCellMar>
            <w:top w:w="0" w:type="dxa"/>
            <w:left w:w="108" w:type="dxa"/>
            <w:bottom w:w="0" w:type="dxa"/>
            <w:right w:w="108" w:type="dxa"/>
          </w:tblCellMar>
        </w:tblPrEx>
        <w:trPr>
          <w:trHeight w:val="90" w:hRule="atLeast"/>
        </w:trPr>
        <w:tc>
          <w:tcPr>
            <w:tcW w:w="6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E99FC">
            <w:pPr>
              <w:jc w:val="center"/>
            </w:pPr>
            <w:r>
              <w:rPr>
                <w:rFonts w:ascii="宋体" w:hAnsi="宋体" w:eastAsia="宋体"/>
                <w:sz w:val="16"/>
              </w:rPr>
              <w:t>项目资金 （万元）</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054B">
            <w:pPr>
              <w:jc w:val="center"/>
            </w:pPr>
          </w:p>
        </w:tc>
        <w:tc>
          <w:tcPr>
            <w:tcW w:w="15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B7B7A">
            <w:pPr>
              <w:jc w:val="center"/>
            </w:pPr>
            <w:r>
              <w:rPr>
                <w:rFonts w:ascii="宋体" w:hAnsi="宋体" w:eastAsia="宋体"/>
                <w:sz w:val="16"/>
              </w:rPr>
              <w:t>年初预算数</w:t>
            </w:r>
          </w:p>
        </w:tc>
        <w:tc>
          <w:tcPr>
            <w:tcW w:w="13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354B">
            <w:pPr>
              <w:jc w:val="center"/>
            </w:pPr>
            <w:r>
              <w:rPr>
                <w:rFonts w:ascii="宋体" w:hAnsi="宋体" w:eastAsia="宋体"/>
                <w:sz w:val="16"/>
              </w:rPr>
              <w:t>全年预算数</w:t>
            </w:r>
          </w:p>
        </w:tc>
        <w:tc>
          <w:tcPr>
            <w:tcW w:w="13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0BE7">
            <w:pPr>
              <w:jc w:val="center"/>
            </w:pPr>
            <w:r>
              <w:rPr>
                <w:rFonts w:ascii="宋体" w:hAnsi="宋体" w:eastAsia="宋体"/>
                <w:sz w:val="16"/>
              </w:rPr>
              <w:t>全年执行数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25DDD">
            <w:pPr>
              <w:jc w:val="center"/>
            </w:pPr>
            <w:r>
              <w:rPr>
                <w:rFonts w:ascii="宋体" w:hAnsi="宋体" w:eastAsia="宋体"/>
                <w:sz w:val="16"/>
              </w:rPr>
              <w:t>分值</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DEB03">
            <w:pPr>
              <w:jc w:val="center"/>
            </w:pPr>
            <w:r>
              <w:rPr>
                <w:rFonts w:ascii="宋体" w:hAnsi="宋体" w:eastAsia="宋体"/>
                <w:sz w:val="16"/>
              </w:rPr>
              <w:t>执行率</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B53100A">
            <w:pPr>
              <w:jc w:val="center"/>
            </w:pPr>
            <w:r>
              <w:rPr>
                <w:rFonts w:ascii="宋体" w:hAnsi="宋体" w:eastAsia="宋体"/>
                <w:sz w:val="16"/>
              </w:rPr>
              <w:t>得分</w:t>
            </w:r>
          </w:p>
        </w:tc>
      </w:tr>
      <w:tr w14:paraId="441FCEDA">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7EAB616D"/>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9754E">
            <w:pPr>
              <w:jc w:val="center"/>
            </w:pPr>
            <w:r>
              <w:rPr>
                <w:rFonts w:ascii="宋体" w:hAnsi="宋体" w:eastAsia="宋体"/>
                <w:sz w:val="16"/>
              </w:rPr>
              <w:t>年度资金总额</w:t>
            </w:r>
          </w:p>
        </w:tc>
        <w:tc>
          <w:tcPr>
            <w:tcW w:w="15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C4A62">
            <w:pPr>
              <w:jc w:val="center"/>
            </w:pPr>
            <w:r>
              <w:rPr>
                <w:rFonts w:ascii="宋体" w:hAnsi="宋体" w:eastAsia="宋体"/>
                <w:sz w:val="16"/>
              </w:rPr>
              <w:t>3.00</w:t>
            </w:r>
          </w:p>
        </w:tc>
        <w:tc>
          <w:tcPr>
            <w:tcW w:w="13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B8CE9">
            <w:pPr>
              <w:jc w:val="center"/>
            </w:pPr>
            <w:r>
              <w:rPr>
                <w:rFonts w:ascii="宋体" w:hAnsi="宋体" w:eastAsia="宋体"/>
                <w:sz w:val="16"/>
              </w:rPr>
              <w:t>3.00</w:t>
            </w:r>
          </w:p>
        </w:tc>
        <w:tc>
          <w:tcPr>
            <w:tcW w:w="13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42AD4">
            <w:pPr>
              <w:jc w:val="center"/>
            </w:pPr>
            <w:r>
              <w:rPr>
                <w:rFonts w:ascii="宋体" w:hAnsi="宋体" w:eastAsia="宋体"/>
                <w:sz w:val="16"/>
              </w:rPr>
              <w:t>3.00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765F0">
            <w:pPr>
              <w:jc w:val="center"/>
            </w:pPr>
            <w:r>
              <w:rPr>
                <w:rFonts w:ascii="宋体" w:hAnsi="宋体" w:eastAsia="宋体"/>
                <w:sz w:val="16"/>
              </w:rPr>
              <w:t>10</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28F44">
            <w:pPr>
              <w:jc w:val="center"/>
            </w:pPr>
            <w:r>
              <w:rPr>
                <w:rFonts w:ascii="宋体" w:hAnsi="宋体" w:eastAsia="宋体"/>
                <w:sz w:val="16"/>
              </w:rPr>
              <w:t>100.0%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727EC6F">
            <w:pPr>
              <w:jc w:val="center"/>
            </w:pPr>
            <w:r>
              <w:rPr>
                <w:rFonts w:ascii="宋体" w:hAnsi="宋体" w:eastAsia="宋体"/>
                <w:sz w:val="16"/>
              </w:rPr>
              <w:t>10.00分</w:t>
            </w:r>
          </w:p>
        </w:tc>
      </w:tr>
      <w:tr w14:paraId="0AC3D836">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14C807C2"/>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863FB">
            <w:pPr>
              <w:jc w:val="center"/>
            </w:pPr>
            <w:r>
              <w:rPr>
                <w:rFonts w:ascii="宋体" w:hAnsi="宋体" w:eastAsia="宋体"/>
                <w:sz w:val="16"/>
              </w:rPr>
              <w:t>其中：当年财政拨款</w:t>
            </w:r>
          </w:p>
        </w:tc>
        <w:tc>
          <w:tcPr>
            <w:tcW w:w="15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1C128">
            <w:pPr>
              <w:jc w:val="center"/>
            </w:pPr>
            <w:r>
              <w:rPr>
                <w:rFonts w:ascii="宋体" w:hAnsi="宋体" w:eastAsia="宋体"/>
                <w:sz w:val="16"/>
              </w:rPr>
              <w:t>3.00</w:t>
            </w:r>
          </w:p>
        </w:tc>
        <w:tc>
          <w:tcPr>
            <w:tcW w:w="13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A0806">
            <w:pPr>
              <w:jc w:val="center"/>
            </w:pPr>
            <w:r>
              <w:rPr>
                <w:rFonts w:ascii="宋体" w:hAnsi="宋体" w:eastAsia="宋体"/>
                <w:sz w:val="16"/>
              </w:rPr>
              <w:t>3.00</w:t>
            </w:r>
          </w:p>
        </w:tc>
        <w:tc>
          <w:tcPr>
            <w:tcW w:w="13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00733">
            <w:pPr>
              <w:jc w:val="center"/>
            </w:pPr>
            <w:r>
              <w:rPr>
                <w:rFonts w:ascii="宋体" w:hAnsi="宋体" w:eastAsia="宋体"/>
                <w:sz w:val="16"/>
              </w:rPr>
              <w:t>3.00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31E2F">
            <w:pPr>
              <w:jc w:val="center"/>
            </w:pPr>
            <w:r>
              <w:rPr>
                <w:rFonts w:ascii="宋体" w:hAnsi="宋体" w:eastAsia="宋体"/>
                <w:sz w:val="16"/>
              </w:rPr>
              <w:t>—</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88B5C">
            <w:pPr>
              <w:jc w:val="center"/>
            </w:pPr>
            <w:r>
              <w:rPr>
                <w:rFonts w:ascii="宋体" w:hAnsi="宋体" w:eastAsia="宋体"/>
                <w:sz w:val="16"/>
              </w:rPr>
              <w:t>—</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18C80228">
            <w:pPr>
              <w:jc w:val="center"/>
            </w:pPr>
            <w:r>
              <w:rPr>
                <w:rFonts w:ascii="宋体" w:hAnsi="宋体" w:eastAsia="宋体"/>
                <w:sz w:val="16"/>
              </w:rPr>
              <w:t>—</w:t>
            </w:r>
          </w:p>
        </w:tc>
      </w:tr>
      <w:tr w14:paraId="5CF19A0C">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39503FAC"/>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C8D72">
            <w:pPr>
              <w:jc w:val="center"/>
            </w:pPr>
            <w:r>
              <w:rPr>
                <w:rFonts w:ascii="宋体" w:hAnsi="宋体" w:eastAsia="宋体"/>
                <w:sz w:val="16"/>
              </w:rPr>
              <w:t xml:space="preserve">  其他资金</w:t>
            </w:r>
          </w:p>
        </w:tc>
        <w:tc>
          <w:tcPr>
            <w:tcW w:w="15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37C8A">
            <w:pPr>
              <w:jc w:val="center"/>
            </w:pPr>
            <w:r>
              <w:rPr>
                <w:rFonts w:ascii="宋体" w:hAnsi="宋体" w:eastAsia="宋体"/>
                <w:sz w:val="16"/>
              </w:rPr>
              <w:t>0.00</w:t>
            </w:r>
          </w:p>
        </w:tc>
        <w:tc>
          <w:tcPr>
            <w:tcW w:w="13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75ED">
            <w:pPr>
              <w:jc w:val="center"/>
            </w:pPr>
            <w:r>
              <w:rPr>
                <w:rFonts w:ascii="宋体" w:hAnsi="宋体" w:eastAsia="宋体"/>
                <w:sz w:val="16"/>
              </w:rPr>
              <w:t>0.00</w:t>
            </w:r>
          </w:p>
        </w:tc>
        <w:tc>
          <w:tcPr>
            <w:tcW w:w="13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69725">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8E15">
            <w:pPr>
              <w:jc w:val="center"/>
            </w:pPr>
            <w:r>
              <w:rPr>
                <w:rFonts w:ascii="宋体" w:hAnsi="宋体" w:eastAsia="宋体"/>
                <w:sz w:val="16"/>
              </w:rPr>
              <w:t>—</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7FAF7">
            <w:pPr>
              <w:jc w:val="center"/>
            </w:pPr>
            <w:r>
              <w:rPr>
                <w:rFonts w:ascii="宋体" w:hAnsi="宋体" w:eastAsia="宋体"/>
                <w:sz w:val="16"/>
              </w:rPr>
              <w:t>—</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07083375">
            <w:pPr>
              <w:jc w:val="center"/>
            </w:pPr>
            <w:r>
              <w:rPr>
                <w:rFonts w:ascii="宋体" w:hAnsi="宋体" w:eastAsia="宋体"/>
                <w:sz w:val="16"/>
              </w:rPr>
              <w:t>—</w:t>
            </w:r>
          </w:p>
        </w:tc>
      </w:tr>
      <w:tr w14:paraId="1733E7E7">
        <w:tblPrEx>
          <w:tblCellMar>
            <w:top w:w="0" w:type="dxa"/>
            <w:left w:w="108" w:type="dxa"/>
            <w:bottom w:w="0" w:type="dxa"/>
            <w:right w:w="108" w:type="dxa"/>
          </w:tblCellMar>
        </w:tblPrEx>
        <w:trPr>
          <w:trHeight w:val="90" w:hRule="atLeast"/>
        </w:trPr>
        <w:tc>
          <w:tcPr>
            <w:tcW w:w="6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E39D6">
            <w:pPr>
              <w:jc w:val="center"/>
            </w:pPr>
            <w:r>
              <w:rPr>
                <w:rFonts w:ascii="宋体" w:hAnsi="宋体" w:eastAsia="宋体"/>
                <w:sz w:val="16"/>
              </w:rPr>
              <w:t>三、目标完成情况</w:t>
            </w:r>
          </w:p>
        </w:tc>
        <w:tc>
          <w:tcPr>
            <w:tcW w:w="488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9C7BD5">
            <w:pPr>
              <w:jc w:val="center"/>
            </w:pPr>
            <w:r>
              <w:rPr>
                <w:rFonts w:ascii="宋体" w:hAnsi="宋体" w:eastAsia="宋体"/>
                <w:sz w:val="16"/>
              </w:rPr>
              <w:t>预期目标</w:t>
            </w:r>
          </w:p>
        </w:tc>
        <w:tc>
          <w:tcPr>
            <w:tcW w:w="406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A11BC5">
            <w:pPr>
              <w:jc w:val="center"/>
            </w:pPr>
            <w:r>
              <w:rPr>
                <w:rFonts w:ascii="宋体" w:hAnsi="宋体" w:eastAsia="宋体"/>
                <w:sz w:val="16"/>
              </w:rPr>
              <w:t>实际完成情况</w:t>
            </w:r>
          </w:p>
        </w:tc>
      </w:tr>
      <w:tr w14:paraId="7AFB299C">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69B7B05A"/>
        </w:tc>
        <w:tc>
          <w:tcPr>
            <w:tcW w:w="488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085F0">
            <w:pPr>
              <w:jc w:val="both"/>
            </w:pPr>
            <w:r>
              <w:rPr>
                <w:rFonts w:ascii="宋体" w:hAnsi="宋体" w:eastAsia="宋体"/>
                <w:sz w:val="16"/>
              </w:rPr>
              <w:t>提高植物检疫管理的标准化、规范化和科学化水平，有效预防和控制农业植物检疫性有害生物对我地区农业生产的影响，确保在发生植物疫情时，能够及时、迅速、高效、有序地进行应急处理，保障我地区农业安全健康发展，保护人民群众健康。</w:t>
            </w:r>
          </w:p>
        </w:tc>
        <w:tc>
          <w:tcPr>
            <w:tcW w:w="406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C75295">
            <w:pPr>
              <w:jc w:val="both"/>
            </w:pPr>
            <w:r>
              <w:rPr>
                <w:rFonts w:hint="eastAsia" w:ascii="宋体" w:hAnsi="宋体"/>
                <w:sz w:val="16"/>
                <w:lang w:eastAsia="zh-CN"/>
              </w:rPr>
              <w:t>本部门截至</w:t>
            </w:r>
            <w:r>
              <w:rPr>
                <w:rFonts w:ascii="宋体" w:hAnsi="宋体" w:eastAsia="宋体"/>
                <w:sz w:val="16"/>
              </w:rPr>
              <w:t>12月30日花费资金3.0万元，全部用于支付项目人员差旅费，租车费，印刷费等。每次出差人员均在3人以上，项目人员通过到各县市实地调查，及时的发现了检疫性有害生物的入侵，通过上报检疫月报表反映上报了检疫性有害生物的入侵范围和危害程度， 通过防治检疫性有害生物，有效的控制了疫情的蔓延，有效保障了农业生产，减少了疫情对农产品的影响</w:t>
            </w:r>
          </w:p>
        </w:tc>
      </w:tr>
      <w:tr w14:paraId="043F49D7">
        <w:tblPrEx>
          <w:tblCellMar>
            <w:top w:w="0" w:type="dxa"/>
            <w:left w:w="108" w:type="dxa"/>
            <w:bottom w:w="0" w:type="dxa"/>
            <w:right w:w="108" w:type="dxa"/>
          </w:tblCellMar>
        </w:tblPrEx>
        <w:trPr>
          <w:trHeight w:val="90" w:hRule="atLeast"/>
        </w:trPr>
        <w:tc>
          <w:tcPr>
            <w:tcW w:w="666" w:type="dxa"/>
            <w:tcBorders>
              <w:top w:val="single" w:color="auto" w:sz="10" w:space="0"/>
              <w:left w:val="single" w:color="auto" w:sz="10" w:space="0"/>
              <w:bottom w:val="single" w:color="auto" w:sz="10" w:space="0"/>
              <w:right w:val="single" w:color="auto" w:sz="10" w:space="0"/>
              <w:insideV w:val="single" w:sz="10" w:space="0"/>
            </w:tcBorders>
          </w:tcPr>
          <w:p w14:paraId="47E1B34F"/>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20B78D0">
            <w:pPr>
              <w:jc w:val="center"/>
            </w:pPr>
            <w:r>
              <w:rPr>
                <w:rFonts w:ascii="宋体" w:hAnsi="宋体" w:eastAsia="宋体"/>
                <w:sz w:val="16"/>
              </w:rPr>
              <w:t>一级指标</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3841BD78">
            <w:pPr>
              <w:jc w:val="center"/>
            </w:pPr>
            <w:r>
              <w:rPr>
                <w:rFonts w:ascii="宋体" w:hAnsi="宋体" w:eastAsia="宋体"/>
                <w:sz w:val="16"/>
              </w:rPr>
              <w:t>二级指标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0455E41E">
            <w:pPr>
              <w:jc w:val="center"/>
            </w:pPr>
            <w:r>
              <w:rPr>
                <w:rFonts w:ascii="宋体" w:hAnsi="宋体" w:eastAsia="宋体"/>
                <w:sz w:val="16"/>
              </w:rPr>
              <w:t>三级指标</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2D53CEA6">
            <w:pPr>
              <w:jc w:val="center"/>
            </w:pPr>
            <w:r>
              <w:rPr>
                <w:rFonts w:ascii="宋体" w:hAnsi="宋体" w:eastAsia="宋体"/>
                <w:sz w:val="16"/>
              </w:rPr>
              <w:t>年度指标值</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21214418">
            <w:pPr>
              <w:jc w:val="center"/>
            </w:pPr>
            <w:r>
              <w:rPr>
                <w:rFonts w:ascii="宋体" w:hAnsi="宋体" w:eastAsia="宋体"/>
                <w:sz w:val="16"/>
              </w:rPr>
              <w:t>指标值设定依据</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6C8B755B">
            <w:pPr>
              <w:jc w:val="center"/>
            </w:pPr>
            <w:r>
              <w:rPr>
                <w:rFonts w:ascii="宋体" w:hAnsi="宋体" w:eastAsia="宋体"/>
                <w:sz w:val="16"/>
              </w:rPr>
              <w:t>上年完成情况</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0EA5FDAD">
            <w:pPr>
              <w:jc w:val="center"/>
            </w:pPr>
            <w:r>
              <w:rPr>
                <w:rFonts w:ascii="宋体" w:hAnsi="宋体" w:eastAsia="宋体"/>
                <w:sz w:val="16"/>
              </w:rPr>
              <w:t>权重</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50C4225">
            <w:pPr>
              <w:jc w:val="center"/>
            </w:pPr>
            <w:r>
              <w:rPr>
                <w:rFonts w:ascii="宋体" w:hAnsi="宋体" w:eastAsia="宋体"/>
                <w:sz w:val="16"/>
              </w:rPr>
              <w:t>赋分规则</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3F4CF34">
            <w:pPr>
              <w:jc w:val="center"/>
            </w:pPr>
            <w:r>
              <w:rPr>
                <w:rFonts w:ascii="宋体" w:hAnsi="宋体" w:eastAsia="宋体"/>
                <w:sz w:val="16"/>
              </w:rPr>
              <w:t>佐证资料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A92E9FA">
            <w:pPr>
              <w:jc w:val="center"/>
            </w:pPr>
            <w:r>
              <w:rPr>
                <w:rFonts w:ascii="宋体" w:hAnsi="宋体" w:eastAsia="宋体"/>
                <w:sz w:val="16"/>
              </w:rPr>
              <w:t>实际完成值</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1525E18F">
            <w:pPr>
              <w:jc w:val="center"/>
            </w:pPr>
            <w:r>
              <w:rPr>
                <w:rFonts w:ascii="宋体" w:hAnsi="宋体" w:eastAsia="宋体"/>
                <w:sz w:val="16"/>
              </w:rPr>
              <w:t>得分</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B3FDB">
            <w:pPr>
              <w:jc w:val="center"/>
            </w:pPr>
            <w:r>
              <w:rPr>
                <w:rFonts w:ascii="宋体" w:hAnsi="宋体" w:eastAsia="宋体"/>
                <w:sz w:val="16"/>
              </w:rPr>
              <w:t>偏差原因分析及改进措施</w:t>
            </w:r>
          </w:p>
        </w:tc>
      </w:tr>
      <w:tr w14:paraId="5FF27640">
        <w:tblPrEx>
          <w:tblCellMar>
            <w:top w:w="0" w:type="dxa"/>
            <w:left w:w="108" w:type="dxa"/>
            <w:bottom w:w="0" w:type="dxa"/>
            <w:right w:w="108" w:type="dxa"/>
          </w:tblCellMar>
        </w:tblPrEx>
        <w:trPr>
          <w:trHeight w:val="90" w:hRule="atLeast"/>
        </w:trPr>
        <w:tc>
          <w:tcPr>
            <w:tcW w:w="6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7C616">
            <w:pPr>
              <w:jc w:val="center"/>
            </w:pPr>
            <w:r>
              <w:rPr>
                <w:rFonts w:ascii="宋体" w:hAnsi="宋体" w:eastAsia="宋体"/>
                <w:sz w:val="16"/>
              </w:rPr>
              <w:t>年度绩效指标完成情况</w:t>
            </w:r>
          </w:p>
        </w:tc>
        <w:tc>
          <w:tcPr>
            <w:tcW w:w="6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FA867">
            <w:pPr>
              <w:jc w:val="center"/>
            </w:pPr>
            <w:r>
              <w:rPr>
                <w:rFonts w:ascii="宋体" w:hAnsi="宋体" w:eastAsia="宋体"/>
                <w:sz w:val="16"/>
              </w:rPr>
              <w:t>产出指标</w:t>
            </w:r>
          </w:p>
        </w:tc>
        <w:tc>
          <w:tcPr>
            <w:tcW w:w="6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9458F">
            <w:pPr>
              <w:jc w:val="center"/>
            </w:pPr>
            <w:r>
              <w:rPr>
                <w:rFonts w:ascii="宋体" w:hAnsi="宋体" w:eastAsia="宋体"/>
                <w:sz w:val="16"/>
              </w:rPr>
              <w:t>数量指标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327B14B0">
            <w:pPr>
              <w:jc w:val="center"/>
            </w:pPr>
            <w:r>
              <w:rPr>
                <w:rFonts w:ascii="宋体" w:hAnsi="宋体" w:eastAsia="宋体"/>
                <w:sz w:val="16"/>
              </w:rPr>
              <w:t>上报植物疫情发生防治月报表（期）</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6B04BF73">
            <w:pPr>
              <w:jc w:val="center"/>
            </w:pPr>
            <w:r>
              <w:rPr>
                <w:rFonts w:ascii="宋体" w:hAnsi="宋体" w:eastAsia="宋体"/>
                <w:sz w:val="16"/>
              </w:rPr>
              <w:t>=12期</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5C4F745">
            <w:pPr>
              <w:jc w:val="center"/>
            </w:pPr>
            <w:r>
              <w:rPr>
                <w:rFonts w:ascii="宋体" w:hAnsi="宋体" w:eastAsia="宋体"/>
                <w:sz w:val="16"/>
              </w:rPr>
              <w:t>历史标准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12FA61B8">
            <w:pPr>
              <w:jc w:val="center"/>
            </w:pPr>
            <w:r>
              <w:rPr>
                <w:rFonts w:ascii="宋体" w:hAnsi="宋体" w:eastAsia="宋体"/>
                <w:sz w:val="16"/>
              </w:rPr>
              <w:t>12期</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002E8E33">
            <w:pPr>
              <w:jc w:val="center"/>
            </w:pPr>
            <w:r>
              <w:rPr>
                <w:rFonts w:ascii="宋体" w:hAnsi="宋体" w:eastAsia="宋体"/>
                <w:sz w:val="16"/>
              </w:rPr>
              <w:t>10</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6428484">
            <w:pPr>
              <w:jc w:val="center"/>
            </w:pPr>
            <w:r>
              <w:rPr>
                <w:rFonts w:ascii="宋体" w:hAnsi="宋体" w:eastAsia="宋体"/>
                <w:sz w:val="16"/>
              </w:rPr>
              <w:t>直接赋分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2BE5CCC">
            <w:pPr>
              <w:jc w:val="center"/>
            </w:pPr>
            <w:r>
              <w:rPr>
                <w:rFonts w:ascii="宋体" w:hAnsi="宋体" w:eastAsia="宋体"/>
                <w:sz w:val="16"/>
              </w:rPr>
              <w:t>工作资料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079D885">
            <w:pPr>
              <w:jc w:val="center"/>
            </w:pPr>
            <w:r>
              <w:rPr>
                <w:rFonts w:ascii="宋体" w:hAnsi="宋体" w:eastAsia="宋体"/>
                <w:sz w:val="16"/>
              </w:rPr>
              <w:t>=12期</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6ED9901B">
            <w:pPr>
              <w:jc w:val="center"/>
            </w:pPr>
            <w:r>
              <w:rPr>
                <w:rFonts w:ascii="宋体" w:hAnsi="宋体" w:eastAsia="宋体"/>
                <w:sz w:val="16"/>
              </w:rPr>
              <w:t>10</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D824D">
            <w:pPr>
              <w:jc w:val="center"/>
            </w:pPr>
          </w:p>
        </w:tc>
      </w:tr>
      <w:tr w14:paraId="42510EAA">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449D7A8D"/>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7F01D6DC"/>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2AEC2551"/>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57B06DD9">
            <w:pPr>
              <w:jc w:val="center"/>
            </w:pPr>
            <w:r>
              <w:rPr>
                <w:rFonts w:ascii="宋体" w:hAnsi="宋体" w:eastAsia="宋体"/>
                <w:sz w:val="16"/>
              </w:rPr>
              <w:t>形成详实的调查监测和总结报告</w:t>
            </w:r>
            <w:r>
              <w:rPr>
                <w:rFonts w:hint="eastAsia" w:ascii="宋体" w:hAnsi="宋体"/>
                <w:sz w:val="16"/>
                <w:lang w:eastAsia="zh-CN"/>
              </w:rPr>
              <w:t>（一</w:t>
            </w:r>
            <w:r>
              <w:rPr>
                <w:rFonts w:ascii="宋体" w:hAnsi="宋体" w:eastAsia="宋体"/>
                <w:sz w:val="16"/>
              </w:rPr>
              <w:t>份）</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720279DE">
            <w:pPr>
              <w:jc w:val="center"/>
            </w:pPr>
            <w:r>
              <w:rPr>
                <w:rFonts w:ascii="宋体" w:hAnsi="宋体" w:eastAsia="宋体"/>
                <w:sz w:val="16"/>
              </w:rPr>
              <w:t>&gt;=2份</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3A161822">
            <w:pPr>
              <w:jc w:val="center"/>
            </w:pPr>
            <w:r>
              <w:rPr>
                <w:rFonts w:ascii="宋体" w:hAnsi="宋体" w:eastAsia="宋体"/>
                <w:sz w:val="16"/>
              </w:rPr>
              <w:t>历史标准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3A5DB9A3">
            <w:pPr>
              <w:jc w:val="center"/>
            </w:pPr>
            <w:r>
              <w:rPr>
                <w:rFonts w:ascii="宋体" w:hAnsi="宋体" w:eastAsia="宋体"/>
                <w:sz w:val="16"/>
              </w:rPr>
              <w:t>2份</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72951FE7">
            <w:pPr>
              <w:jc w:val="center"/>
            </w:pPr>
            <w:r>
              <w:rPr>
                <w:rFonts w:ascii="宋体" w:hAnsi="宋体" w:eastAsia="宋体"/>
                <w:sz w:val="16"/>
              </w:rPr>
              <w:t>10</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46725D5">
            <w:pPr>
              <w:jc w:val="center"/>
            </w:pPr>
            <w:r>
              <w:rPr>
                <w:rFonts w:ascii="宋体" w:hAnsi="宋体" w:eastAsia="宋体"/>
                <w:sz w:val="16"/>
              </w:rPr>
              <w:t>按照完成比例赋分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A5385E0">
            <w:pPr>
              <w:jc w:val="center"/>
            </w:pPr>
            <w:r>
              <w:rPr>
                <w:rFonts w:ascii="宋体" w:hAnsi="宋体" w:eastAsia="宋体"/>
                <w:sz w:val="16"/>
              </w:rPr>
              <w:t>工作资料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F2FD7A5">
            <w:pPr>
              <w:jc w:val="center"/>
            </w:pPr>
            <w:r>
              <w:rPr>
                <w:rFonts w:ascii="宋体" w:hAnsi="宋体" w:eastAsia="宋体"/>
                <w:sz w:val="16"/>
              </w:rPr>
              <w:t>=2份</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09839374">
            <w:pPr>
              <w:jc w:val="center"/>
            </w:pPr>
            <w:r>
              <w:rPr>
                <w:rFonts w:ascii="宋体" w:hAnsi="宋体" w:eastAsia="宋体"/>
                <w:sz w:val="16"/>
              </w:rPr>
              <w:t>10</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778A6">
            <w:pPr>
              <w:jc w:val="center"/>
            </w:pPr>
          </w:p>
        </w:tc>
      </w:tr>
      <w:tr w14:paraId="771082B9">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32E290CB"/>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4A310D97"/>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414621AD"/>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02EB23A7">
            <w:pPr>
              <w:jc w:val="center"/>
            </w:pPr>
            <w:r>
              <w:rPr>
                <w:rFonts w:ascii="宋体" w:hAnsi="宋体" w:eastAsia="宋体"/>
                <w:sz w:val="16"/>
              </w:rPr>
              <w:t>发放宣传资料数量</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77E5805A">
            <w:pPr>
              <w:jc w:val="center"/>
            </w:pPr>
            <w:r>
              <w:rPr>
                <w:rFonts w:ascii="宋体" w:hAnsi="宋体" w:eastAsia="宋体"/>
                <w:sz w:val="16"/>
              </w:rPr>
              <w:t>&gt;=500份</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181D105">
            <w:pPr>
              <w:jc w:val="center"/>
            </w:pPr>
            <w:r>
              <w:rPr>
                <w:rFonts w:ascii="宋体" w:hAnsi="宋体" w:eastAsia="宋体"/>
                <w:sz w:val="16"/>
              </w:rPr>
              <w:t>计划标准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395D5285">
            <w:pPr>
              <w:jc w:val="center"/>
            </w:pPr>
            <w:r>
              <w:rPr>
                <w:rFonts w:ascii="宋体" w:hAnsi="宋体" w:eastAsia="宋体"/>
                <w:sz w:val="16"/>
              </w:rPr>
              <w:t>新增</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2F0552E0">
            <w:pPr>
              <w:jc w:val="center"/>
            </w:pPr>
            <w:r>
              <w:rPr>
                <w:rFonts w:ascii="宋体" w:hAnsi="宋体" w:eastAsia="宋体"/>
                <w:sz w:val="16"/>
              </w:rPr>
              <w:t>5</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2E22C490">
            <w:pPr>
              <w:jc w:val="center"/>
            </w:pPr>
            <w:r>
              <w:rPr>
                <w:rFonts w:ascii="宋体" w:hAnsi="宋体" w:eastAsia="宋体"/>
                <w:sz w:val="16"/>
              </w:rPr>
              <w:t>按照完成比例赋分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81F595A">
            <w:pPr>
              <w:jc w:val="center"/>
            </w:pPr>
            <w:r>
              <w:rPr>
                <w:rFonts w:ascii="宋体" w:hAnsi="宋体" w:eastAsia="宋体"/>
                <w:sz w:val="16"/>
              </w:rPr>
              <w:t>工作资料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050FA8A">
            <w:pPr>
              <w:jc w:val="center"/>
            </w:pPr>
            <w:r>
              <w:rPr>
                <w:rFonts w:ascii="宋体" w:hAnsi="宋体" w:eastAsia="宋体"/>
                <w:sz w:val="16"/>
              </w:rPr>
              <w:t>=500份</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43CF30FF">
            <w:pPr>
              <w:jc w:val="center"/>
            </w:pPr>
            <w:r>
              <w:rPr>
                <w:rFonts w:ascii="宋体" w:hAnsi="宋体" w:eastAsia="宋体"/>
                <w:sz w:val="16"/>
              </w:rPr>
              <w:t>5</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2C97">
            <w:pPr>
              <w:jc w:val="center"/>
            </w:pPr>
          </w:p>
        </w:tc>
      </w:tr>
      <w:tr w14:paraId="77C94EDA">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346C7984"/>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591BD03B"/>
        </w:tc>
        <w:tc>
          <w:tcPr>
            <w:tcW w:w="6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4BF49">
            <w:pPr>
              <w:jc w:val="center"/>
            </w:pPr>
            <w:r>
              <w:rPr>
                <w:rFonts w:ascii="宋体" w:hAnsi="宋体" w:eastAsia="宋体"/>
                <w:sz w:val="16"/>
              </w:rPr>
              <w:t>质量指标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7A7EBB12">
            <w:pPr>
              <w:jc w:val="center"/>
            </w:pPr>
            <w:r>
              <w:rPr>
                <w:rFonts w:ascii="宋体" w:hAnsi="宋体" w:eastAsia="宋体"/>
                <w:sz w:val="16"/>
              </w:rPr>
              <w:t>植物疫情排查和监测完成率</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4F2AF1F5">
            <w:pPr>
              <w:jc w:val="center"/>
            </w:pPr>
            <w:r>
              <w:rPr>
                <w:rFonts w:ascii="宋体" w:hAnsi="宋体" w:eastAsia="宋体"/>
                <w:sz w:val="16"/>
              </w:rPr>
              <w:t>=100%</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091C5793">
            <w:pPr>
              <w:jc w:val="center"/>
            </w:pPr>
            <w:r>
              <w:rPr>
                <w:rFonts w:ascii="宋体" w:hAnsi="宋体" w:eastAsia="宋体"/>
                <w:sz w:val="16"/>
              </w:rPr>
              <w:t>历史标准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1BBCE2BD">
            <w:pPr>
              <w:jc w:val="center"/>
            </w:pPr>
            <w:r>
              <w:rPr>
                <w:rFonts w:ascii="宋体" w:hAnsi="宋体" w:eastAsia="宋体"/>
                <w:sz w:val="16"/>
              </w:rPr>
              <w:t>100%</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623339FF">
            <w:pPr>
              <w:jc w:val="center"/>
            </w:pPr>
            <w:r>
              <w:rPr>
                <w:rFonts w:ascii="宋体" w:hAnsi="宋体" w:eastAsia="宋体"/>
                <w:sz w:val="16"/>
              </w:rPr>
              <w:t>5</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5643A1CE">
            <w:pPr>
              <w:jc w:val="center"/>
            </w:pPr>
            <w:r>
              <w:rPr>
                <w:rFonts w:ascii="宋体" w:hAnsi="宋体" w:eastAsia="宋体"/>
                <w:sz w:val="16"/>
              </w:rPr>
              <w:t>直接赋分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CFEE0F8">
            <w:pPr>
              <w:jc w:val="center"/>
            </w:pPr>
            <w:r>
              <w:rPr>
                <w:rFonts w:ascii="宋体" w:hAnsi="宋体" w:eastAsia="宋体"/>
                <w:sz w:val="16"/>
              </w:rPr>
              <w:t>工作资料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938739B">
            <w:pPr>
              <w:jc w:val="center"/>
            </w:pPr>
            <w:r>
              <w:rPr>
                <w:rFonts w:ascii="宋体" w:hAnsi="宋体" w:eastAsia="宋体"/>
                <w:sz w:val="16"/>
              </w:rPr>
              <w:t>=100%</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02B2B5C7">
            <w:pPr>
              <w:jc w:val="center"/>
            </w:pPr>
            <w:r>
              <w:rPr>
                <w:rFonts w:ascii="宋体" w:hAnsi="宋体" w:eastAsia="宋体"/>
                <w:sz w:val="16"/>
              </w:rPr>
              <w:t>5</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C661E">
            <w:pPr>
              <w:jc w:val="center"/>
            </w:pPr>
          </w:p>
        </w:tc>
      </w:tr>
      <w:tr w14:paraId="18EBD5EE">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721023EB"/>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0902DDCD"/>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222C76CE"/>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436519C8">
            <w:pPr>
              <w:jc w:val="center"/>
            </w:pPr>
            <w:r>
              <w:rPr>
                <w:rFonts w:ascii="宋体" w:hAnsi="宋体" w:eastAsia="宋体"/>
                <w:sz w:val="16"/>
              </w:rPr>
              <w:t>小麦、玉米、经济作物种子产地检疫率</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144D7885">
            <w:pPr>
              <w:jc w:val="center"/>
            </w:pPr>
            <w:r>
              <w:rPr>
                <w:rFonts w:ascii="宋体" w:hAnsi="宋体" w:eastAsia="宋体"/>
                <w:sz w:val="16"/>
              </w:rPr>
              <w:t>=100%</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D8F4C95">
            <w:pPr>
              <w:jc w:val="center"/>
            </w:pPr>
            <w:r>
              <w:rPr>
                <w:rFonts w:ascii="宋体" w:hAnsi="宋体" w:eastAsia="宋体"/>
                <w:sz w:val="16"/>
              </w:rPr>
              <w:t>历史标准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59F6BDF5">
            <w:pPr>
              <w:jc w:val="center"/>
            </w:pPr>
            <w:r>
              <w:rPr>
                <w:rFonts w:ascii="宋体" w:hAnsi="宋体" w:eastAsia="宋体"/>
                <w:sz w:val="16"/>
              </w:rPr>
              <w:t>100%</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2F5B9506">
            <w:pPr>
              <w:jc w:val="center"/>
            </w:pPr>
            <w:r>
              <w:rPr>
                <w:rFonts w:ascii="宋体" w:hAnsi="宋体" w:eastAsia="宋体"/>
                <w:sz w:val="16"/>
              </w:rPr>
              <w:t>5</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2BCA31CE">
            <w:pPr>
              <w:jc w:val="center"/>
            </w:pPr>
            <w:r>
              <w:rPr>
                <w:rFonts w:ascii="宋体" w:hAnsi="宋体" w:eastAsia="宋体"/>
                <w:sz w:val="16"/>
              </w:rPr>
              <w:t>直接赋分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57C20B66">
            <w:pPr>
              <w:jc w:val="center"/>
            </w:pPr>
            <w:r>
              <w:rPr>
                <w:rFonts w:ascii="宋体" w:hAnsi="宋体" w:eastAsia="宋体"/>
                <w:sz w:val="16"/>
              </w:rPr>
              <w:t>工作资料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C3B1810">
            <w:pPr>
              <w:jc w:val="center"/>
            </w:pPr>
            <w:r>
              <w:rPr>
                <w:rFonts w:ascii="宋体" w:hAnsi="宋体" w:eastAsia="宋体"/>
                <w:sz w:val="16"/>
              </w:rPr>
              <w:t>=100%</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2494A8D0">
            <w:pPr>
              <w:jc w:val="center"/>
            </w:pPr>
            <w:r>
              <w:rPr>
                <w:rFonts w:ascii="宋体" w:hAnsi="宋体" w:eastAsia="宋体"/>
                <w:sz w:val="16"/>
              </w:rPr>
              <w:t>5</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0E6D8">
            <w:pPr>
              <w:jc w:val="center"/>
            </w:pPr>
          </w:p>
        </w:tc>
      </w:tr>
      <w:tr w14:paraId="61371F41">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3D485B05"/>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4D278E48"/>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0F69378D">
            <w:pPr>
              <w:jc w:val="center"/>
            </w:pPr>
            <w:r>
              <w:rPr>
                <w:rFonts w:ascii="宋体" w:hAnsi="宋体" w:eastAsia="宋体"/>
                <w:sz w:val="16"/>
              </w:rPr>
              <w:t>时效指标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3A19D196">
            <w:pPr>
              <w:jc w:val="center"/>
            </w:pPr>
            <w:r>
              <w:rPr>
                <w:rFonts w:ascii="宋体" w:hAnsi="宋体" w:eastAsia="宋体"/>
                <w:sz w:val="16"/>
              </w:rPr>
              <w:t>项目完成时间</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6DD0897C">
            <w:pPr>
              <w:jc w:val="center"/>
            </w:pPr>
            <w:r>
              <w:rPr>
                <w:rFonts w:ascii="宋体" w:hAnsi="宋体" w:eastAsia="宋体"/>
                <w:sz w:val="16"/>
              </w:rPr>
              <w:t>=2024年12月20日前</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6CF64F66">
            <w:pPr>
              <w:jc w:val="center"/>
            </w:pPr>
            <w:r>
              <w:rPr>
                <w:rFonts w:ascii="宋体" w:hAnsi="宋体" w:eastAsia="宋体"/>
                <w:sz w:val="16"/>
              </w:rPr>
              <w:t>计划标准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3D76442F">
            <w:pPr>
              <w:jc w:val="center"/>
            </w:pPr>
            <w:r>
              <w:rPr>
                <w:rFonts w:ascii="宋体" w:hAnsi="宋体" w:eastAsia="宋体"/>
                <w:sz w:val="16"/>
              </w:rPr>
              <w:t>新增</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18FF0360">
            <w:pPr>
              <w:jc w:val="center"/>
            </w:pPr>
            <w:r>
              <w:rPr>
                <w:rFonts w:ascii="宋体" w:hAnsi="宋体" w:eastAsia="宋体"/>
                <w:sz w:val="16"/>
              </w:rPr>
              <w:t>5</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833186C">
            <w:pPr>
              <w:jc w:val="center"/>
            </w:pPr>
            <w:r>
              <w:rPr>
                <w:rFonts w:ascii="宋体" w:hAnsi="宋体" w:eastAsia="宋体"/>
                <w:sz w:val="16"/>
              </w:rPr>
              <w:t>按照完成比例赋分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58CA00A">
            <w:pPr>
              <w:jc w:val="center"/>
            </w:pPr>
            <w:r>
              <w:rPr>
                <w:rFonts w:ascii="宋体" w:hAnsi="宋体" w:eastAsia="宋体"/>
                <w:sz w:val="16"/>
              </w:rPr>
              <w:t>工作资料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D187558">
            <w:pPr>
              <w:jc w:val="center"/>
            </w:pPr>
            <w:r>
              <w:rPr>
                <w:rFonts w:ascii="宋体" w:hAnsi="宋体" w:eastAsia="宋体"/>
                <w:sz w:val="16"/>
              </w:rPr>
              <w:t>=2024年11月6日</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098677A6">
            <w:pPr>
              <w:jc w:val="center"/>
            </w:pPr>
            <w:r>
              <w:rPr>
                <w:rFonts w:ascii="宋体" w:hAnsi="宋体" w:eastAsia="宋体"/>
                <w:sz w:val="16"/>
              </w:rPr>
              <w:t>5</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21C4D">
            <w:pPr>
              <w:jc w:val="center"/>
            </w:pPr>
          </w:p>
        </w:tc>
      </w:tr>
      <w:tr w14:paraId="1286B368">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6E6AFD02"/>
        </w:tc>
        <w:tc>
          <w:tcPr>
            <w:tcW w:w="6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F7E55">
            <w:pPr>
              <w:jc w:val="center"/>
            </w:pPr>
            <w:r>
              <w:rPr>
                <w:rFonts w:ascii="宋体" w:hAnsi="宋体" w:eastAsia="宋体"/>
                <w:sz w:val="16"/>
              </w:rPr>
              <w:t>成本指标</w:t>
            </w:r>
          </w:p>
        </w:tc>
        <w:tc>
          <w:tcPr>
            <w:tcW w:w="6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EEDCC">
            <w:pPr>
              <w:jc w:val="center"/>
            </w:pPr>
            <w:r>
              <w:rPr>
                <w:rFonts w:ascii="宋体" w:hAnsi="宋体" w:eastAsia="宋体"/>
                <w:sz w:val="16"/>
              </w:rPr>
              <w:t>经济成本指标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3813A5E4">
            <w:pPr>
              <w:jc w:val="center"/>
            </w:pPr>
            <w:r>
              <w:rPr>
                <w:rFonts w:ascii="宋体" w:hAnsi="宋体" w:eastAsia="宋体"/>
                <w:sz w:val="16"/>
              </w:rPr>
              <w:t>人员差旅费成本</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415E2702">
            <w:pPr>
              <w:jc w:val="center"/>
            </w:pPr>
            <w:r>
              <w:rPr>
                <w:rFonts w:ascii="宋体" w:hAnsi="宋体" w:eastAsia="宋体"/>
                <w:sz w:val="16"/>
              </w:rPr>
              <w:t>&lt;=20250元</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1AA1D8F">
            <w:pPr>
              <w:jc w:val="center"/>
            </w:pPr>
            <w:r>
              <w:rPr>
                <w:rFonts w:ascii="宋体" w:hAnsi="宋体" w:eastAsia="宋体"/>
                <w:sz w:val="16"/>
              </w:rPr>
              <w:t>历史标准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5F30FF55">
            <w:pPr>
              <w:jc w:val="center"/>
            </w:pPr>
            <w:r>
              <w:rPr>
                <w:rFonts w:ascii="宋体" w:hAnsi="宋体" w:eastAsia="宋体"/>
                <w:sz w:val="16"/>
              </w:rPr>
              <w:t>98.9%</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02AFA9BE">
            <w:pPr>
              <w:jc w:val="center"/>
            </w:pPr>
            <w:r>
              <w:rPr>
                <w:rFonts w:ascii="宋体" w:hAnsi="宋体" w:eastAsia="宋体"/>
                <w:sz w:val="16"/>
              </w:rPr>
              <w:t>7</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600C280B">
            <w:pPr>
              <w:jc w:val="center"/>
            </w:pPr>
            <w:r>
              <w:rPr>
                <w:rFonts w:ascii="宋体" w:hAnsi="宋体" w:eastAsia="宋体"/>
                <w:sz w:val="16"/>
              </w:rPr>
              <w:t>按照完成比例赋分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032A3F8">
            <w:pPr>
              <w:jc w:val="center"/>
            </w:pPr>
            <w:r>
              <w:rPr>
                <w:rFonts w:ascii="宋体" w:hAnsi="宋体" w:eastAsia="宋体"/>
                <w:sz w:val="16"/>
              </w:rPr>
              <w:t>原始凭证</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6747BFB">
            <w:pPr>
              <w:jc w:val="center"/>
            </w:pPr>
            <w:r>
              <w:rPr>
                <w:rFonts w:ascii="宋体" w:hAnsi="宋体" w:eastAsia="宋体"/>
                <w:sz w:val="16"/>
              </w:rPr>
              <w:t>=20250元</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1273963A">
            <w:pPr>
              <w:jc w:val="center"/>
            </w:pPr>
            <w:r>
              <w:rPr>
                <w:rFonts w:ascii="宋体" w:hAnsi="宋体" w:eastAsia="宋体"/>
                <w:sz w:val="16"/>
              </w:rPr>
              <w:t>7</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D86EA">
            <w:pPr>
              <w:jc w:val="center"/>
            </w:pPr>
          </w:p>
        </w:tc>
      </w:tr>
      <w:tr w14:paraId="6E53AD3D">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6C8334D8"/>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28EB4EB7"/>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0307C90B"/>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5341F017">
            <w:pPr>
              <w:jc w:val="center"/>
            </w:pPr>
            <w:r>
              <w:rPr>
                <w:rFonts w:ascii="宋体" w:hAnsi="宋体" w:eastAsia="宋体"/>
                <w:sz w:val="16"/>
              </w:rPr>
              <w:t>其他交通费用成本</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5A0D52CB">
            <w:pPr>
              <w:jc w:val="center"/>
            </w:pPr>
            <w:r>
              <w:rPr>
                <w:rFonts w:ascii="宋体" w:hAnsi="宋体" w:eastAsia="宋体"/>
                <w:sz w:val="16"/>
              </w:rPr>
              <w:t>&lt;=9000元</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E7B76FB">
            <w:pPr>
              <w:jc w:val="center"/>
            </w:pPr>
            <w:r>
              <w:rPr>
                <w:rFonts w:ascii="宋体" w:hAnsi="宋体" w:eastAsia="宋体"/>
                <w:sz w:val="16"/>
              </w:rPr>
              <w:t>历史标准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23B8E19A">
            <w:pPr>
              <w:jc w:val="center"/>
            </w:pPr>
            <w:r>
              <w:rPr>
                <w:rFonts w:ascii="宋体" w:hAnsi="宋体" w:eastAsia="宋体"/>
                <w:sz w:val="16"/>
              </w:rPr>
              <w:t>100%</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6F09700F">
            <w:pPr>
              <w:jc w:val="center"/>
            </w:pPr>
            <w:r>
              <w:rPr>
                <w:rFonts w:ascii="宋体" w:hAnsi="宋体" w:eastAsia="宋体"/>
                <w:sz w:val="16"/>
              </w:rPr>
              <w:t>7</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0DAC446">
            <w:pPr>
              <w:jc w:val="center"/>
            </w:pPr>
            <w:r>
              <w:rPr>
                <w:rFonts w:ascii="宋体" w:hAnsi="宋体" w:eastAsia="宋体"/>
                <w:sz w:val="16"/>
              </w:rPr>
              <w:t>按照完成比例赋分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51F1DBB">
            <w:pPr>
              <w:jc w:val="center"/>
            </w:pPr>
            <w:r>
              <w:rPr>
                <w:rFonts w:ascii="宋体" w:hAnsi="宋体" w:eastAsia="宋体"/>
                <w:sz w:val="16"/>
              </w:rPr>
              <w:t>原始凭证</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0EB056B">
            <w:pPr>
              <w:jc w:val="center"/>
            </w:pPr>
            <w:r>
              <w:rPr>
                <w:rFonts w:ascii="宋体" w:hAnsi="宋体" w:eastAsia="宋体"/>
                <w:sz w:val="16"/>
              </w:rPr>
              <w:t>=9000元</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01E61991">
            <w:pPr>
              <w:jc w:val="center"/>
            </w:pPr>
            <w:r>
              <w:rPr>
                <w:rFonts w:ascii="宋体" w:hAnsi="宋体" w:eastAsia="宋体"/>
                <w:sz w:val="16"/>
              </w:rPr>
              <w:t>7</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274D0">
            <w:pPr>
              <w:jc w:val="center"/>
            </w:pPr>
          </w:p>
        </w:tc>
      </w:tr>
      <w:tr w14:paraId="4CB8DC3E">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241BD9C2"/>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60C399FF"/>
        </w:tc>
        <w:tc>
          <w:tcPr>
            <w:tcW w:w="663" w:type="dxa"/>
            <w:vMerge w:val="continue"/>
            <w:tcBorders>
              <w:top w:val="single" w:color="auto" w:sz="10" w:space="0"/>
              <w:left w:val="single" w:color="auto" w:sz="10" w:space="0"/>
              <w:bottom w:val="single" w:color="auto" w:sz="10" w:space="0"/>
              <w:right w:val="single" w:color="auto" w:sz="10" w:space="0"/>
              <w:insideV w:val="single" w:sz="10" w:space="0"/>
            </w:tcBorders>
          </w:tcPr>
          <w:p w14:paraId="34C74078"/>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19E30C69">
            <w:pPr>
              <w:jc w:val="center"/>
            </w:pPr>
            <w:r>
              <w:rPr>
                <w:rFonts w:ascii="宋体" w:hAnsi="宋体" w:eastAsia="宋体"/>
                <w:sz w:val="16"/>
              </w:rPr>
              <w:t>印刷资料费成本</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1B7D829E">
            <w:pPr>
              <w:jc w:val="center"/>
            </w:pPr>
            <w:r>
              <w:rPr>
                <w:rFonts w:ascii="宋体" w:hAnsi="宋体" w:eastAsia="宋体"/>
                <w:sz w:val="16"/>
              </w:rPr>
              <w:t>&lt;=750元</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A4FA213">
            <w:pPr>
              <w:jc w:val="center"/>
            </w:pPr>
            <w:r>
              <w:rPr>
                <w:rFonts w:ascii="宋体" w:hAnsi="宋体" w:eastAsia="宋体"/>
                <w:sz w:val="16"/>
              </w:rPr>
              <w:t>历史标准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70303D92">
            <w:pPr>
              <w:jc w:val="center"/>
            </w:pPr>
            <w:r>
              <w:rPr>
                <w:rFonts w:ascii="宋体" w:hAnsi="宋体" w:eastAsia="宋体"/>
                <w:sz w:val="16"/>
              </w:rPr>
              <w:t>100%</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295DCAD6">
            <w:pPr>
              <w:jc w:val="center"/>
            </w:pPr>
            <w:r>
              <w:rPr>
                <w:rFonts w:ascii="宋体" w:hAnsi="宋体" w:eastAsia="宋体"/>
                <w:sz w:val="16"/>
              </w:rPr>
              <w:t>6</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6F0D7BC">
            <w:pPr>
              <w:jc w:val="center"/>
            </w:pPr>
            <w:r>
              <w:rPr>
                <w:rFonts w:ascii="宋体" w:hAnsi="宋体" w:eastAsia="宋体"/>
                <w:sz w:val="16"/>
              </w:rPr>
              <w:t>按照完成比例赋分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22D6415">
            <w:pPr>
              <w:jc w:val="center"/>
            </w:pPr>
            <w:r>
              <w:rPr>
                <w:rFonts w:ascii="宋体" w:hAnsi="宋体" w:eastAsia="宋体"/>
                <w:sz w:val="16"/>
              </w:rPr>
              <w:t>原始凭证</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4A24EE9">
            <w:pPr>
              <w:jc w:val="center"/>
            </w:pPr>
            <w:r>
              <w:rPr>
                <w:rFonts w:ascii="宋体" w:hAnsi="宋体" w:eastAsia="宋体"/>
                <w:sz w:val="16"/>
              </w:rPr>
              <w:t>=750元</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075FCA3B">
            <w:pPr>
              <w:jc w:val="center"/>
            </w:pPr>
            <w:r>
              <w:rPr>
                <w:rFonts w:ascii="宋体" w:hAnsi="宋体" w:eastAsia="宋体"/>
                <w:sz w:val="16"/>
              </w:rPr>
              <w:t>6</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77132">
            <w:pPr>
              <w:jc w:val="center"/>
            </w:pPr>
          </w:p>
        </w:tc>
      </w:tr>
      <w:tr w14:paraId="46F36904">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49F432E3"/>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6498210">
            <w:pPr>
              <w:jc w:val="center"/>
            </w:pPr>
            <w:r>
              <w:rPr>
                <w:rFonts w:ascii="宋体" w:hAnsi="宋体" w:eastAsia="宋体"/>
                <w:sz w:val="16"/>
              </w:rPr>
              <w:t>效益指标</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C1BB8EC">
            <w:pPr>
              <w:jc w:val="center"/>
            </w:pPr>
            <w:r>
              <w:rPr>
                <w:rFonts w:ascii="宋体" w:hAnsi="宋体" w:eastAsia="宋体"/>
                <w:sz w:val="16"/>
              </w:rPr>
              <w:t>社会效益指标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3FA8E130">
            <w:pPr>
              <w:jc w:val="center"/>
            </w:pPr>
            <w:r>
              <w:rPr>
                <w:rFonts w:ascii="宋体" w:hAnsi="宋体" w:eastAsia="宋体"/>
                <w:sz w:val="16"/>
              </w:rPr>
              <w:t>有效保障农业生产安全，提升农产品供给保障能力</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522E565E">
            <w:pPr>
              <w:jc w:val="center"/>
            </w:pPr>
            <w:r>
              <w:rPr>
                <w:rFonts w:ascii="宋体" w:hAnsi="宋体" w:eastAsia="宋体"/>
                <w:sz w:val="16"/>
              </w:rPr>
              <w:t>保障</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32F78E2E">
            <w:pPr>
              <w:jc w:val="center"/>
            </w:pPr>
            <w:r>
              <w:rPr>
                <w:rFonts w:ascii="宋体" w:hAnsi="宋体" w:eastAsia="宋体"/>
                <w:sz w:val="16"/>
              </w:rPr>
              <w:t>计划标准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0BF3B7EA">
            <w:pPr>
              <w:jc w:val="center"/>
            </w:pPr>
            <w:r>
              <w:rPr>
                <w:rFonts w:ascii="宋体" w:hAnsi="宋体" w:eastAsia="宋体"/>
                <w:sz w:val="16"/>
              </w:rPr>
              <w:t>新增</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40321B84">
            <w:pPr>
              <w:jc w:val="center"/>
            </w:pPr>
            <w:r>
              <w:rPr>
                <w:rFonts w:ascii="宋体" w:hAnsi="宋体" w:eastAsia="宋体"/>
                <w:sz w:val="16"/>
              </w:rPr>
              <w:t>20</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79D5201">
            <w:pPr>
              <w:jc w:val="center"/>
            </w:pPr>
            <w:r>
              <w:rPr>
                <w:rFonts w:ascii="宋体" w:hAnsi="宋体" w:eastAsia="宋体"/>
                <w:sz w:val="16"/>
              </w:rPr>
              <w:t>按评判等级赋分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36A9060C">
            <w:pPr>
              <w:jc w:val="center"/>
            </w:pPr>
            <w:r>
              <w:rPr>
                <w:rFonts w:ascii="宋体" w:hAnsi="宋体" w:eastAsia="宋体"/>
                <w:sz w:val="16"/>
              </w:rPr>
              <w:t>工作资料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8B8F8DE">
            <w:pPr>
              <w:jc w:val="center"/>
            </w:pPr>
            <w:r>
              <w:rPr>
                <w:rFonts w:ascii="宋体" w:hAnsi="宋体" w:eastAsia="宋体"/>
                <w:sz w:val="16"/>
              </w:rPr>
              <w:t>保障</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16E42DC8">
            <w:pPr>
              <w:jc w:val="center"/>
            </w:pPr>
            <w:r>
              <w:rPr>
                <w:rFonts w:ascii="宋体" w:hAnsi="宋体" w:eastAsia="宋体"/>
                <w:sz w:val="16"/>
              </w:rPr>
              <w:t>20</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FA5FD">
            <w:pPr>
              <w:jc w:val="center"/>
            </w:pPr>
          </w:p>
        </w:tc>
      </w:tr>
      <w:tr w14:paraId="3A46D731">
        <w:tblPrEx>
          <w:tblCellMar>
            <w:top w:w="0" w:type="dxa"/>
            <w:left w:w="108" w:type="dxa"/>
            <w:bottom w:w="0" w:type="dxa"/>
            <w:right w:w="108" w:type="dxa"/>
          </w:tblCellMar>
        </w:tblPrEx>
        <w:trPr>
          <w:trHeight w:val="90" w:hRule="atLeast"/>
        </w:trPr>
        <w:tc>
          <w:tcPr>
            <w:tcW w:w="666" w:type="dxa"/>
            <w:vMerge w:val="continue"/>
            <w:tcBorders>
              <w:top w:val="single" w:color="auto" w:sz="10" w:space="0"/>
              <w:left w:val="single" w:color="auto" w:sz="10" w:space="0"/>
              <w:bottom w:val="single" w:color="auto" w:sz="10" w:space="0"/>
              <w:right w:val="single" w:color="auto" w:sz="10" w:space="0"/>
              <w:insideV w:val="single" w:sz="10" w:space="0"/>
            </w:tcBorders>
          </w:tcPr>
          <w:p w14:paraId="3C3020AD"/>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2B2E1E9C">
            <w:pPr>
              <w:jc w:val="center"/>
            </w:pPr>
            <w:r>
              <w:rPr>
                <w:rFonts w:ascii="宋体" w:hAnsi="宋体" w:eastAsia="宋体"/>
                <w:sz w:val="16"/>
              </w:rPr>
              <w:t>满意度指标</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EB9FA4B">
            <w:pPr>
              <w:jc w:val="center"/>
            </w:pPr>
            <w:r>
              <w:rPr>
                <w:rFonts w:ascii="宋体" w:hAnsi="宋体" w:eastAsia="宋体"/>
                <w:sz w:val="16"/>
              </w:rPr>
              <w:t>满意度指标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12D3DF4F">
            <w:pPr>
              <w:jc w:val="center"/>
            </w:pPr>
            <w:r>
              <w:rPr>
                <w:rFonts w:ascii="宋体" w:hAnsi="宋体" w:eastAsia="宋体"/>
                <w:sz w:val="16"/>
              </w:rPr>
              <w:t>农民满意度</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5C312C21">
            <w:pPr>
              <w:jc w:val="center"/>
            </w:pPr>
            <w:r>
              <w:rPr>
                <w:rFonts w:ascii="宋体" w:hAnsi="宋体" w:eastAsia="宋体"/>
                <w:sz w:val="16"/>
              </w:rPr>
              <w:t>=100%</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0D8CB92">
            <w:pPr>
              <w:jc w:val="center"/>
            </w:pPr>
            <w:r>
              <w:rPr>
                <w:rFonts w:ascii="宋体" w:hAnsi="宋体" w:eastAsia="宋体"/>
                <w:sz w:val="16"/>
              </w:rPr>
              <w:t>计划标准</w:t>
            </w:r>
          </w:p>
        </w:tc>
        <w:tc>
          <w:tcPr>
            <w:tcW w:w="670" w:type="dxa"/>
            <w:tcBorders>
              <w:top w:val="single" w:color="auto" w:sz="10" w:space="0"/>
              <w:left w:val="single" w:color="auto" w:sz="10" w:space="0"/>
              <w:bottom w:val="single" w:color="auto" w:sz="10" w:space="0"/>
              <w:right w:val="single" w:color="auto" w:sz="10" w:space="0"/>
              <w:insideV w:val="single" w:sz="10" w:space="0"/>
            </w:tcBorders>
            <w:vAlign w:val="center"/>
          </w:tcPr>
          <w:p w14:paraId="46A1796D">
            <w:pPr>
              <w:jc w:val="center"/>
            </w:pPr>
            <w:r>
              <w:rPr>
                <w:rFonts w:ascii="宋体" w:hAnsi="宋体" w:eastAsia="宋体"/>
                <w:sz w:val="16"/>
              </w:rPr>
              <w:t>100%</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33AB0323">
            <w:pPr>
              <w:jc w:val="center"/>
            </w:pPr>
            <w:r>
              <w:rPr>
                <w:rFonts w:ascii="宋体" w:hAnsi="宋体" w:eastAsia="宋体"/>
                <w:sz w:val="16"/>
              </w:rPr>
              <w:t>10</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5F9170E">
            <w:pPr>
              <w:jc w:val="center"/>
            </w:pPr>
            <w:r>
              <w:rPr>
                <w:rFonts w:ascii="宋体" w:hAnsi="宋体" w:eastAsia="宋体"/>
                <w:sz w:val="16"/>
              </w:rPr>
              <w:t>满意度赋分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AAD407E">
            <w:pPr>
              <w:jc w:val="center"/>
            </w:pPr>
            <w:r>
              <w:rPr>
                <w:rFonts w:ascii="宋体" w:hAnsi="宋体" w:eastAsia="宋体"/>
                <w:sz w:val="16"/>
              </w:rPr>
              <w:t>工作资料</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EAB1FDC">
            <w:pPr>
              <w:jc w:val="center"/>
            </w:pPr>
            <w:r>
              <w:rPr>
                <w:rFonts w:ascii="宋体" w:hAnsi="宋体" w:eastAsia="宋体"/>
                <w:sz w:val="16"/>
              </w:rPr>
              <w:t>=100%</w:t>
            </w:r>
          </w:p>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6AC97E70">
            <w:pPr>
              <w:jc w:val="center"/>
            </w:pPr>
            <w:r>
              <w:rPr>
                <w:rFonts w:ascii="宋体" w:hAnsi="宋体" w:eastAsia="宋体"/>
                <w:sz w:val="16"/>
              </w:rPr>
              <w:t>10</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08D08">
            <w:pPr>
              <w:jc w:val="center"/>
            </w:pPr>
          </w:p>
        </w:tc>
      </w:tr>
      <w:tr w14:paraId="3C52DD7A">
        <w:tblPrEx>
          <w:tblCellMar>
            <w:top w:w="0" w:type="dxa"/>
            <w:left w:w="108" w:type="dxa"/>
            <w:bottom w:w="0" w:type="dxa"/>
            <w:right w:w="108" w:type="dxa"/>
          </w:tblCellMar>
        </w:tblPrEx>
        <w:trPr>
          <w:trHeight w:val="90" w:hRule="atLeast"/>
        </w:trPr>
        <w:tc>
          <w:tcPr>
            <w:tcW w:w="48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05046">
            <w:pPr>
              <w:jc w:val="center"/>
            </w:pPr>
            <w:r>
              <w:rPr>
                <w:rFonts w:ascii="宋体" w:hAnsi="宋体" w:eastAsia="宋体"/>
                <w:sz w:val="16"/>
              </w:rPr>
              <w:t>总分</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57371B9E">
            <w:pPr>
              <w:jc w:val="center"/>
            </w:pPr>
            <w:r>
              <w:rPr>
                <w:rFonts w:ascii="宋体" w:hAnsi="宋体" w:eastAsia="宋体"/>
                <w:sz w:val="16"/>
              </w:rPr>
              <w:t>100</w:t>
            </w:r>
          </w:p>
        </w:tc>
        <w:tc>
          <w:tcPr>
            <w:tcW w:w="2065" w:type="dxa"/>
            <w:gridSpan w:val="3"/>
            <w:tcBorders>
              <w:top w:val="single" w:color="auto" w:sz="10" w:space="0"/>
              <w:left w:val="single" w:color="auto" w:sz="10" w:space="0"/>
              <w:bottom w:val="single" w:color="auto" w:sz="10" w:space="0"/>
              <w:right w:val="single" w:color="auto" w:sz="10" w:space="0"/>
              <w:insideV w:val="single" w:sz="10" w:space="0"/>
            </w:tcBorders>
          </w:tcPr>
          <w:p w14:paraId="2C92E5B5"/>
        </w:tc>
        <w:tc>
          <w:tcPr>
            <w:tcW w:w="1054" w:type="dxa"/>
            <w:tcBorders>
              <w:top w:val="single" w:color="auto" w:sz="10" w:space="0"/>
              <w:left w:val="single" w:color="auto" w:sz="10" w:space="0"/>
              <w:bottom w:val="single" w:color="auto" w:sz="10" w:space="0"/>
              <w:right w:val="single" w:color="auto" w:sz="10" w:space="0"/>
              <w:insideV w:val="single" w:sz="10" w:space="0"/>
            </w:tcBorders>
            <w:vAlign w:val="center"/>
          </w:tcPr>
          <w:p w14:paraId="4CEA648F">
            <w:pPr>
              <w:jc w:val="center"/>
            </w:pPr>
            <w:r>
              <w:rPr>
                <w:rFonts w:ascii="宋体" w:hAnsi="宋体" w:eastAsia="宋体"/>
                <w:sz w:val="16"/>
              </w:rPr>
              <w:t>100分</w:t>
            </w:r>
          </w:p>
        </w:tc>
        <w:tc>
          <w:tcPr>
            <w:tcW w:w="946" w:type="dxa"/>
            <w:gridSpan w:val="2"/>
            <w:tcBorders>
              <w:top w:val="single" w:color="auto" w:sz="10" w:space="0"/>
              <w:left w:val="single" w:color="auto" w:sz="10" w:space="0"/>
              <w:bottom w:val="single" w:color="auto" w:sz="10" w:space="0"/>
              <w:right w:val="single" w:color="auto" w:sz="10" w:space="0"/>
              <w:insideV w:val="single" w:sz="10" w:space="0"/>
            </w:tcBorders>
          </w:tcPr>
          <w:p w14:paraId="78E689EC"/>
        </w:tc>
      </w:tr>
    </w:tbl>
    <w:p w14:paraId="60949C32">
      <w:r>
        <w:br w:type="page"/>
      </w:r>
    </w:p>
    <w:p w14:paraId="60162D92">
      <w:pPr>
        <w:spacing w:line="640" w:lineRule="exact"/>
        <w:ind w:firstLine="640"/>
        <w:jc w:val="both"/>
        <w:outlineLvl w:val="2"/>
      </w:pPr>
      <w:r>
        <w:rPr>
          <w:rFonts w:ascii="黑体" w:hAnsi="黑体" w:eastAsia="黑体"/>
          <w:sz w:val="32"/>
        </w:rPr>
        <w:t>十二、其他需说明的事项</w:t>
      </w:r>
    </w:p>
    <w:p w14:paraId="36B41738">
      <w:pPr>
        <w:spacing w:line="580" w:lineRule="exact"/>
        <w:ind w:firstLine="640"/>
        <w:jc w:val="both"/>
      </w:pPr>
      <w:r>
        <w:rPr>
          <w:rFonts w:ascii="仿宋_GB2312" w:hAnsi="仿宋_GB2312" w:eastAsia="仿宋_GB2312"/>
          <w:b w:val="0"/>
          <w:sz w:val="32"/>
        </w:rPr>
        <w:t>本部门无其他需说明的事项。</w:t>
      </w:r>
    </w:p>
    <w:p w14:paraId="2CDD8187">
      <w:r>
        <w:br w:type="page"/>
      </w:r>
    </w:p>
    <w:p w14:paraId="7DE32B4E">
      <w:pPr>
        <w:spacing w:line="240" w:lineRule="auto"/>
        <w:jc w:val="center"/>
        <w:outlineLvl w:val="1"/>
      </w:pPr>
      <w:r>
        <w:rPr>
          <w:rFonts w:ascii="黑体" w:hAnsi="黑体" w:eastAsia="黑体"/>
          <w:sz w:val="32"/>
        </w:rPr>
        <w:t>第三部分 专业名词解释</w:t>
      </w:r>
    </w:p>
    <w:p w14:paraId="55A2E4F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EFAE6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EDA443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E94D5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9EA1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26810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48D898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91587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666A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BEB85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4E3B69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11988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1F32E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B23F9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7D3ABC">
      <w:r>
        <w:br w:type="page"/>
      </w:r>
    </w:p>
    <w:p w14:paraId="3AAE6257">
      <w:pPr>
        <w:spacing w:line="240" w:lineRule="auto"/>
        <w:jc w:val="center"/>
        <w:outlineLvl w:val="1"/>
      </w:pPr>
      <w:r>
        <w:rPr>
          <w:rFonts w:ascii="黑体" w:hAnsi="黑体" w:eastAsia="黑体"/>
          <w:sz w:val="32"/>
        </w:rPr>
        <w:t>第四部分 部门决算报表（见附表）</w:t>
      </w:r>
    </w:p>
    <w:p w14:paraId="652451BA">
      <w:pPr>
        <w:spacing w:line="240" w:lineRule="auto"/>
        <w:ind w:firstLine="640"/>
        <w:jc w:val="both"/>
      </w:pPr>
      <w:r>
        <w:rPr>
          <w:rFonts w:ascii="仿宋_GB2312" w:hAnsi="仿宋_GB2312" w:eastAsia="仿宋_GB2312"/>
          <w:b w:val="0"/>
          <w:sz w:val="32"/>
        </w:rPr>
        <w:t>一、《收入支出决算总表》</w:t>
      </w:r>
    </w:p>
    <w:p w14:paraId="1573B3A1">
      <w:pPr>
        <w:spacing w:line="240" w:lineRule="auto"/>
        <w:ind w:firstLine="640"/>
        <w:jc w:val="both"/>
      </w:pPr>
      <w:r>
        <w:rPr>
          <w:rFonts w:ascii="仿宋_GB2312" w:hAnsi="仿宋_GB2312" w:eastAsia="仿宋_GB2312"/>
          <w:b w:val="0"/>
          <w:sz w:val="32"/>
        </w:rPr>
        <w:t>二、《收入决算表》</w:t>
      </w:r>
    </w:p>
    <w:p w14:paraId="47C4ECE9">
      <w:pPr>
        <w:spacing w:line="240" w:lineRule="auto"/>
        <w:ind w:firstLine="640"/>
        <w:jc w:val="both"/>
      </w:pPr>
      <w:r>
        <w:rPr>
          <w:rFonts w:ascii="仿宋_GB2312" w:hAnsi="仿宋_GB2312" w:eastAsia="仿宋_GB2312"/>
          <w:b w:val="0"/>
          <w:sz w:val="32"/>
        </w:rPr>
        <w:t>三、《支出决算表》</w:t>
      </w:r>
    </w:p>
    <w:p w14:paraId="6B0F788F">
      <w:pPr>
        <w:spacing w:line="240" w:lineRule="auto"/>
        <w:ind w:firstLine="640"/>
        <w:jc w:val="both"/>
      </w:pPr>
      <w:r>
        <w:rPr>
          <w:rFonts w:ascii="仿宋_GB2312" w:hAnsi="仿宋_GB2312" w:eastAsia="仿宋_GB2312"/>
          <w:b w:val="0"/>
          <w:sz w:val="32"/>
        </w:rPr>
        <w:t>四、《财政拨款收入支出决算总表》</w:t>
      </w:r>
    </w:p>
    <w:p w14:paraId="194A2E0A">
      <w:pPr>
        <w:spacing w:line="240" w:lineRule="auto"/>
        <w:ind w:firstLine="640"/>
        <w:jc w:val="both"/>
      </w:pPr>
      <w:r>
        <w:rPr>
          <w:rFonts w:ascii="仿宋_GB2312" w:hAnsi="仿宋_GB2312" w:eastAsia="仿宋_GB2312"/>
          <w:b w:val="0"/>
          <w:sz w:val="32"/>
        </w:rPr>
        <w:t>五、《一般公共预算财政拨款支出决算表》</w:t>
      </w:r>
    </w:p>
    <w:p w14:paraId="43242A2B">
      <w:pPr>
        <w:spacing w:line="240" w:lineRule="auto"/>
        <w:ind w:firstLine="640"/>
        <w:jc w:val="both"/>
      </w:pPr>
      <w:r>
        <w:rPr>
          <w:rFonts w:ascii="仿宋_GB2312" w:hAnsi="仿宋_GB2312" w:eastAsia="仿宋_GB2312"/>
          <w:b w:val="0"/>
          <w:sz w:val="32"/>
        </w:rPr>
        <w:t>六、《一般公共预算财政拨款基本支出决算表》</w:t>
      </w:r>
    </w:p>
    <w:p w14:paraId="0E78823D">
      <w:pPr>
        <w:spacing w:line="240" w:lineRule="auto"/>
        <w:ind w:firstLine="640"/>
        <w:jc w:val="both"/>
      </w:pPr>
      <w:r>
        <w:rPr>
          <w:rFonts w:ascii="仿宋_GB2312" w:hAnsi="仿宋_GB2312" w:eastAsia="仿宋_GB2312"/>
          <w:b w:val="0"/>
          <w:sz w:val="32"/>
        </w:rPr>
        <w:t>七、《政府性基金预算财政拨款收入支出决算表》</w:t>
      </w:r>
    </w:p>
    <w:p w14:paraId="7B308051">
      <w:pPr>
        <w:spacing w:line="240" w:lineRule="auto"/>
        <w:ind w:firstLine="640"/>
        <w:jc w:val="both"/>
      </w:pPr>
      <w:r>
        <w:rPr>
          <w:rFonts w:ascii="仿宋_GB2312" w:hAnsi="仿宋_GB2312" w:eastAsia="仿宋_GB2312"/>
          <w:b w:val="0"/>
          <w:sz w:val="32"/>
        </w:rPr>
        <w:t>八、《国有资本经营预算财政拨款收入支出决算表》</w:t>
      </w:r>
    </w:p>
    <w:p w14:paraId="502E6CA4">
      <w:pPr>
        <w:spacing w:line="240" w:lineRule="auto"/>
        <w:ind w:firstLine="640"/>
        <w:jc w:val="both"/>
      </w:pPr>
      <w:r>
        <w:rPr>
          <w:rFonts w:ascii="仿宋_GB2312" w:hAnsi="仿宋_GB2312" w:eastAsia="仿宋_GB2312"/>
          <w:b w:val="0"/>
          <w:sz w:val="32"/>
        </w:rPr>
        <w:t>九、《财政拨款“三公”经费支出决算表》</w:t>
      </w:r>
    </w:p>
    <w:p w14:paraId="006A7290">
      <w:pPr>
        <w:spacing w:line="240" w:lineRule="auto"/>
        <w:ind w:firstLine="640"/>
        <w:jc w:val="both"/>
      </w:pPr>
    </w:p>
    <w:p w14:paraId="2263C008">
      <w:pPr>
        <w:spacing w:line="240" w:lineRule="auto"/>
        <w:ind w:firstLine="640"/>
        <w:jc w:val="both"/>
      </w:pPr>
    </w:p>
    <w:p w14:paraId="6AFB49D5">
      <w:pPr>
        <w:spacing w:line="240" w:lineRule="auto"/>
        <w:ind w:firstLine="640"/>
        <w:jc w:val="both"/>
      </w:pPr>
    </w:p>
    <w:p w14:paraId="1310D185">
      <w:pPr>
        <w:spacing w:line="240" w:lineRule="auto"/>
        <w:ind w:firstLine="640"/>
        <w:jc w:val="both"/>
      </w:pPr>
    </w:p>
    <w:p w14:paraId="1D212DE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8F57B7-1BE3-488B-82F2-FD4472ADB7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D30C7CD-BEBB-4D27-91CD-19E9E485D7E8}"/>
  </w:font>
  <w:font w:name="仿宋_GB2312">
    <w:panose1 w:val="02010609030101010101"/>
    <w:charset w:val="86"/>
    <w:family w:val="modern"/>
    <w:pitch w:val="default"/>
    <w:sig w:usb0="00000001" w:usb1="080E0000" w:usb2="00000000" w:usb3="00000000" w:csb0="00040000" w:csb1="00000000"/>
    <w:embedRegular r:id="rId3" w:fontKey="{8B439776-F069-42A6-AE17-3C57A1355B29}"/>
  </w:font>
  <w:font w:name="楷体_GB2312">
    <w:panose1 w:val="02010609030101010101"/>
    <w:charset w:val="86"/>
    <w:family w:val="auto"/>
    <w:pitch w:val="default"/>
    <w:sig w:usb0="00000001" w:usb1="080E0000" w:usb2="00000000" w:usb3="00000000" w:csb0="00040000" w:csb1="00000000"/>
    <w:embedRegular r:id="rId4" w:fontKey="{B863CAC2-90EC-4DBF-AD90-C36375B9F364}"/>
  </w:font>
  <w:font w:name="WPSEMBED7">
    <w:panose1 w:val="02010609030101010101"/>
    <w:charset w:val="86"/>
    <w:family w:val="auto"/>
    <w:pitch w:val="default"/>
    <w:sig w:usb0="00000001" w:usb1="080E0000" w:usb2="00000000" w:usb3="00000000" w:csb0="00040000" w:csb1="00000000"/>
  </w:font>
  <w:font w:name="WPSEMBED8">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F749D4"/>
    <w:rsid w:val="1F243BA1"/>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0E5213"/>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5417</Words>
  <Characters>6256</Characters>
  <Lines>0</Lines>
  <Paragraphs>0</Paragraphs>
  <TotalTime>11</TotalTime>
  <ScaleCrop>false</ScaleCrop>
  <LinksUpToDate>false</LinksUpToDate>
  <CharactersWithSpaces>6264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2025-09-05T01:44:38Z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