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0E8EE5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喀什地区水产技术推广站</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D2C2935">
      <w:r>
        <w:br w:type="page"/>
      </w:r>
    </w:p>
    <w:p w14:paraId="537F372D">
      <w:pPr>
        <w:spacing w:line="640" w:lineRule="exact"/>
        <w:jc w:val="center"/>
        <w:outlineLvl w:val="1"/>
      </w:pPr>
      <w:r>
        <w:rPr>
          <w:rFonts w:ascii="黑体" w:hAnsi="黑体" w:eastAsia="黑体"/>
          <w:sz w:val="32"/>
        </w:rPr>
        <w:t>第一部分 部门概况</w:t>
      </w:r>
    </w:p>
    <w:p w14:paraId="7D98C7E3">
      <w:pPr>
        <w:spacing w:line="640" w:lineRule="exact"/>
        <w:ind w:firstLine="640"/>
        <w:jc w:val="both"/>
        <w:outlineLvl w:val="2"/>
      </w:pPr>
      <w:r>
        <w:rPr>
          <w:rFonts w:ascii="黑体" w:hAnsi="黑体" w:eastAsia="黑体"/>
          <w:sz w:val="32"/>
        </w:rPr>
        <w:t>一、主要职能</w:t>
      </w:r>
    </w:p>
    <w:p w14:paraId="34DDFCFA">
      <w:pPr>
        <w:spacing w:line="580" w:lineRule="exact"/>
        <w:ind w:firstLine="640"/>
        <w:jc w:val="both"/>
      </w:pPr>
      <w:r>
        <w:rPr>
          <w:rFonts w:ascii="仿宋_GB2312" w:hAnsi="仿宋_GB2312" w:eastAsia="仿宋_GB2312"/>
          <w:sz w:val="32"/>
        </w:rPr>
        <w:t>（一）研究制定职责范围内水产技术推广工作要点和年度计划，并组织实施。</w:t>
      </w:r>
    </w:p>
    <w:p w14:paraId="61279161">
      <w:pPr>
        <w:spacing w:line="580" w:lineRule="exact"/>
        <w:ind w:firstLine="640"/>
        <w:jc w:val="both"/>
      </w:pPr>
      <w:r>
        <w:rPr>
          <w:rFonts w:ascii="仿宋_GB2312" w:hAnsi="仿宋_GB2312" w:eastAsia="仿宋_GB2312"/>
          <w:sz w:val="32"/>
        </w:rPr>
        <w:t>（二）负责水产养殖新技术、新品种的引进，通过新品种中间试验和生产性试验，示范推广水产养殖新技术、新品种。</w:t>
      </w:r>
    </w:p>
    <w:p w14:paraId="1FD11837">
      <w:pPr>
        <w:spacing w:line="580" w:lineRule="exact"/>
        <w:ind w:firstLine="640"/>
        <w:jc w:val="both"/>
      </w:pPr>
      <w:r>
        <w:rPr>
          <w:rFonts w:ascii="仿宋_GB2312" w:hAnsi="仿宋_GB2312" w:eastAsia="仿宋_GB2312"/>
          <w:sz w:val="32"/>
        </w:rPr>
        <w:t>（三）为上级主管单位组织实施管辖区域渔业检验和水产品质量安全工作提供技术支撑；指导养殖生产者建立健全水产养殖投入品使用记录制度，提供养殖水产品质量</w:t>
      </w:r>
      <w:r>
        <w:rPr>
          <w:rFonts w:hint="eastAsia" w:ascii="仿宋_GB2312" w:hAnsi="仿宋_GB2312" w:eastAsia="仿宋_GB2312"/>
          <w:sz w:val="32"/>
          <w:lang w:val="en-US" w:eastAsia="zh-CN"/>
        </w:rPr>
        <w:t>监控</w:t>
      </w:r>
      <w:r>
        <w:rPr>
          <w:rFonts w:ascii="仿宋_GB2312" w:hAnsi="仿宋_GB2312" w:eastAsia="仿宋_GB2312"/>
          <w:sz w:val="32"/>
        </w:rPr>
        <w:t>技术服务。</w:t>
      </w:r>
    </w:p>
    <w:p w14:paraId="4F7B597A">
      <w:pPr>
        <w:spacing w:line="580" w:lineRule="exact"/>
        <w:ind w:firstLine="640"/>
        <w:jc w:val="both"/>
      </w:pPr>
      <w:r>
        <w:rPr>
          <w:rFonts w:ascii="仿宋_GB2312" w:hAnsi="仿宋_GB2312" w:eastAsia="仿宋_GB2312"/>
          <w:sz w:val="32"/>
        </w:rPr>
        <w:t>（四）承担水生野生动物救护与保护的有关技术支撑工作。组织评估水生生物资源，提供水生动物（含苗种）放流技术指导。</w:t>
      </w:r>
    </w:p>
    <w:p w14:paraId="4E9C40C1">
      <w:pPr>
        <w:spacing w:line="580" w:lineRule="exact"/>
        <w:ind w:firstLine="640"/>
        <w:jc w:val="both"/>
      </w:pPr>
      <w:r>
        <w:rPr>
          <w:rFonts w:ascii="仿宋_GB2312" w:hAnsi="仿宋_GB2312" w:eastAsia="仿宋_GB2312"/>
          <w:sz w:val="32"/>
        </w:rPr>
        <w:t>（五）开展水生动物疫病防控体系建设，加强水生动物疫病监测预警和风险评估，为突发</w:t>
      </w:r>
      <w:r>
        <w:rPr>
          <w:rFonts w:hint="eastAsia" w:ascii="仿宋_GB2312" w:hAnsi="仿宋_GB2312" w:eastAsia="仿宋_GB2312"/>
          <w:sz w:val="32"/>
          <w:lang w:val="en-US" w:eastAsia="zh-CN"/>
        </w:rPr>
        <w:t>疫情</w:t>
      </w:r>
      <w:r>
        <w:rPr>
          <w:rFonts w:ascii="仿宋_GB2312" w:hAnsi="仿宋_GB2312" w:eastAsia="仿宋_GB2312"/>
          <w:sz w:val="32"/>
        </w:rPr>
        <w:t>以及重大疫病防控提供技术支持。开展水产苗种产地疫病检验工作，指导病死养殖</w:t>
      </w:r>
      <w:bookmarkStart w:id="0" w:name="_GoBack"/>
      <w:bookmarkEnd w:id="0"/>
      <w:r>
        <w:rPr>
          <w:rFonts w:ascii="仿宋_GB2312" w:hAnsi="仿宋_GB2312" w:eastAsia="仿宋_GB2312"/>
          <w:sz w:val="32"/>
        </w:rPr>
        <w:t>水生动物无害化技术处理。</w:t>
      </w:r>
    </w:p>
    <w:p w14:paraId="7E891A05">
      <w:pPr>
        <w:spacing w:line="580" w:lineRule="exact"/>
        <w:ind w:firstLine="640"/>
        <w:jc w:val="both"/>
      </w:pPr>
      <w:r>
        <w:rPr>
          <w:rFonts w:ascii="仿宋_GB2312" w:hAnsi="仿宋_GB2312" w:eastAsia="仿宋_GB2312"/>
          <w:sz w:val="32"/>
        </w:rPr>
        <w:t>（六）履行检测实验室质量体系及各项质控措施，按国家渔业标准、规范、规程及检测实施细则、检测任务通知书等开展</w:t>
      </w:r>
      <w:r>
        <w:rPr>
          <w:rFonts w:hint="eastAsia" w:ascii="仿宋_GB2312" w:hAnsi="仿宋_GB2312" w:eastAsia="仿宋_GB2312"/>
          <w:sz w:val="32"/>
          <w:lang w:eastAsia="zh-CN"/>
        </w:rPr>
        <w:t>检测试验</w:t>
      </w:r>
      <w:r>
        <w:rPr>
          <w:rFonts w:ascii="仿宋_GB2312" w:hAnsi="仿宋_GB2312" w:eastAsia="仿宋_GB2312"/>
          <w:sz w:val="32"/>
        </w:rPr>
        <w:t>工作。</w:t>
      </w:r>
    </w:p>
    <w:p w14:paraId="5A47709F">
      <w:pPr>
        <w:spacing w:line="580" w:lineRule="exact"/>
        <w:ind w:firstLine="640"/>
        <w:jc w:val="both"/>
      </w:pPr>
      <w:r>
        <w:rPr>
          <w:rFonts w:ascii="仿宋_GB2312" w:hAnsi="仿宋_GB2312" w:eastAsia="仿宋_GB2312"/>
          <w:sz w:val="32"/>
        </w:rPr>
        <w:t>（七）运用大数据等综合信息服务平台，开展技术集成示范与集中展示、渔业生产信息服务，普及渔业科学知识，示范先进技术模式，推进渔业行业技能鉴定。</w:t>
      </w:r>
    </w:p>
    <w:p w14:paraId="0479A3FF">
      <w:pPr>
        <w:spacing w:line="580" w:lineRule="exact"/>
        <w:ind w:firstLine="640"/>
        <w:jc w:val="both"/>
      </w:pPr>
      <w:r>
        <w:rPr>
          <w:rFonts w:ascii="仿宋_GB2312" w:hAnsi="仿宋_GB2312" w:eastAsia="仿宋_GB2312"/>
          <w:sz w:val="32"/>
        </w:rPr>
        <w:t>（八）完成地区农业农村局交办的其他任务。</w:t>
      </w:r>
    </w:p>
    <w:p w14:paraId="75D6FBD7">
      <w:pPr>
        <w:spacing w:line="640" w:lineRule="exact"/>
        <w:ind w:firstLine="640"/>
        <w:jc w:val="both"/>
        <w:outlineLvl w:val="2"/>
      </w:pPr>
      <w:r>
        <w:rPr>
          <w:rFonts w:ascii="黑体" w:hAnsi="黑体" w:eastAsia="黑体"/>
          <w:sz w:val="32"/>
        </w:rPr>
        <w:t>二、机构设置及人员情况</w:t>
      </w:r>
    </w:p>
    <w:p w14:paraId="334F1C2E">
      <w:pPr>
        <w:spacing w:line="580" w:lineRule="exact"/>
        <w:ind w:firstLine="640"/>
        <w:jc w:val="both"/>
      </w:pPr>
      <w:r>
        <w:rPr>
          <w:rFonts w:ascii="仿宋_GB2312" w:hAnsi="仿宋_GB2312" w:eastAsia="仿宋_GB2312"/>
          <w:sz w:val="32"/>
        </w:rPr>
        <w:t>喀什地区水产技术推广站2024年度，实有人数45人，其中：在职人员24人，减少2人；离休人员0人，增加0人；退休人员21人,增加2人。</w:t>
      </w:r>
    </w:p>
    <w:p w14:paraId="7B0BC5CA">
      <w:pPr>
        <w:spacing w:line="580" w:lineRule="exact"/>
        <w:ind w:firstLine="640"/>
        <w:jc w:val="both"/>
      </w:pPr>
      <w:r>
        <w:rPr>
          <w:rFonts w:ascii="仿宋_GB2312" w:hAnsi="仿宋_GB2312" w:eastAsia="仿宋_GB2312"/>
          <w:sz w:val="32"/>
        </w:rPr>
        <w:t>喀什地区水产技术推广站无下属预算单位，下设7个科室，分别是：办公室、水产技术推广科、渔业水域环境监测科、水产品质量安全科、渔业病害防治科、养殖与育种科、技术培训和信息服务科。</w:t>
      </w:r>
    </w:p>
    <w:p w14:paraId="728A4921">
      <w:r>
        <w:br w:type="page"/>
      </w:r>
    </w:p>
    <w:p w14:paraId="1A2D379A">
      <w:pPr>
        <w:spacing w:line="240" w:lineRule="auto"/>
        <w:jc w:val="center"/>
        <w:outlineLvl w:val="1"/>
      </w:pPr>
      <w:r>
        <w:rPr>
          <w:rFonts w:ascii="黑体" w:hAnsi="黑体" w:eastAsia="黑体"/>
          <w:sz w:val="32"/>
        </w:rPr>
        <w:t>第二部分 部门决算情况说明</w:t>
      </w:r>
    </w:p>
    <w:p w14:paraId="5AD5E521">
      <w:pPr>
        <w:spacing w:line="640" w:lineRule="exact"/>
        <w:ind w:firstLine="640"/>
        <w:jc w:val="both"/>
        <w:outlineLvl w:val="2"/>
      </w:pPr>
      <w:r>
        <w:rPr>
          <w:rFonts w:ascii="黑体" w:hAnsi="黑体" w:eastAsia="黑体"/>
          <w:sz w:val="32"/>
        </w:rPr>
        <w:t>一、收入支出决算总体情况说明</w:t>
      </w:r>
    </w:p>
    <w:p w14:paraId="4BEADF18">
      <w:pPr>
        <w:spacing w:line="580" w:lineRule="exact"/>
        <w:ind w:firstLine="640"/>
        <w:jc w:val="both"/>
      </w:pPr>
      <w:r>
        <w:rPr>
          <w:rFonts w:ascii="仿宋_GB2312" w:hAnsi="仿宋_GB2312" w:eastAsia="仿宋_GB2312"/>
          <w:b/>
          <w:sz w:val="32"/>
        </w:rPr>
        <w:t>2024年度收入总计528.15万元，</w:t>
      </w:r>
      <w:r>
        <w:rPr>
          <w:rFonts w:ascii="仿宋_GB2312" w:hAnsi="仿宋_GB2312" w:eastAsia="仿宋_GB2312"/>
          <w:b w:val="0"/>
          <w:sz w:val="32"/>
        </w:rPr>
        <w:t>其中：本年收入合计528.15万元，使用非财政拨款结余（含专用结余）0.00万元，年初结转和结余0.00万元。</w:t>
      </w:r>
    </w:p>
    <w:p w14:paraId="3CF08F3D">
      <w:pPr>
        <w:spacing w:line="580" w:lineRule="exact"/>
        <w:ind w:firstLine="640"/>
        <w:jc w:val="both"/>
      </w:pPr>
      <w:r>
        <w:rPr>
          <w:rFonts w:ascii="仿宋_GB2312" w:hAnsi="仿宋_GB2312" w:eastAsia="仿宋_GB2312"/>
          <w:b/>
          <w:sz w:val="32"/>
        </w:rPr>
        <w:t>2024年度支出总计528.15万元，</w:t>
      </w:r>
      <w:r>
        <w:rPr>
          <w:rFonts w:ascii="仿宋_GB2312" w:hAnsi="仿宋_GB2312" w:eastAsia="仿宋_GB2312"/>
          <w:b w:val="0"/>
          <w:sz w:val="32"/>
        </w:rPr>
        <w:t>其中：本年支出合计528.15万元，结余分配0.00万元，年末结转和结余0.00万元。</w:t>
      </w:r>
    </w:p>
    <w:p w14:paraId="18E19E05">
      <w:pPr>
        <w:spacing w:line="580" w:lineRule="exact"/>
        <w:ind w:firstLine="640"/>
        <w:jc w:val="both"/>
      </w:pPr>
      <w:r>
        <w:rPr>
          <w:rFonts w:ascii="仿宋_GB2312" w:hAnsi="仿宋_GB2312" w:eastAsia="仿宋_GB2312"/>
          <w:b w:val="0"/>
          <w:sz w:val="32"/>
        </w:rPr>
        <w:t>收入支出总体与上年相比，减少56.73万元，下降9.70%，主要原因是：本年减少池塘工程化内循环水养殖系统的引进与技术示范项目经费，导致相关经费减少。</w:t>
      </w:r>
    </w:p>
    <w:p w14:paraId="4DD88265">
      <w:pPr>
        <w:spacing w:line="640" w:lineRule="exact"/>
        <w:ind w:firstLine="640"/>
        <w:jc w:val="both"/>
        <w:outlineLvl w:val="2"/>
      </w:pPr>
      <w:r>
        <w:rPr>
          <w:rFonts w:ascii="黑体" w:hAnsi="黑体" w:eastAsia="黑体"/>
          <w:sz w:val="32"/>
        </w:rPr>
        <w:t>二、收入决算情况说明</w:t>
      </w:r>
    </w:p>
    <w:p w14:paraId="43FE8DB7">
      <w:pPr>
        <w:spacing w:line="580" w:lineRule="exact"/>
        <w:ind w:firstLine="640"/>
        <w:jc w:val="both"/>
      </w:pPr>
      <w:r>
        <w:rPr>
          <w:rFonts w:ascii="仿宋_GB2312" w:hAnsi="仿宋_GB2312" w:eastAsia="仿宋_GB2312"/>
          <w:b/>
          <w:sz w:val="32"/>
        </w:rPr>
        <w:t>本年收入528.15万元，</w:t>
      </w:r>
      <w:r>
        <w:rPr>
          <w:rFonts w:ascii="仿宋_GB2312" w:hAnsi="仿宋_GB2312" w:eastAsia="仿宋_GB2312"/>
          <w:b w:val="0"/>
          <w:sz w:val="32"/>
        </w:rPr>
        <w:t>其中：财政拨款收入527.10万元，占99.80%；上级补助收入0.00万元，占0.00%；事业收入0.00万元，占0.00%；经营收入0.00万元，占0.00%；附属单位上缴收入0.00万元，占0.00%；其他收入1.04万元，占0.20%。</w:t>
      </w:r>
    </w:p>
    <w:p w14:paraId="517D7AA4">
      <w:pPr>
        <w:spacing w:line="640" w:lineRule="exact"/>
        <w:ind w:firstLine="640"/>
        <w:jc w:val="both"/>
        <w:outlineLvl w:val="2"/>
      </w:pPr>
      <w:r>
        <w:rPr>
          <w:rFonts w:ascii="黑体" w:hAnsi="黑体" w:eastAsia="黑体"/>
          <w:sz w:val="32"/>
        </w:rPr>
        <w:t>三、支出决算情况说明</w:t>
      </w:r>
    </w:p>
    <w:p w14:paraId="1BAB5BCD">
      <w:pPr>
        <w:spacing w:line="580" w:lineRule="exact"/>
        <w:ind w:firstLine="640"/>
        <w:jc w:val="both"/>
      </w:pPr>
      <w:r>
        <w:rPr>
          <w:rFonts w:ascii="仿宋_GB2312" w:hAnsi="仿宋_GB2312" w:eastAsia="仿宋_GB2312"/>
          <w:b/>
          <w:sz w:val="32"/>
        </w:rPr>
        <w:t>本年支出528.15万元，</w:t>
      </w:r>
      <w:r>
        <w:rPr>
          <w:rFonts w:ascii="仿宋_GB2312" w:hAnsi="仿宋_GB2312" w:eastAsia="仿宋_GB2312"/>
          <w:b w:val="0"/>
          <w:sz w:val="32"/>
        </w:rPr>
        <w:t>其中：基本支出515.10万元，占97.53%；项目支出13.04万元，占2.47%；上缴上级支出0.00万元，占0.00%；经营支出0.00万元，占0.00%；对附属单位补助支出0.00万元，占0.00%。</w:t>
      </w:r>
    </w:p>
    <w:p w14:paraId="6BBDBE0B">
      <w:pPr>
        <w:spacing w:line="640" w:lineRule="exact"/>
        <w:ind w:firstLine="640"/>
        <w:jc w:val="both"/>
        <w:outlineLvl w:val="2"/>
      </w:pPr>
      <w:r>
        <w:rPr>
          <w:rFonts w:ascii="黑体" w:hAnsi="黑体" w:eastAsia="黑体"/>
          <w:sz w:val="32"/>
        </w:rPr>
        <w:t>四、财政拨款收入支出决算总体情况说明</w:t>
      </w:r>
    </w:p>
    <w:p w14:paraId="46051425">
      <w:pPr>
        <w:spacing w:line="580" w:lineRule="exact"/>
        <w:ind w:firstLine="640"/>
        <w:jc w:val="both"/>
      </w:pPr>
      <w:r>
        <w:rPr>
          <w:rFonts w:ascii="仿宋_GB2312" w:hAnsi="仿宋_GB2312" w:eastAsia="仿宋_GB2312"/>
          <w:b/>
          <w:sz w:val="32"/>
        </w:rPr>
        <w:t>2024年度财政拨款收入总计527.10万元，</w:t>
      </w:r>
      <w:r>
        <w:rPr>
          <w:rFonts w:ascii="仿宋_GB2312" w:hAnsi="仿宋_GB2312" w:eastAsia="仿宋_GB2312"/>
          <w:b w:val="0"/>
          <w:sz w:val="32"/>
        </w:rPr>
        <w:t>其中：年初财政拨款结转和结余0.00万元，本年财政拨款收入527.10万元。</w:t>
      </w:r>
      <w:r>
        <w:rPr>
          <w:rFonts w:ascii="仿宋_GB2312" w:hAnsi="仿宋_GB2312" w:eastAsia="仿宋_GB2312"/>
          <w:b/>
          <w:sz w:val="32"/>
        </w:rPr>
        <w:t>财政拨款支出总计527.10万元，</w:t>
      </w:r>
      <w:r>
        <w:rPr>
          <w:rFonts w:ascii="仿宋_GB2312" w:hAnsi="仿宋_GB2312" w:eastAsia="仿宋_GB2312"/>
          <w:b w:val="0"/>
          <w:sz w:val="32"/>
        </w:rPr>
        <w:t>其中：年末财政拨款结转和结余0.00万元，本年财政拨款支出527.10万元。</w:t>
      </w:r>
    </w:p>
    <w:p w14:paraId="1DB8449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减少57.78万元，下降9.88%，主要原因是：本年减少池塘工程化内循环水养殖系统的引进与技术示范项目经费，导致相关经费减少。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年初预算数510.44万元，决算数527.10万元，预决算差异率3.26%，主要原因是：年中追加人员工资、社保、公积金基数调增部分资金，导致预决算存在差异。</w:t>
      </w:r>
    </w:p>
    <w:p w14:paraId="55F6227B">
      <w:pPr>
        <w:spacing w:line="640" w:lineRule="exact"/>
        <w:ind w:firstLine="640"/>
        <w:jc w:val="both"/>
        <w:outlineLvl w:val="2"/>
      </w:pPr>
      <w:r>
        <w:rPr>
          <w:rFonts w:ascii="黑体" w:hAnsi="黑体" w:eastAsia="黑体"/>
          <w:sz w:val="32"/>
        </w:rPr>
        <w:t>五、一般公共预算财政拨款支出决算情况说明</w:t>
      </w:r>
    </w:p>
    <w:p w14:paraId="52AB8A5C">
      <w:pPr>
        <w:spacing w:line="640" w:lineRule="exact"/>
        <w:ind w:firstLine="640"/>
        <w:jc w:val="both"/>
        <w:outlineLvl w:val="3"/>
      </w:pPr>
      <w:r>
        <w:rPr>
          <w:rFonts w:ascii="楷体_GB2312" w:hAnsi="楷体_GB2312" w:eastAsia="楷体_GB2312"/>
          <w:b/>
          <w:sz w:val="32"/>
        </w:rPr>
        <w:t>（一）一般公共预算财政拨款支出决算总体情况</w:t>
      </w:r>
    </w:p>
    <w:p w14:paraId="39B9617D">
      <w:pPr>
        <w:spacing w:line="580" w:lineRule="exact"/>
        <w:ind w:firstLine="640"/>
        <w:jc w:val="both"/>
      </w:pPr>
      <w:r>
        <w:rPr>
          <w:rFonts w:ascii="仿宋_GB2312" w:hAnsi="仿宋_GB2312" w:eastAsia="仿宋_GB2312"/>
          <w:b/>
          <w:sz w:val="32"/>
        </w:rPr>
        <w:t>2024年度一般公共预算财政拨款支出527.10万元，</w:t>
      </w:r>
      <w:r>
        <w:rPr>
          <w:rFonts w:ascii="仿宋_GB2312" w:hAnsi="仿宋_GB2312" w:eastAsia="仿宋_GB2312"/>
          <w:b w:val="0"/>
          <w:sz w:val="32"/>
        </w:rPr>
        <w:t>占本年支出合计的99.80%。</w:t>
      </w:r>
      <w:r>
        <w:rPr>
          <w:rFonts w:ascii="仿宋_GB2312" w:hAnsi="仿宋_GB2312" w:eastAsia="仿宋_GB2312"/>
          <w:b/>
          <w:sz w:val="32"/>
        </w:rPr>
        <w:t>与上年相比，</w:t>
      </w:r>
      <w:r>
        <w:rPr>
          <w:rFonts w:ascii="仿宋_GB2312" w:hAnsi="仿宋_GB2312" w:eastAsia="仿宋_GB2312"/>
          <w:b w:val="0"/>
          <w:sz w:val="32"/>
        </w:rPr>
        <w:t>减少57.78万元，下降9.88%，主要原因是：本年减少池塘工程化内循环水养殖系统的引进与技术示范项目经费，导致相关经费减少。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年初预算数510.44万元，决算数527.10万元，预决算差异率3.26%，主要原因是：年中追加人员工资、社保、公积金基数调增部分资金，导致预决算存在差异。</w:t>
      </w:r>
    </w:p>
    <w:p w14:paraId="4D7D63E8">
      <w:pPr>
        <w:spacing w:line="640" w:lineRule="exact"/>
        <w:ind w:firstLine="640"/>
        <w:jc w:val="both"/>
        <w:outlineLvl w:val="3"/>
      </w:pPr>
      <w:r>
        <w:rPr>
          <w:rFonts w:ascii="楷体_GB2312" w:hAnsi="楷体_GB2312" w:eastAsia="楷体_GB2312"/>
          <w:b/>
          <w:sz w:val="32"/>
        </w:rPr>
        <w:t>（二）一般公共预算财政拨款支出决算结构情况</w:t>
      </w:r>
    </w:p>
    <w:p w14:paraId="29BCF3B5">
      <w:pPr>
        <w:spacing w:line="580" w:lineRule="exact"/>
        <w:ind w:firstLine="640"/>
        <w:jc w:val="both"/>
      </w:pPr>
      <w:r>
        <w:rPr>
          <w:rFonts w:ascii="仿宋_GB2312" w:hAnsi="仿宋_GB2312" w:eastAsia="仿宋_GB2312"/>
          <w:b w:val="0"/>
          <w:sz w:val="32"/>
        </w:rPr>
        <w:t>1.一般公共服务支出(类)2.20万元,占0.42%。</w:t>
      </w:r>
    </w:p>
    <w:p w14:paraId="5ED745E6">
      <w:pPr>
        <w:spacing w:line="580" w:lineRule="exact"/>
        <w:ind w:firstLine="640"/>
        <w:jc w:val="both"/>
      </w:pPr>
      <w:r>
        <w:rPr>
          <w:rFonts w:ascii="仿宋_GB2312" w:hAnsi="仿宋_GB2312" w:eastAsia="仿宋_GB2312"/>
          <w:b w:val="0"/>
          <w:sz w:val="32"/>
        </w:rPr>
        <w:t>2.社会保障和就业支出(类)84.81万元,占16.09%。</w:t>
      </w:r>
    </w:p>
    <w:p w14:paraId="1D395F25">
      <w:pPr>
        <w:spacing w:line="580" w:lineRule="exact"/>
        <w:ind w:firstLine="640"/>
        <w:jc w:val="both"/>
      </w:pPr>
      <w:r>
        <w:rPr>
          <w:rFonts w:ascii="仿宋_GB2312" w:hAnsi="仿宋_GB2312" w:eastAsia="仿宋_GB2312"/>
          <w:b w:val="0"/>
          <w:sz w:val="32"/>
        </w:rPr>
        <w:t>3.卫生健康支出(类)22.79万元,占4.32%。</w:t>
      </w:r>
    </w:p>
    <w:p w14:paraId="20610AD1">
      <w:pPr>
        <w:spacing w:line="580" w:lineRule="exact"/>
        <w:ind w:firstLine="640"/>
        <w:jc w:val="both"/>
      </w:pPr>
      <w:r>
        <w:rPr>
          <w:rFonts w:ascii="仿宋_GB2312" w:hAnsi="仿宋_GB2312" w:eastAsia="仿宋_GB2312"/>
          <w:b w:val="0"/>
          <w:sz w:val="32"/>
        </w:rPr>
        <w:t>4.农林水支出(类)380.80万元,占72.24%。</w:t>
      </w:r>
    </w:p>
    <w:p w14:paraId="7487644A">
      <w:pPr>
        <w:spacing w:line="580" w:lineRule="exact"/>
        <w:ind w:firstLine="640"/>
        <w:jc w:val="both"/>
      </w:pPr>
      <w:r>
        <w:rPr>
          <w:rFonts w:ascii="仿宋_GB2312" w:hAnsi="仿宋_GB2312" w:eastAsia="仿宋_GB2312"/>
          <w:b w:val="0"/>
          <w:sz w:val="32"/>
        </w:rPr>
        <w:t>5.住房保障支出(类)36.50万元,占6.92%。</w:t>
      </w:r>
    </w:p>
    <w:p w14:paraId="7428F291">
      <w:pPr>
        <w:spacing w:line="640" w:lineRule="exact"/>
        <w:ind w:firstLine="640"/>
        <w:jc w:val="both"/>
        <w:outlineLvl w:val="3"/>
      </w:pPr>
      <w:r>
        <w:rPr>
          <w:rFonts w:ascii="楷体_GB2312" w:hAnsi="楷体_GB2312" w:eastAsia="楷体_GB2312"/>
          <w:b/>
          <w:sz w:val="32"/>
        </w:rPr>
        <w:t>（三）一般公共预算财政拨款支出决算具体情况</w:t>
      </w:r>
    </w:p>
    <w:p w14:paraId="411080DA">
      <w:pPr>
        <w:spacing w:line="580" w:lineRule="exact"/>
        <w:ind w:firstLine="640"/>
        <w:jc w:val="both"/>
      </w:pPr>
      <w:r>
        <w:rPr>
          <w:rFonts w:ascii="仿宋_GB2312" w:hAnsi="仿宋_GB2312" w:eastAsia="仿宋_GB2312"/>
          <w:b w:val="0"/>
          <w:sz w:val="32"/>
        </w:rPr>
        <w:t>1.一般公共服务支出(类)统战事务(款)宗教事务(项):支出决算数为2.20万元，比上年决算增加1.71万元，增长348.98%,主要原因是：本年增加工作人员生活补助，导致经费较上年增加。</w:t>
      </w:r>
    </w:p>
    <w:p w14:paraId="1178F7A1">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2.社会保障和就业支出(类)行政事业单位养老支出(款)行政单位离退休(项):支出决算数为24.14万元，比上年决算增加7.19万元，增长42.42%,主要原因是：本年退休人员增加，退休费支出增加。</w:t>
      </w:r>
    </w:p>
    <w:p w14:paraId="51B3B8EC">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42.79万元，比上年决算增加2.48万元，增长6.15%,主要原因是：本年在职人员工资基数调增，养老缴费基数上涨，相应支出增加。</w:t>
      </w:r>
    </w:p>
    <w:p w14:paraId="2B0EB4E6">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4.社会保障和就业支出(类)行政事业单位养老支出(款)机关事业单位职业年金缴费支出(项):支出决算数为17.89万元，比上年决算增加17.89万元，增长100.00%,主要原因是：本年新增退休人员，职业年金缴费支出增加。</w:t>
      </w:r>
    </w:p>
    <w:p w14:paraId="4B5DA52A">
      <w:pPr>
        <w:spacing w:line="580" w:lineRule="exact"/>
        <w:ind w:firstLine="640"/>
        <w:jc w:val="both"/>
      </w:pPr>
      <w:r>
        <w:rPr>
          <w:rFonts w:ascii="仿宋_GB2312" w:hAnsi="仿宋_GB2312" w:eastAsia="仿宋_GB2312"/>
          <w:b w:val="0"/>
          <w:sz w:val="32"/>
        </w:rPr>
        <w:t>5.卫生健康支出(类)行政事业单位医疗(款)行政单位医疗(项):支出决算数为18.13万元，比上年决算增加1.00万元，增长5.84%,主要原因是：本年在职人员工资基数调增，医疗缴费基数上涨，相应支出增加。</w:t>
      </w:r>
    </w:p>
    <w:p w14:paraId="0C3BD5B0">
      <w:pPr>
        <w:spacing w:line="580" w:lineRule="exact"/>
        <w:ind w:firstLine="640"/>
        <w:jc w:val="both"/>
      </w:pPr>
      <w:r>
        <w:rPr>
          <w:rFonts w:ascii="仿宋_GB2312" w:hAnsi="仿宋_GB2312" w:eastAsia="仿宋_GB2312"/>
          <w:b w:val="0"/>
          <w:sz w:val="32"/>
        </w:rPr>
        <w:t>6.卫生健康支出(类)行政事业单位医疗(款)公务员医疗补助(项):支出决算数为4.65万元，比上年决算增加0.26万元，增长5.92%,主要原因是：本年在职人员工资基数调增，医疗缴费基数上涨，相应支出增加。</w:t>
      </w:r>
    </w:p>
    <w:p w14:paraId="7D9E24DF">
      <w:pPr>
        <w:spacing w:line="580" w:lineRule="exact"/>
        <w:ind w:firstLine="640"/>
        <w:jc w:val="both"/>
      </w:pPr>
      <w:r>
        <w:rPr>
          <w:rFonts w:ascii="仿宋_GB2312" w:hAnsi="仿宋_GB2312" w:eastAsia="仿宋_GB2312"/>
          <w:b w:val="0"/>
          <w:sz w:val="32"/>
        </w:rPr>
        <w:t>7.农林水支出(类)农业农村(款)行政运行(项):支出决算数为368.80万元，比上年决算增加11.11万元，增长3.11%,主要原因是：本年在职人员工资调增，导致相关人员经费较上年有所增加。</w:t>
      </w:r>
    </w:p>
    <w:p w14:paraId="167A43C3">
      <w:pPr>
        <w:spacing w:line="580" w:lineRule="exact"/>
        <w:ind w:firstLine="640"/>
        <w:jc w:val="both"/>
      </w:pPr>
      <w:r>
        <w:rPr>
          <w:rFonts w:ascii="仿宋_GB2312" w:hAnsi="仿宋_GB2312" w:eastAsia="仿宋_GB2312"/>
          <w:b w:val="0"/>
          <w:sz w:val="32"/>
        </w:rPr>
        <w:t>8.农林水支出(类)农业农村(款)一般行政管理事务(项):支出决算数为12.00万元，比上年决算减少0.50万元，下降4.00%,主要原因是：本年减少深度贫困村第一书记为民办实事工作经费，导致经费较上年减少。</w:t>
      </w:r>
    </w:p>
    <w:p w14:paraId="7441D456">
      <w:pPr>
        <w:spacing w:line="580" w:lineRule="exact"/>
        <w:ind w:firstLine="640"/>
        <w:jc w:val="both"/>
      </w:pPr>
      <w:r>
        <w:rPr>
          <w:rFonts w:ascii="仿宋_GB2312" w:hAnsi="仿宋_GB2312" w:eastAsia="仿宋_GB2312"/>
          <w:b w:val="0"/>
          <w:sz w:val="32"/>
        </w:rPr>
        <w:t>9.农林水支出(类)农业农村(款)渔业发展(项):支出决算数为0.00万元，比上年决算减少102.00万元，下降100.00%,主要原因是：本年减少池塘工程化内循环水养殖系统的引进与技术示范项目经费，导致相关经费减少。</w:t>
      </w:r>
    </w:p>
    <w:p w14:paraId="36F57051">
      <w:pPr>
        <w:spacing w:line="580" w:lineRule="exact"/>
        <w:ind w:firstLine="640"/>
        <w:jc w:val="both"/>
      </w:pPr>
      <w:r>
        <w:rPr>
          <w:rFonts w:ascii="仿宋_GB2312" w:hAnsi="仿宋_GB2312" w:eastAsia="仿宋_GB2312"/>
          <w:b w:val="0"/>
          <w:sz w:val="32"/>
        </w:rPr>
        <w:t>10.住房保障支出(类)住房改革支出(款)住房公积金(项):支出决算数为36.50万元，比上年决算增加3.08万元，增长9.22%,主要原因是：本年在职人员工资基数调增，公积金缴费基数上涨，相应支出增加。</w:t>
      </w:r>
    </w:p>
    <w:p w14:paraId="65CECD00">
      <w:pPr>
        <w:spacing w:line="640" w:lineRule="exact"/>
        <w:ind w:firstLine="640"/>
        <w:jc w:val="both"/>
        <w:outlineLvl w:val="2"/>
      </w:pPr>
      <w:r>
        <w:rPr>
          <w:rFonts w:ascii="黑体" w:hAnsi="黑体" w:eastAsia="黑体"/>
          <w:sz w:val="32"/>
        </w:rPr>
        <w:t>六、一般公共预算财政拨款基本支出决算情况说明</w:t>
      </w:r>
    </w:p>
    <w:p w14:paraId="0C97DC0A">
      <w:pPr>
        <w:spacing w:line="580" w:lineRule="exact"/>
        <w:ind w:firstLine="640"/>
        <w:jc w:val="both"/>
      </w:pPr>
      <w:r>
        <w:rPr>
          <w:rFonts w:ascii="仿宋_GB2312" w:hAnsi="仿宋_GB2312" w:eastAsia="仿宋_GB2312"/>
          <w:b w:val="0"/>
          <w:sz w:val="32"/>
        </w:rPr>
        <w:t>2024年度一般公共预算财政拨款基本支出515.10万元，其中：</w:t>
      </w:r>
      <w:r>
        <w:rPr>
          <w:rFonts w:ascii="仿宋_GB2312" w:hAnsi="仿宋_GB2312" w:eastAsia="仿宋_GB2312"/>
          <w:b/>
          <w:sz w:val="32"/>
        </w:rPr>
        <w:t>人员经费488.70万元，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生活补助、奖励金、其他对个人和家庭的补助。</w:t>
      </w:r>
    </w:p>
    <w:p w14:paraId="168866BA">
      <w:pPr>
        <w:spacing w:line="580" w:lineRule="exact"/>
        <w:ind w:firstLine="640"/>
        <w:jc w:val="both"/>
      </w:pPr>
      <w:r>
        <w:rPr>
          <w:rFonts w:ascii="仿宋_GB2312" w:hAnsi="仿宋_GB2312" w:eastAsia="仿宋_GB2312"/>
          <w:b/>
          <w:sz w:val="32"/>
        </w:rPr>
        <w:t>公用经费26.40万元，</w:t>
      </w:r>
      <w:r>
        <w:rPr>
          <w:rFonts w:ascii="仿宋_GB2312" w:hAnsi="仿宋_GB2312" w:eastAsia="仿宋_GB2312"/>
          <w:b w:val="0"/>
          <w:sz w:val="32"/>
        </w:rPr>
        <w:t>包括：办公费、手续费、水费、电费、邮电费、差旅费、专用材料费、委托业务费、工会经费、公务用车运行维护费、其他交通费用、其他商品和服务支出。</w:t>
      </w:r>
    </w:p>
    <w:p w14:paraId="257F80DB">
      <w:pPr>
        <w:spacing w:line="640" w:lineRule="exact"/>
        <w:ind w:firstLine="640"/>
        <w:jc w:val="both"/>
        <w:outlineLvl w:val="2"/>
      </w:pPr>
      <w:r>
        <w:rPr>
          <w:rFonts w:ascii="黑体" w:hAnsi="黑体" w:eastAsia="黑体"/>
          <w:sz w:val="32"/>
        </w:rPr>
        <w:t>七、政府性基金预算财政拨款收入支出决算情况说明</w:t>
      </w:r>
    </w:p>
    <w:p w14:paraId="7538CAF3">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66023647">
      <w:pPr>
        <w:spacing w:line="640" w:lineRule="exact"/>
        <w:ind w:firstLine="640"/>
        <w:jc w:val="both"/>
        <w:outlineLvl w:val="2"/>
      </w:pPr>
      <w:r>
        <w:rPr>
          <w:rFonts w:ascii="黑体" w:hAnsi="黑体" w:eastAsia="黑体"/>
          <w:sz w:val="32"/>
        </w:rPr>
        <w:t>八、国有资本经营预算财政拨款收入支出决算情况说明</w:t>
      </w:r>
    </w:p>
    <w:p w14:paraId="7640E94C">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41226D3E">
      <w:pPr>
        <w:spacing w:line="640" w:lineRule="exact"/>
        <w:ind w:firstLine="640"/>
        <w:jc w:val="both"/>
        <w:outlineLvl w:val="2"/>
      </w:pPr>
      <w:r>
        <w:rPr>
          <w:rFonts w:ascii="黑体" w:hAnsi="黑体" w:eastAsia="黑体"/>
          <w:sz w:val="32"/>
        </w:rPr>
        <w:t>九、财政拨款“三公”经费支出决算情况说明</w:t>
      </w:r>
    </w:p>
    <w:p w14:paraId="7B554D04">
      <w:pPr>
        <w:spacing w:line="580" w:lineRule="exact"/>
        <w:ind w:firstLine="640"/>
        <w:jc w:val="both"/>
      </w:pPr>
      <w:r>
        <w:rPr>
          <w:rFonts w:ascii="仿宋_GB2312" w:hAnsi="仿宋_GB2312" w:eastAsia="仿宋_GB2312"/>
          <w:b/>
          <w:sz w:val="32"/>
        </w:rPr>
        <w:t>2024年度财政拨款“三公”经费支出1.30万元，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1.30万元，占100.00%，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公务用车运行维护费与上年一致无变化。公务接待费支出0.00万元，占0.00%，比上年增加0.00万元，增长0.00%，主要原因是：2023年与2024年均未安排公务接待费支出。</w:t>
      </w:r>
    </w:p>
    <w:p w14:paraId="063DAB5D">
      <w:pPr>
        <w:spacing w:line="580" w:lineRule="exact"/>
        <w:ind w:firstLine="640"/>
        <w:jc w:val="both"/>
      </w:pPr>
      <w:r>
        <w:rPr>
          <w:rFonts w:ascii="仿宋_GB2312" w:hAnsi="仿宋_GB2312" w:eastAsia="仿宋_GB2312"/>
          <w:b/>
          <w:sz w:val="32"/>
        </w:rPr>
        <w:t>具体情况如下：</w:t>
      </w:r>
    </w:p>
    <w:p w14:paraId="19302D06">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04A1B4AE">
      <w:pPr>
        <w:spacing w:line="580" w:lineRule="exact"/>
        <w:ind w:firstLine="640"/>
        <w:jc w:val="both"/>
      </w:pPr>
      <w:r>
        <w:rPr>
          <w:rFonts w:ascii="仿宋_GB2312" w:hAnsi="仿宋_GB2312" w:eastAsia="仿宋_GB2312"/>
          <w:b w:val="0"/>
          <w:sz w:val="32"/>
        </w:rPr>
        <w:t>公务用车购置及运行维护费1.30万元，其中：公务用车购置费0.00万元，公务用车运行维护费1.30万元。公务用车运行维护费开支内容包括公车过路费，公车加油费，公车车辆保险费，车辆维修费等。公务用车购置数0辆，公务用车保有量1辆。国有资产占用情况中固定资产车辆1辆，与公务用车保有量差异原因是：本部门固定资产车辆与公务用车保有量一致无差异。</w:t>
      </w:r>
    </w:p>
    <w:p w14:paraId="094F227E">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190D4C4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1.30万元，决算数1.30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1.30万元，决算数1.30万元，预决算差异率0.00%，主要原因是：严格按照预算执行，预决算无差异。公务接待费全年预算数0.00万元，决算数0.00万元，预决算差异率0.00%，主要原因是：本部门无公务接待费。</w:t>
      </w:r>
    </w:p>
    <w:p w14:paraId="0293B906">
      <w:pPr>
        <w:spacing w:line="640" w:lineRule="exact"/>
        <w:ind w:firstLine="640"/>
        <w:jc w:val="both"/>
        <w:outlineLvl w:val="2"/>
      </w:pPr>
      <w:r>
        <w:rPr>
          <w:rFonts w:ascii="黑体" w:hAnsi="黑体" w:eastAsia="黑体"/>
          <w:sz w:val="32"/>
        </w:rPr>
        <w:t>十、其他重要事项的情况说明</w:t>
      </w:r>
    </w:p>
    <w:p w14:paraId="16C4D189">
      <w:pPr>
        <w:spacing w:line="640" w:lineRule="exact"/>
        <w:ind w:firstLine="640"/>
        <w:jc w:val="both"/>
        <w:outlineLvl w:val="3"/>
      </w:pPr>
      <w:r>
        <w:rPr>
          <w:rFonts w:ascii="楷体_GB2312" w:hAnsi="楷体_GB2312" w:eastAsia="楷体_GB2312"/>
          <w:b/>
          <w:sz w:val="32"/>
        </w:rPr>
        <w:t>（一）机关运行经费及公用经费支出情况</w:t>
      </w:r>
    </w:p>
    <w:p w14:paraId="47E376AB">
      <w:pPr>
        <w:spacing w:line="580" w:lineRule="exact"/>
        <w:ind w:firstLine="640"/>
        <w:jc w:val="both"/>
      </w:pPr>
      <w:r>
        <w:rPr>
          <w:rFonts w:ascii="仿宋_GB2312" w:hAnsi="仿宋_GB2312" w:eastAsia="仿宋_GB2312"/>
          <w:b w:val="0"/>
          <w:sz w:val="32"/>
        </w:rPr>
        <w:t>2024年度喀什地区水产技术推广站（行政单位和参照公务员法管理事业单位）机关运行经费支出26.40万元，比上年增加8.09万元，增长44.18%，主要原因是：本年业务需要，办公费、差旅费增加，导致机关运行经费增加。</w:t>
      </w:r>
    </w:p>
    <w:p w14:paraId="041C616D">
      <w:pPr>
        <w:spacing w:line="640" w:lineRule="exact"/>
        <w:ind w:firstLine="640"/>
        <w:jc w:val="both"/>
        <w:outlineLvl w:val="3"/>
      </w:pPr>
      <w:r>
        <w:rPr>
          <w:rFonts w:ascii="楷体_GB2312" w:hAnsi="楷体_GB2312" w:eastAsia="楷体_GB2312"/>
          <w:b/>
          <w:sz w:val="32"/>
        </w:rPr>
        <w:t>（二）政府采购情况</w:t>
      </w:r>
    </w:p>
    <w:p w14:paraId="65550AC7">
      <w:pPr>
        <w:spacing w:line="580" w:lineRule="exact"/>
        <w:ind w:firstLine="640"/>
        <w:jc w:val="both"/>
      </w:pPr>
      <w:r>
        <w:rPr>
          <w:rFonts w:ascii="仿宋_GB2312" w:hAnsi="仿宋_GB2312" w:eastAsia="仿宋_GB2312"/>
          <w:b w:val="0"/>
          <w:sz w:val="32"/>
        </w:rPr>
        <w:t>2024年度政府采购支出总额27.36万元，其中：政府采购货物支出23.24万元、政府采购工程支出2.50万元、政府采购服务支出1.62万元。</w:t>
      </w:r>
    </w:p>
    <w:p w14:paraId="0DDCA440">
      <w:pPr>
        <w:spacing w:line="580" w:lineRule="exact"/>
        <w:ind w:firstLine="640"/>
        <w:jc w:val="both"/>
      </w:pPr>
      <w:r>
        <w:rPr>
          <w:rFonts w:ascii="仿宋_GB2312" w:hAnsi="仿宋_GB2312" w:eastAsia="仿宋_GB2312"/>
          <w:b w:val="0"/>
          <w:sz w:val="32"/>
        </w:rPr>
        <w:t>授予中小企业合同金额25.24万元，占政府采购支出总额的92.25%，其中：授予小微企业合同金额23.73万元，占政府采购支出总额的86.73%。</w:t>
      </w:r>
    </w:p>
    <w:p w14:paraId="351817B7">
      <w:pPr>
        <w:spacing w:line="640" w:lineRule="exact"/>
        <w:ind w:firstLine="640"/>
        <w:jc w:val="both"/>
        <w:outlineLvl w:val="3"/>
      </w:pPr>
      <w:r>
        <w:rPr>
          <w:rFonts w:ascii="楷体_GB2312" w:hAnsi="楷体_GB2312" w:eastAsia="楷体_GB2312"/>
          <w:b/>
          <w:sz w:val="32"/>
        </w:rPr>
        <w:t>（三）国有资产占用情况说明</w:t>
      </w:r>
    </w:p>
    <w:p w14:paraId="2DD92D7D">
      <w:pPr>
        <w:spacing w:line="580" w:lineRule="exact"/>
        <w:ind w:firstLine="640"/>
        <w:jc w:val="both"/>
      </w:pPr>
      <w:r>
        <w:rPr>
          <w:rFonts w:ascii="仿宋_GB2312" w:hAnsi="仿宋_GB2312" w:eastAsia="仿宋_GB2312"/>
          <w:b w:val="0"/>
          <w:sz w:val="32"/>
        </w:rPr>
        <w:t>截至2024年12月31日，房屋50.00平方米，价值9.85万元。车辆1辆，价值22.78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1台（套）。</w:t>
      </w:r>
    </w:p>
    <w:p w14:paraId="34DD322F">
      <w:pPr>
        <w:spacing w:line="640" w:lineRule="exact"/>
        <w:ind w:firstLine="640"/>
        <w:jc w:val="both"/>
        <w:outlineLvl w:val="2"/>
      </w:pPr>
      <w:r>
        <w:rPr>
          <w:rFonts w:ascii="黑体" w:hAnsi="黑体" w:eastAsia="黑体"/>
          <w:sz w:val="32"/>
        </w:rPr>
        <w:t>十一、预算绩效的情况说明</w:t>
      </w:r>
    </w:p>
    <w:p w14:paraId="4E49E555">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531.19万元，实际执行总额528.15万元；预算绩效评价项目1个，全年预算数1.06万元，全年执行数1.04万元。预算绩效管理取得的成效：一是项目按照预期指标值，达标率高，项目实施成效与利用率较高；二是对项目实施前中后期管控及时科学分析，有效</w:t>
      </w:r>
      <w:r>
        <w:rPr>
          <w:rFonts w:hint="eastAsia" w:ascii="仿宋_GB2312" w:hAnsi="仿宋_GB2312" w:eastAsia="仿宋_GB2312"/>
          <w:b w:val="0"/>
          <w:sz w:val="32"/>
          <w:lang w:eastAsia="zh-CN"/>
        </w:rPr>
        <w:t>地</w:t>
      </w:r>
      <w:r>
        <w:rPr>
          <w:rFonts w:ascii="仿宋_GB2312" w:hAnsi="仿宋_GB2312" w:eastAsia="仿宋_GB2312"/>
          <w:b w:val="0"/>
          <w:sz w:val="32"/>
        </w:rPr>
        <w:t>把握实施节点，项目建成后综合评价好。发现的问题及原因：一是需要进一步提高绩效管理工作人员的业务能力水平；二是因预期评估，还需准确掌握各时点的指标值，从而在预期目标范围之内。下一步改进措施：一是科学分析，严格按照预算绩效管理原则处理，确保指标值准确，与各行业部门对接，加强协调联动；二</w:t>
      </w:r>
      <w:r>
        <w:rPr>
          <w:rFonts w:hint="eastAsia" w:ascii="仿宋_GB2312" w:hAnsi="仿宋_GB2312" w:eastAsia="仿宋_GB2312"/>
          <w:b w:val="0"/>
          <w:sz w:val="32"/>
          <w:lang w:eastAsia="zh-CN"/>
        </w:rPr>
        <w:t>是促</w:t>
      </w:r>
      <w:r>
        <w:rPr>
          <w:rFonts w:ascii="仿宋_GB2312" w:hAnsi="仿宋_GB2312" w:eastAsia="仿宋_GB2312"/>
          <w:b w:val="0"/>
          <w:sz w:val="32"/>
        </w:rPr>
        <w:t>进扩大预算绩效管理范围，让</w:t>
      </w:r>
      <w:r>
        <w:rPr>
          <w:rFonts w:hint="eastAsia" w:ascii="仿宋_GB2312" w:hAnsi="仿宋_GB2312" w:eastAsia="仿宋_GB2312"/>
          <w:b w:val="0"/>
          <w:sz w:val="32"/>
          <w:lang w:eastAsia="zh-CN"/>
        </w:rPr>
        <w:t>本部门</w:t>
      </w:r>
      <w:r>
        <w:rPr>
          <w:rFonts w:ascii="仿宋_GB2312" w:hAnsi="仿宋_GB2312" w:eastAsia="仿宋_GB2312"/>
          <w:b w:val="0"/>
          <w:sz w:val="32"/>
        </w:rPr>
        <w:t>主要领导和相关科室多熟悉预算绩效管理的内容和要求，不断提升预算单位的绩效意识；三是加强对预算绩效业务工作人员的培训，培养专业人才，从而为绩效评估提供更大的基础保障。具体附部门整体支出绩效自评表，项目支出绩效自评表。</w:t>
      </w:r>
    </w:p>
    <w:p w14:paraId="702451E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A6B8823">
        <w:tblPrEx>
          <w:tblCellMar>
            <w:top w:w="0" w:type="dxa"/>
            <w:left w:w="108" w:type="dxa"/>
            <w:bottom w:w="0" w:type="dxa"/>
            <w:right w:w="108" w:type="dxa"/>
          </w:tblCellMar>
        </w:tblPrEx>
        <w:tc>
          <w:tcPr>
            <w:tcW w:w="8847" w:type="dxa"/>
            <w:gridSpan w:val="9"/>
            <w:vAlign w:val="center"/>
          </w:tcPr>
          <w:p w14:paraId="13C2E9D5">
            <w:pPr>
              <w:jc w:val="center"/>
            </w:pPr>
            <w:r>
              <w:rPr>
                <w:rFonts w:ascii="宋体" w:hAnsi="宋体" w:eastAsia="宋体"/>
                <w:sz w:val="24"/>
              </w:rPr>
              <w:t>部门整体支出绩效自评表</w:t>
            </w:r>
          </w:p>
        </w:tc>
      </w:tr>
      <w:tr w14:paraId="1B259549">
        <w:tblPrEx>
          <w:tblCellMar>
            <w:top w:w="0" w:type="dxa"/>
            <w:left w:w="108" w:type="dxa"/>
            <w:bottom w:w="0" w:type="dxa"/>
            <w:right w:w="108" w:type="dxa"/>
          </w:tblCellMar>
        </w:tblPrEx>
        <w:tc>
          <w:tcPr>
            <w:tcW w:w="8847" w:type="dxa"/>
            <w:gridSpan w:val="9"/>
            <w:vAlign w:val="center"/>
          </w:tcPr>
          <w:p w14:paraId="4AA6B5BD">
            <w:pPr>
              <w:jc w:val="center"/>
            </w:pPr>
            <w:r>
              <w:rPr>
                <w:rFonts w:ascii="宋体" w:hAnsi="宋体" w:eastAsia="宋体"/>
                <w:sz w:val="24"/>
              </w:rPr>
              <w:t>（2024年度）</w:t>
            </w:r>
          </w:p>
        </w:tc>
      </w:tr>
      <w:tr w14:paraId="779932A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569D0">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6B25901">
            <w:pPr>
              <w:jc w:val="center"/>
            </w:pPr>
            <w:r>
              <w:rPr>
                <w:rFonts w:ascii="宋体" w:hAnsi="宋体" w:eastAsia="宋体"/>
                <w:sz w:val="16"/>
              </w:rPr>
              <w:t>喀什地区水产技术推广站</w:t>
            </w:r>
          </w:p>
        </w:tc>
      </w:tr>
      <w:tr w14:paraId="4F94914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C0AF19">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1822C">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7E377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A8C4F">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1B7A3">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A7F9B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EE492">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CB1F3">
            <w:pPr>
              <w:jc w:val="center"/>
            </w:pPr>
            <w:r>
              <w:rPr>
                <w:rFonts w:ascii="宋体" w:hAnsi="宋体" w:eastAsia="宋体"/>
                <w:sz w:val="16"/>
              </w:rPr>
              <w:t>得分</w:t>
            </w:r>
          </w:p>
        </w:tc>
      </w:tr>
      <w:tr w14:paraId="4C1AD3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15352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5D98CA">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A6F61">
            <w:pPr>
              <w:jc w:val="center"/>
            </w:pPr>
            <w:r>
              <w:rPr>
                <w:rFonts w:ascii="宋体" w:hAnsi="宋体" w:eastAsia="宋体"/>
                <w:sz w:val="16"/>
              </w:rPr>
              <w:t>511.49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121A2">
            <w:pPr>
              <w:jc w:val="center"/>
            </w:pPr>
            <w:r>
              <w:rPr>
                <w:rFonts w:ascii="宋体" w:hAnsi="宋体" w:eastAsia="宋体"/>
                <w:sz w:val="16"/>
              </w:rPr>
              <w:t>531.19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C5C6E2">
            <w:pPr>
              <w:jc w:val="center"/>
            </w:pPr>
            <w:r>
              <w:rPr>
                <w:rFonts w:ascii="宋体" w:hAnsi="宋体" w:eastAsia="宋体"/>
                <w:sz w:val="16"/>
              </w:rPr>
              <w:t>528.15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CAB9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06DD2D">
            <w:pPr>
              <w:jc w:val="center"/>
            </w:pPr>
            <w:r>
              <w:rPr>
                <w:rFonts w:ascii="宋体" w:hAnsi="宋体" w:eastAsia="宋体"/>
                <w:sz w:val="16"/>
              </w:rPr>
              <w:t>99.43%</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AB305">
            <w:pPr>
              <w:jc w:val="center"/>
            </w:pPr>
            <w:r>
              <w:rPr>
                <w:rFonts w:ascii="宋体" w:hAnsi="宋体" w:eastAsia="宋体"/>
                <w:sz w:val="16"/>
              </w:rPr>
              <w:t>9.94</w:t>
            </w:r>
          </w:p>
        </w:tc>
      </w:tr>
      <w:tr w14:paraId="30F0BBB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76CFC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264213">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86E21">
            <w:pPr>
              <w:jc w:val="center"/>
            </w:pPr>
            <w:r>
              <w:rPr>
                <w:rFonts w:ascii="宋体" w:hAnsi="宋体" w:eastAsia="宋体"/>
                <w:sz w:val="16"/>
              </w:rPr>
              <w:t>3.43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66F5B">
            <w:pPr>
              <w:jc w:val="center"/>
            </w:pPr>
            <w:r>
              <w:rPr>
                <w:rFonts w:ascii="宋体" w:hAnsi="宋体" w:eastAsia="宋体"/>
                <w:sz w:val="16"/>
              </w:rPr>
              <w:t>12.00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D43414">
            <w:pPr>
              <w:jc w:val="center"/>
            </w:pPr>
            <w:r>
              <w:rPr>
                <w:rFonts w:ascii="宋体" w:hAnsi="宋体" w:eastAsia="宋体"/>
                <w:sz w:val="16"/>
              </w:rPr>
              <w:t>12.00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B3FD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C9F7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994B4">
            <w:pPr>
              <w:jc w:val="center"/>
            </w:pPr>
            <w:r>
              <w:rPr>
                <w:rFonts w:ascii="宋体" w:hAnsi="宋体" w:eastAsia="宋体"/>
                <w:sz w:val="16"/>
              </w:rPr>
              <w:t>—</w:t>
            </w:r>
          </w:p>
        </w:tc>
      </w:tr>
      <w:tr w14:paraId="3BEE61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D610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71431">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E220D">
            <w:pPr>
              <w:jc w:val="center"/>
            </w:pPr>
            <w:r>
              <w:rPr>
                <w:rFonts w:ascii="宋体" w:hAnsi="宋体" w:eastAsia="宋体"/>
                <w:sz w:val="16"/>
              </w:rPr>
              <w:t>507.00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F45D15">
            <w:pPr>
              <w:jc w:val="center"/>
            </w:pPr>
            <w:r>
              <w:rPr>
                <w:rFonts w:ascii="宋体" w:hAnsi="宋体" w:eastAsia="宋体"/>
                <w:sz w:val="16"/>
              </w:rPr>
              <w:t>518.15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ABA83">
            <w:pPr>
              <w:jc w:val="center"/>
            </w:pPr>
            <w:r>
              <w:rPr>
                <w:rFonts w:ascii="宋体" w:hAnsi="宋体" w:eastAsia="宋体"/>
                <w:sz w:val="16"/>
              </w:rPr>
              <w:t>515.11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B51EB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E27B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7BE0A">
            <w:pPr>
              <w:jc w:val="center"/>
            </w:pPr>
            <w:r>
              <w:rPr>
                <w:rFonts w:ascii="宋体" w:hAnsi="宋体" w:eastAsia="宋体"/>
                <w:sz w:val="16"/>
              </w:rPr>
              <w:t>—</w:t>
            </w:r>
          </w:p>
        </w:tc>
      </w:tr>
      <w:tr w14:paraId="0AF08F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C2CE6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7A22F">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AA3F3">
            <w:pPr>
              <w:jc w:val="center"/>
            </w:pPr>
            <w:r>
              <w:rPr>
                <w:rFonts w:ascii="宋体" w:hAnsi="宋体" w:eastAsia="宋体"/>
                <w:sz w:val="16"/>
              </w:rPr>
              <w:t>1.06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844FB3">
            <w:pPr>
              <w:jc w:val="center"/>
            </w:pPr>
            <w:r>
              <w:rPr>
                <w:rFonts w:ascii="宋体" w:hAnsi="宋体" w:eastAsia="宋体"/>
                <w:sz w:val="16"/>
              </w:rPr>
              <w:t>1.04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A92959">
            <w:pPr>
              <w:jc w:val="center"/>
            </w:pPr>
            <w:r>
              <w:rPr>
                <w:rFonts w:ascii="宋体" w:hAnsi="宋体" w:eastAsia="宋体"/>
                <w:sz w:val="16"/>
              </w:rPr>
              <w:t>1.04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EC8C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36C1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4F324">
            <w:pPr>
              <w:jc w:val="center"/>
            </w:pPr>
            <w:r>
              <w:rPr>
                <w:rFonts w:ascii="宋体" w:hAnsi="宋体" w:eastAsia="宋体"/>
                <w:sz w:val="16"/>
              </w:rPr>
              <w:t>—</w:t>
            </w:r>
          </w:p>
        </w:tc>
      </w:tr>
      <w:tr w14:paraId="0682D27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980F9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160C78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929CF1">
            <w:pPr>
              <w:jc w:val="center"/>
            </w:pPr>
            <w:r>
              <w:rPr>
                <w:rFonts w:ascii="宋体" w:hAnsi="宋体" w:eastAsia="宋体"/>
                <w:sz w:val="16"/>
              </w:rPr>
              <w:t>实际完成情况</w:t>
            </w:r>
          </w:p>
        </w:tc>
      </w:tr>
      <w:tr w14:paraId="4456F6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C483E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B9EA77C">
            <w:pPr>
              <w:jc w:val="both"/>
            </w:pPr>
            <w:r>
              <w:rPr>
                <w:rFonts w:ascii="宋体" w:hAnsi="宋体" w:eastAsia="宋体"/>
                <w:sz w:val="16"/>
              </w:rPr>
              <w:t>学习贯彻习近平总书记视察新疆重要讲话重要指示精神和关于“三农”工作的重要论述，以渔业提质增效，全年单位至少组织4次以上赴各县市开展检查水产养殖投入品安全检查指导，推行和规范水产养殖管理记录制度;计划自4月份开始，组织地区水产技术推广站干部职工分两组至少3次赴各县市开展水产养殖技术推广及服务指导工作;至少组织4次以上赴各县市开展渔业安全生产指导检查,确保渔业生产安全; 每月按时统计上报疫病监测点疫病发生情况，年内至少完成8次填报，并对疫病监测点不定期进行抽查，确保报送情况属实;对其开展增殖放流活动加强指导服务和监督检查，要求今年不少于3次组织4次以上赴各县市开展水生生物资源增殖养护支撑服务指导工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E92A21">
            <w:pPr>
              <w:jc w:val="both"/>
            </w:pPr>
            <w:r>
              <w:rPr>
                <w:rFonts w:ascii="宋体" w:hAnsi="宋体" w:eastAsia="宋体"/>
                <w:sz w:val="16"/>
              </w:rPr>
              <w:t>已对叶城县、泽普县、疏附县、疏勒、喀什市进行了3次水产养殖技术推广及服务指导，采购1套溶氧仪、1套盐度计、1套高精度测试仪等便携式仪器设备及相关办公用品，现场宣传《中华人民共和国农产品质量安全法》，《兽药管理条例》等水产品质量相关政策，</w:t>
            </w:r>
            <w:r>
              <w:rPr>
                <w:rFonts w:hint="eastAsia" w:ascii="宋体" w:hAnsi="宋体"/>
                <w:sz w:val="16"/>
                <w:lang w:eastAsia="zh-CN"/>
              </w:rPr>
              <w:t>还</w:t>
            </w:r>
            <w:r>
              <w:rPr>
                <w:rFonts w:ascii="宋体" w:hAnsi="宋体" w:eastAsia="宋体"/>
                <w:sz w:val="16"/>
              </w:rPr>
              <w:t>开具承诺达标合格证进行宣讲，累计发放《水产养殖用药明白纸2022年1、2号》、易检出药物清单（两张清单）300余张，水产养殖生产日记100余本，渔民养殖技术显著提高，养殖规范能力大幅度提升，2024年国家和自治区在喀什地区抽检水产品32批次，合格率100%。</w:t>
            </w:r>
          </w:p>
        </w:tc>
      </w:tr>
      <w:tr w14:paraId="59E0CCC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EC02B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9DB2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BE6C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F5BD0">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59A641">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0FF6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A1C2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FFEA3">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31658">
            <w:pPr>
              <w:jc w:val="center"/>
            </w:pPr>
            <w:r>
              <w:rPr>
                <w:rFonts w:ascii="宋体" w:hAnsi="宋体" w:eastAsia="宋体"/>
                <w:sz w:val="16"/>
              </w:rPr>
              <w:t>得分</w:t>
            </w:r>
          </w:p>
        </w:tc>
      </w:tr>
      <w:tr w14:paraId="12BB4AB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384345">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B6FAA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AC21A">
            <w:pPr>
              <w:jc w:val="center"/>
            </w:pPr>
            <w:r>
              <w:rPr>
                <w:rFonts w:ascii="宋体" w:hAnsi="宋体" w:eastAsia="宋体"/>
                <w:sz w:val="16"/>
              </w:rPr>
              <w:t>水产养殖技术推广及服务指导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9D5ED">
            <w:pPr>
              <w:jc w:val="center"/>
            </w:pPr>
            <w:r>
              <w:rPr>
                <w:rFonts w:ascii="宋体" w:hAnsi="宋体" w:eastAsia="宋体"/>
                <w:sz w:val="16"/>
              </w:rPr>
              <w:t>&gt;=3次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A07A2F">
            <w:pPr>
              <w:jc w:val="center"/>
            </w:pPr>
            <w:r>
              <w:rPr>
                <w:rFonts w:ascii="宋体" w:hAnsi="宋体" w:eastAsia="宋体"/>
                <w:sz w:val="16"/>
              </w:rPr>
              <w:t>2024年度渔业工作计划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394B1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1791A7">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7CA5E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C7C1D">
            <w:pPr>
              <w:jc w:val="center"/>
            </w:pPr>
            <w:r>
              <w:rPr>
                <w:rFonts w:ascii="宋体" w:hAnsi="宋体" w:eastAsia="宋体"/>
                <w:sz w:val="16"/>
              </w:rPr>
              <w:t>20</w:t>
            </w:r>
          </w:p>
        </w:tc>
      </w:tr>
      <w:tr w14:paraId="6D1413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F6779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94547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50FFB">
            <w:pPr>
              <w:jc w:val="center"/>
            </w:pPr>
            <w:r>
              <w:rPr>
                <w:rFonts w:ascii="宋体" w:hAnsi="宋体" w:eastAsia="宋体"/>
                <w:sz w:val="16"/>
              </w:rPr>
              <w:t>开展水生动物疫病测报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3F1A1">
            <w:pPr>
              <w:jc w:val="center"/>
            </w:pPr>
            <w:r>
              <w:rPr>
                <w:rFonts w:ascii="宋体" w:hAnsi="宋体" w:eastAsia="宋体"/>
                <w:sz w:val="16"/>
              </w:rPr>
              <w:t>&gt;=8次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04AE9D">
            <w:pPr>
              <w:jc w:val="center"/>
            </w:pPr>
            <w:r>
              <w:rPr>
                <w:rFonts w:ascii="宋体" w:hAnsi="宋体" w:eastAsia="宋体"/>
                <w:sz w:val="16"/>
              </w:rPr>
              <w:t>新农办渔函</w:t>
            </w:r>
            <w:r>
              <w:rPr>
                <w:rFonts w:hint="eastAsia" w:ascii="宋体" w:hAnsi="宋体"/>
                <w:sz w:val="16"/>
                <w:lang w:eastAsia="zh-CN"/>
              </w:rPr>
              <w:t>〔2023〕138号</w:t>
            </w:r>
            <w:r>
              <w:rPr>
                <w:rFonts w:ascii="宋体" w:hAnsi="宋体" w:eastAsia="宋体"/>
                <w:sz w:val="16"/>
              </w:rPr>
              <w:t>关于开展2023年自治区水生动物疾病监测工作的通知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18D3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D8C44">
            <w:pPr>
              <w:jc w:val="center"/>
            </w:pPr>
            <w:r>
              <w:rPr>
                <w:rFonts w:ascii="宋体" w:hAnsi="宋体" w:eastAsia="宋体"/>
                <w:sz w:val="16"/>
              </w:rPr>
              <w:t>8次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408F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E4466">
            <w:pPr>
              <w:jc w:val="center"/>
            </w:pPr>
            <w:r>
              <w:rPr>
                <w:rFonts w:ascii="宋体" w:hAnsi="宋体" w:eastAsia="宋体"/>
                <w:sz w:val="16"/>
              </w:rPr>
              <w:t>10</w:t>
            </w:r>
          </w:p>
        </w:tc>
      </w:tr>
      <w:tr w14:paraId="67F74C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FA919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6B9D4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AA412A">
            <w:pPr>
              <w:jc w:val="center"/>
            </w:pPr>
            <w:r>
              <w:rPr>
                <w:rFonts w:ascii="宋体" w:hAnsi="宋体" w:eastAsia="宋体"/>
                <w:sz w:val="16"/>
              </w:rPr>
              <w:t>开展水产养殖投入品安全检查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0B04DD">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8810C">
            <w:pPr>
              <w:jc w:val="center"/>
            </w:pPr>
            <w:r>
              <w:rPr>
                <w:rFonts w:ascii="宋体" w:hAnsi="宋体" w:eastAsia="宋体"/>
                <w:sz w:val="16"/>
              </w:rPr>
              <w:t>2024年度渔业工作计划、喀地农字</w:t>
            </w:r>
            <w:r>
              <w:rPr>
                <w:rFonts w:hint="eastAsia" w:ascii="宋体" w:hAnsi="宋体"/>
                <w:sz w:val="16"/>
                <w:lang w:eastAsia="zh-CN"/>
              </w:rPr>
              <w:t>〔2021〕36号</w:t>
            </w:r>
            <w:r>
              <w:rPr>
                <w:rFonts w:ascii="宋体" w:hAnsi="宋体" w:eastAsia="宋体"/>
                <w:sz w:val="16"/>
              </w:rPr>
              <w:t>关于印发《喀什地区食用农产品“治违禁控药残促提升”三年行动实施方案》的通知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7892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64795">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979A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A9F79">
            <w:pPr>
              <w:jc w:val="center"/>
            </w:pPr>
            <w:r>
              <w:rPr>
                <w:rFonts w:ascii="宋体" w:hAnsi="宋体" w:eastAsia="宋体"/>
                <w:sz w:val="16"/>
              </w:rPr>
              <w:t>20</w:t>
            </w:r>
          </w:p>
        </w:tc>
      </w:tr>
      <w:tr w14:paraId="4816FC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CDC25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B1369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A7A27">
            <w:pPr>
              <w:jc w:val="center"/>
            </w:pPr>
            <w:r>
              <w:rPr>
                <w:rFonts w:ascii="宋体" w:hAnsi="宋体" w:eastAsia="宋体"/>
                <w:sz w:val="16"/>
              </w:rPr>
              <w:t>水生生物资源增殖养护支撑服务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47B30">
            <w:pPr>
              <w:jc w:val="center"/>
            </w:pPr>
            <w:r>
              <w:rPr>
                <w:rFonts w:ascii="宋体" w:hAnsi="宋体" w:eastAsia="宋体"/>
                <w:sz w:val="16"/>
              </w:rPr>
              <w:t>&gt;=3次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52A978">
            <w:pPr>
              <w:jc w:val="center"/>
            </w:pPr>
            <w:r>
              <w:rPr>
                <w:rFonts w:ascii="宋体" w:hAnsi="宋体" w:eastAsia="宋体"/>
                <w:sz w:val="16"/>
              </w:rPr>
              <w:t>2024年度渔业工作计划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7A1C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68737">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42AA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7F09F">
            <w:pPr>
              <w:jc w:val="center"/>
            </w:pPr>
            <w:r>
              <w:rPr>
                <w:rFonts w:ascii="宋体" w:hAnsi="宋体" w:eastAsia="宋体"/>
                <w:sz w:val="16"/>
              </w:rPr>
              <w:t>20</w:t>
            </w:r>
          </w:p>
        </w:tc>
      </w:tr>
      <w:tr w14:paraId="1F8DE6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4F071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61E84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6EA73">
            <w:pPr>
              <w:jc w:val="center"/>
            </w:pPr>
            <w:r>
              <w:rPr>
                <w:rFonts w:ascii="宋体" w:hAnsi="宋体" w:eastAsia="宋体"/>
                <w:sz w:val="16"/>
              </w:rPr>
              <w:t>开展渔业规范生产指导检查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862C6">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A8E69">
            <w:pPr>
              <w:jc w:val="center"/>
            </w:pPr>
            <w:r>
              <w:rPr>
                <w:rFonts w:ascii="宋体" w:hAnsi="宋体" w:eastAsia="宋体"/>
                <w:sz w:val="16"/>
              </w:rPr>
              <w:t>2024年度渔业工作计划、《喀什地区农业农村局安全生产治本攻坚三年行动方案》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C3339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F88CC">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42E9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B4E68">
            <w:pPr>
              <w:jc w:val="center"/>
            </w:pPr>
            <w:r>
              <w:rPr>
                <w:rFonts w:ascii="宋体" w:hAnsi="宋体" w:eastAsia="宋体"/>
                <w:sz w:val="16"/>
              </w:rPr>
              <w:t>20</w:t>
            </w:r>
          </w:p>
        </w:tc>
      </w:tr>
    </w:tbl>
    <w:p w14:paraId="64365C78">
      <w:r>
        <w:br w:type="page"/>
      </w:r>
    </w:p>
    <w:tbl>
      <w:tblPr>
        <w:tblStyle w:val="9"/>
        <w:tblW w:w="0" w:type="auto"/>
        <w:tblInd w:w="0" w:type="dxa"/>
        <w:tblLayout w:type="autofit"/>
        <w:tblCellMar>
          <w:top w:w="0" w:type="dxa"/>
          <w:left w:w="108" w:type="dxa"/>
          <w:bottom w:w="0" w:type="dxa"/>
          <w:right w:w="108" w:type="dxa"/>
        </w:tblCellMar>
      </w:tblPr>
      <w:tblGrid>
        <w:gridCol w:w="620"/>
        <w:gridCol w:w="599"/>
        <w:gridCol w:w="599"/>
        <w:gridCol w:w="599"/>
        <w:gridCol w:w="936"/>
        <w:gridCol w:w="599"/>
        <w:gridCol w:w="630"/>
        <w:gridCol w:w="610"/>
        <w:gridCol w:w="599"/>
        <w:gridCol w:w="599"/>
        <w:gridCol w:w="856"/>
        <w:gridCol w:w="630"/>
        <w:gridCol w:w="553"/>
        <w:gridCol w:w="631"/>
      </w:tblGrid>
      <w:tr w14:paraId="38B5699A">
        <w:tblPrEx>
          <w:tblCellMar>
            <w:top w:w="0" w:type="dxa"/>
            <w:left w:w="108" w:type="dxa"/>
            <w:bottom w:w="0" w:type="dxa"/>
            <w:right w:w="108" w:type="dxa"/>
          </w:tblCellMar>
        </w:tblPrEx>
        <w:tc>
          <w:tcPr>
            <w:tcW w:w="8848" w:type="dxa"/>
            <w:gridSpan w:val="14"/>
            <w:vAlign w:val="center"/>
          </w:tcPr>
          <w:p w14:paraId="6EE382D5">
            <w:pPr>
              <w:jc w:val="center"/>
            </w:pPr>
            <w:r>
              <w:rPr>
                <w:rFonts w:ascii="宋体" w:hAnsi="宋体" w:eastAsia="宋体"/>
                <w:sz w:val="24"/>
              </w:rPr>
              <w:t>项目支出绩效自评表</w:t>
            </w:r>
          </w:p>
        </w:tc>
      </w:tr>
      <w:tr w14:paraId="3714812C">
        <w:tblPrEx>
          <w:tblCellMar>
            <w:top w:w="0" w:type="dxa"/>
            <w:left w:w="108" w:type="dxa"/>
            <w:bottom w:w="0" w:type="dxa"/>
            <w:right w:w="108" w:type="dxa"/>
          </w:tblCellMar>
        </w:tblPrEx>
        <w:tc>
          <w:tcPr>
            <w:tcW w:w="8848" w:type="dxa"/>
            <w:gridSpan w:val="14"/>
            <w:vAlign w:val="center"/>
          </w:tcPr>
          <w:p w14:paraId="3C2DB139">
            <w:pPr>
              <w:jc w:val="center"/>
            </w:pPr>
            <w:r>
              <w:rPr>
                <w:rFonts w:ascii="宋体" w:hAnsi="宋体" w:eastAsia="宋体"/>
                <w:sz w:val="24"/>
              </w:rPr>
              <w:t>(2024年度)</w:t>
            </w:r>
          </w:p>
        </w:tc>
      </w:tr>
      <w:tr w14:paraId="597BA8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8431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277A000">
            <w:pPr>
              <w:jc w:val="center"/>
            </w:pPr>
            <w:r>
              <w:rPr>
                <w:rFonts w:ascii="宋体" w:hAnsi="宋体" w:eastAsia="宋体"/>
                <w:sz w:val="16"/>
              </w:rPr>
              <w:t>喀什地区水产养殖技术指导项目</w:t>
            </w:r>
          </w:p>
        </w:tc>
      </w:tr>
      <w:tr w14:paraId="1C0F8D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36C4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7DA2F8">
            <w:pPr>
              <w:jc w:val="center"/>
            </w:pPr>
            <w:r>
              <w:rPr>
                <w:rFonts w:ascii="宋体" w:hAnsi="宋体" w:eastAsia="宋体"/>
                <w:sz w:val="16"/>
              </w:rPr>
              <w:t>喀什地区水产技术推广站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AFCD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24F373">
            <w:pPr>
              <w:jc w:val="center"/>
            </w:pPr>
            <w:r>
              <w:rPr>
                <w:rFonts w:ascii="宋体" w:hAnsi="宋体" w:eastAsia="宋体"/>
                <w:sz w:val="16"/>
              </w:rPr>
              <w:t>喀什地区水产技术推广站</w:t>
            </w:r>
          </w:p>
        </w:tc>
      </w:tr>
      <w:tr w14:paraId="7BA66C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A9CC2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3A31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096B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553B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78C9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D086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75D2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10CAC">
            <w:pPr>
              <w:jc w:val="center"/>
            </w:pPr>
            <w:r>
              <w:rPr>
                <w:rFonts w:ascii="宋体" w:hAnsi="宋体" w:eastAsia="宋体"/>
                <w:sz w:val="16"/>
              </w:rPr>
              <w:t>得分</w:t>
            </w:r>
          </w:p>
        </w:tc>
      </w:tr>
      <w:tr w14:paraId="2B5D4C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A18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6366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5DAE4">
            <w:pPr>
              <w:jc w:val="center"/>
            </w:pPr>
            <w:r>
              <w:rPr>
                <w:rFonts w:ascii="宋体" w:hAnsi="宋体" w:eastAsia="宋体"/>
                <w:sz w:val="16"/>
              </w:rPr>
              <w:t>1.06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3C0BD">
            <w:pPr>
              <w:jc w:val="center"/>
            </w:pPr>
            <w:r>
              <w:rPr>
                <w:rFonts w:ascii="宋体" w:hAnsi="宋体" w:eastAsia="宋体"/>
                <w:sz w:val="16"/>
              </w:rPr>
              <w:t>1.06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F5AB9">
            <w:pPr>
              <w:jc w:val="center"/>
            </w:pPr>
            <w:r>
              <w:rPr>
                <w:rFonts w:ascii="宋体" w:hAnsi="宋体" w:eastAsia="宋体"/>
                <w:sz w:val="16"/>
              </w:rPr>
              <w:t>1.04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123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437B8">
            <w:pPr>
              <w:jc w:val="center"/>
            </w:pPr>
            <w:r>
              <w:rPr>
                <w:rFonts w:ascii="宋体" w:hAnsi="宋体" w:eastAsia="宋体"/>
                <w:sz w:val="16"/>
              </w:rPr>
              <w:t>98.1%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1B367">
            <w:pPr>
              <w:jc w:val="center"/>
            </w:pPr>
            <w:r>
              <w:rPr>
                <w:rFonts w:ascii="宋体" w:hAnsi="宋体" w:eastAsia="宋体"/>
                <w:sz w:val="16"/>
              </w:rPr>
              <w:t>10.00分</w:t>
            </w:r>
          </w:p>
        </w:tc>
      </w:tr>
      <w:tr w14:paraId="3DB623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A37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B109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4C0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C98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34E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975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EDC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8DB5A">
            <w:pPr>
              <w:jc w:val="center"/>
            </w:pPr>
            <w:r>
              <w:rPr>
                <w:rFonts w:ascii="宋体" w:hAnsi="宋体" w:eastAsia="宋体"/>
                <w:sz w:val="16"/>
              </w:rPr>
              <w:t>—</w:t>
            </w:r>
          </w:p>
        </w:tc>
      </w:tr>
      <w:tr w14:paraId="5FB69D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2A7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B88A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F59A5">
            <w:pPr>
              <w:jc w:val="center"/>
            </w:pPr>
            <w:r>
              <w:rPr>
                <w:rFonts w:ascii="宋体" w:hAnsi="宋体" w:eastAsia="宋体"/>
                <w:sz w:val="16"/>
              </w:rPr>
              <w:t>1.06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3B730">
            <w:pPr>
              <w:jc w:val="center"/>
            </w:pPr>
            <w:r>
              <w:rPr>
                <w:rFonts w:ascii="宋体" w:hAnsi="宋体" w:eastAsia="宋体"/>
                <w:sz w:val="16"/>
              </w:rPr>
              <w:t>1.06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8F069">
            <w:pPr>
              <w:jc w:val="center"/>
            </w:pPr>
            <w:r>
              <w:rPr>
                <w:rFonts w:ascii="宋体" w:hAnsi="宋体" w:eastAsia="宋体"/>
                <w:sz w:val="16"/>
              </w:rPr>
              <w:t>1.04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6B26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818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F936D">
            <w:pPr>
              <w:jc w:val="center"/>
            </w:pPr>
            <w:r>
              <w:rPr>
                <w:rFonts w:ascii="宋体" w:hAnsi="宋体" w:eastAsia="宋体"/>
                <w:sz w:val="16"/>
              </w:rPr>
              <w:t>—</w:t>
            </w:r>
          </w:p>
        </w:tc>
      </w:tr>
      <w:tr w14:paraId="3EE424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DB95A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A231F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26204D">
            <w:pPr>
              <w:jc w:val="center"/>
            </w:pPr>
            <w:r>
              <w:rPr>
                <w:rFonts w:ascii="宋体" w:hAnsi="宋体" w:eastAsia="宋体"/>
                <w:sz w:val="16"/>
              </w:rPr>
              <w:t>实际完成情况</w:t>
            </w:r>
          </w:p>
        </w:tc>
      </w:tr>
      <w:tr w14:paraId="6DCDD4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E87F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E4988F">
            <w:pPr>
              <w:jc w:val="both"/>
            </w:pPr>
            <w:r>
              <w:rPr>
                <w:rFonts w:ascii="宋体" w:hAnsi="宋体" w:eastAsia="宋体"/>
                <w:sz w:val="16"/>
              </w:rPr>
              <w:t xml:space="preserve">根据喀地农字 </w:t>
            </w:r>
            <w:r>
              <w:rPr>
                <w:rFonts w:hint="eastAsia" w:ascii="宋体" w:hAnsi="宋体"/>
                <w:sz w:val="16"/>
                <w:lang w:eastAsia="zh-CN"/>
              </w:rPr>
              <w:t>〔2021〕36号</w:t>
            </w:r>
            <w:r>
              <w:rPr>
                <w:rFonts w:ascii="宋体" w:hAnsi="宋体" w:eastAsia="宋体"/>
                <w:sz w:val="16"/>
              </w:rPr>
              <w:t xml:space="preserve"> 关于印发《喀什地区食品用农产品“治违禁 空药残 促提升”三年行动实施方案》的通知。项目预算安排资金10557.37元，其中：其他资金10557.37元。对喀什地区5个县市进行3次水产养殖技术推广及服务指导，此期间的人员差旅费6057元、印刷费1500.37元、其他商品和服务支出3000元。提升渔民养殖技术和渔业安全生产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43DB1E">
            <w:pPr>
              <w:jc w:val="both"/>
            </w:pPr>
            <w:r>
              <w:rPr>
                <w:rFonts w:ascii="宋体" w:hAnsi="宋体" w:eastAsia="宋体"/>
                <w:sz w:val="16"/>
              </w:rPr>
              <w:t>已对叶城县、泽普县、疏附县、疏勒、喀什市进行了3次水产养殖技术推广及服务指导，采购1套溶氧仪、1套盐度计、1套高精度测试仪等便携式仪器设备及相关办公用品，现场宣传《中华人民共和国农产品质量安全法》，《兽药管理条例》等水产品质量相关政策，</w:t>
            </w:r>
            <w:r>
              <w:rPr>
                <w:rFonts w:hint="eastAsia" w:ascii="宋体" w:hAnsi="宋体"/>
                <w:sz w:val="16"/>
                <w:lang w:eastAsia="zh-CN"/>
              </w:rPr>
              <w:t>还</w:t>
            </w:r>
            <w:r>
              <w:rPr>
                <w:rFonts w:ascii="宋体" w:hAnsi="宋体" w:eastAsia="宋体"/>
                <w:sz w:val="16"/>
              </w:rPr>
              <w:t>开具承诺达标合格证进行宣讲，累计发放《水产养殖用药明白纸2022年1、2号》、易检出药物清单（两张清单）300余张，水产养殖生产日记100余本，渔民养殖技术显著提高，养殖规范能力大幅度提升，2024年国家和自治区在喀什地区抽检水产品32批次，合格率100%。</w:t>
            </w:r>
          </w:p>
        </w:tc>
      </w:tr>
      <w:tr w14:paraId="554DC7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CDF5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9731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1A7F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FFDC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BCAB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5DC2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8D5D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63E9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A65F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2513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6A99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C307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D3F0C">
            <w:pPr>
              <w:jc w:val="center"/>
            </w:pPr>
            <w:r>
              <w:rPr>
                <w:rFonts w:ascii="宋体" w:hAnsi="宋体" w:eastAsia="宋体"/>
                <w:sz w:val="16"/>
              </w:rPr>
              <w:t>偏差原因分析及改进措施</w:t>
            </w:r>
          </w:p>
        </w:tc>
      </w:tr>
      <w:tr w14:paraId="747995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37FE2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F31A1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C4514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9A07B">
            <w:pPr>
              <w:jc w:val="center"/>
            </w:pPr>
            <w:r>
              <w:rPr>
                <w:rFonts w:ascii="宋体" w:hAnsi="宋体" w:eastAsia="宋体"/>
                <w:sz w:val="16"/>
              </w:rPr>
              <w:t>服务指导次数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11D46">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5CD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A83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569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7D3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32C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CF9C5">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18B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F7994">
            <w:pPr>
              <w:jc w:val="center"/>
            </w:pPr>
          </w:p>
        </w:tc>
      </w:tr>
      <w:tr w14:paraId="5EB8B6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E27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AF8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AEF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DF8D3">
            <w:pPr>
              <w:jc w:val="center"/>
            </w:pPr>
            <w:r>
              <w:rPr>
                <w:rFonts w:ascii="宋体" w:hAnsi="宋体" w:eastAsia="宋体"/>
                <w:sz w:val="16"/>
              </w:rPr>
              <w:t>服务指导县市个数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DDD58">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7B0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6B3AB">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8EC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B4B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43A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4BF7D">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95F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C70B4">
            <w:pPr>
              <w:jc w:val="center"/>
            </w:pPr>
          </w:p>
        </w:tc>
      </w:tr>
      <w:tr w14:paraId="44D699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038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F48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8A76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1D707">
            <w:pPr>
              <w:jc w:val="center"/>
            </w:pPr>
            <w:r>
              <w:rPr>
                <w:rFonts w:ascii="宋体" w:hAnsi="宋体" w:eastAsia="宋体"/>
                <w:sz w:val="16"/>
              </w:rPr>
              <w:t>服务指导覆盖率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E0F9F">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97B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DF87A">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838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5C0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D2D0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E6408">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2B0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007F1">
            <w:pPr>
              <w:jc w:val="center"/>
            </w:pPr>
          </w:p>
        </w:tc>
      </w:tr>
      <w:tr w14:paraId="4D5D89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9D70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41D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5B7F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627F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8559B">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C85E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157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A5E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C67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DE19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F5120">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7CA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59E3D">
            <w:pPr>
              <w:jc w:val="center"/>
            </w:pPr>
          </w:p>
        </w:tc>
      </w:tr>
      <w:tr w14:paraId="4F0969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BC5D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50057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C650B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8F319">
            <w:pPr>
              <w:jc w:val="center"/>
            </w:pPr>
            <w:r>
              <w:rPr>
                <w:rFonts w:ascii="宋体" w:hAnsi="宋体" w:eastAsia="宋体"/>
                <w:sz w:val="16"/>
              </w:rPr>
              <w:t>人员差旅费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E1E5F">
            <w:pPr>
              <w:jc w:val="center"/>
            </w:pPr>
            <w:r>
              <w:rPr>
                <w:rFonts w:ascii="宋体" w:hAnsi="宋体" w:eastAsia="宋体"/>
                <w:sz w:val="16"/>
              </w:rPr>
              <w:t>&lt;=6057元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BD0F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9AC4F">
            <w:pPr>
              <w:jc w:val="center"/>
            </w:pPr>
            <w:r>
              <w:rPr>
                <w:rFonts w:ascii="宋体" w:hAnsi="宋体" w:eastAsia="宋体"/>
                <w:sz w:val="16"/>
              </w:rPr>
              <w:t>=6134元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7F58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92C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473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8AC15">
            <w:pPr>
              <w:jc w:val="center"/>
            </w:pPr>
            <w:r>
              <w:rPr>
                <w:rFonts w:ascii="宋体" w:hAnsi="宋体" w:eastAsia="宋体"/>
                <w:sz w:val="16"/>
              </w:rPr>
              <w:t>=5939元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8321E">
            <w:pPr>
              <w:jc w:val="center"/>
            </w:pPr>
            <w:r>
              <w:rPr>
                <w:rFonts w:ascii="宋体" w:hAnsi="宋体" w:eastAsia="宋体"/>
                <w:sz w:val="16"/>
              </w:rPr>
              <w:t>4.76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EC8E9">
            <w:pPr>
              <w:jc w:val="center"/>
            </w:pPr>
            <w:r>
              <w:rPr>
                <w:rFonts w:ascii="宋体" w:hAnsi="宋体" w:eastAsia="宋体"/>
                <w:sz w:val="16"/>
              </w:rPr>
              <w:t>偏差原因：</w:t>
            </w:r>
            <w:r>
              <w:rPr>
                <w:rFonts w:hint="eastAsia" w:ascii="宋体" w:hAnsi="宋体"/>
                <w:sz w:val="16"/>
                <w:lang w:eastAsia="zh-CN"/>
              </w:rPr>
              <w:t>本部门</w:t>
            </w:r>
            <w:r>
              <w:rPr>
                <w:rFonts w:ascii="宋体" w:hAnsi="宋体" w:eastAsia="宋体"/>
                <w:sz w:val="16"/>
              </w:rPr>
              <w:t>出差人数较少，安排车辆有困难，因</w:t>
            </w:r>
            <w:r>
              <w:rPr>
                <w:rFonts w:hint="eastAsia" w:ascii="宋体" w:hAnsi="宋体"/>
                <w:sz w:val="16"/>
                <w:lang w:eastAsia="zh-CN"/>
              </w:rPr>
              <w:t>本部门</w:t>
            </w:r>
            <w:r>
              <w:rPr>
                <w:rFonts w:ascii="宋体" w:hAnsi="宋体" w:eastAsia="宋体"/>
                <w:sz w:val="16"/>
              </w:rPr>
              <w:t>下去调研和技术指导服务时，只能</w:t>
            </w:r>
            <w:r>
              <w:rPr>
                <w:rFonts w:hint="eastAsia" w:ascii="宋体" w:hAnsi="宋体"/>
                <w:sz w:val="16"/>
                <w:lang w:eastAsia="zh-CN"/>
              </w:rPr>
              <w:t>用本部门</w:t>
            </w:r>
            <w:r>
              <w:rPr>
                <w:rFonts w:ascii="宋体" w:hAnsi="宋体" w:eastAsia="宋体"/>
                <w:sz w:val="16"/>
              </w:rPr>
              <w:t>自有公车，</w:t>
            </w:r>
            <w:r>
              <w:rPr>
                <w:rFonts w:hint="eastAsia" w:ascii="宋体" w:hAnsi="宋体"/>
                <w:sz w:val="16"/>
                <w:lang w:eastAsia="zh-CN"/>
              </w:rPr>
              <w:t>本部门</w:t>
            </w:r>
            <w:r>
              <w:rPr>
                <w:rFonts w:ascii="宋体" w:hAnsi="宋体" w:eastAsia="宋体"/>
                <w:sz w:val="16"/>
              </w:rPr>
              <w:t>公车车龄较老，成本较高。改进措施：提前谋划，加强跟上下级单位沟通交流，重点关注成本控制和效率提高并调整团队结构。</w:t>
            </w:r>
          </w:p>
        </w:tc>
      </w:tr>
      <w:tr w14:paraId="5F2858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D65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DEE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56A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91BF3">
            <w:pPr>
              <w:jc w:val="center"/>
            </w:pPr>
            <w:r>
              <w:rPr>
                <w:rFonts w:ascii="宋体" w:hAnsi="宋体" w:eastAsia="宋体"/>
                <w:sz w:val="16"/>
              </w:rPr>
              <w:t>印刷费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87D25">
            <w:pPr>
              <w:jc w:val="center"/>
            </w:pPr>
            <w:r>
              <w:rPr>
                <w:rFonts w:ascii="宋体" w:hAnsi="宋体" w:eastAsia="宋体"/>
                <w:sz w:val="16"/>
              </w:rPr>
              <w:t>&lt;=1500.37元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D764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BCE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F7C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B1D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5069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48DC2">
            <w:pPr>
              <w:jc w:val="center"/>
            </w:pPr>
            <w:r>
              <w:rPr>
                <w:rFonts w:ascii="宋体" w:hAnsi="宋体" w:eastAsia="宋体"/>
                <w:sz w:val="16"/>
              </w:rPr>
              <w:t>=1500.37元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F30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37DA7">
            <w:pPr>
              <w:jc w:val="center"/>
            </w:pPr>
          </w:p>
        </w:tc>
      </w:tr>
      <w:tr w14:paraId="3FDA19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75D0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36C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0460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4363C">
            <w:pPr>
              <w:jc w:val="center"/>
            </w:pPr>
            <w:r>
              <w:rPr>
                <w:rFonts w:ascii="宋体" w:hAnsi="宋体" w:eastAsia="宋体"/>
                <w:sz w:val="16"/>
              </w:rPr>
              <w:t>其他商品和服务支出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5BE70">
            <w:pPr>
              <w:jc w:val="center"/>
            </w:pPr>
            <w:r>
              <w:rPr>
                <w:rFonts w:ascii="宋体" w:hAnsi="宋体" w:eastAsia="宋体"/>
                <w:sz w:val="16"/>
              </w:rPr>
              <w:t>&lt;=3000元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2F1F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19B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F0D6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D01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08F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B2E6A">
            <w:pPr>
              <w:jc w:val="center"/>
            </w:pPr>
            <w:r>
              <w:rPr>
                <w:rFonts w:ascii="宋体" w:hAnsi="宋体" w:eastAsia="宋体"/>
                <w:sz w:val="16"/>
              </w:rPr>
              <w:t>=3000元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5931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CA3ED">
            <w:pPr>
              <w:jc w:val="center"/>
            </w:pPr>
          </w:p>
        </w:tc>
      </w:tr>
      <w:tr w14:paraId="5F73D9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45B1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B36FD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19141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986DA">
            <w:pPr>
              <w:jc w:val="center"/>
            </w:pPr>
            <w:r>
              <w:rPr>
                <w:rFonts w:ascii="宋体" w:hAnsi="宋体" w:eastAsia="宋体"/>
                <w:sz w:val="16"/>
              </w:rPr>
              <w:t>提升渔民养殖技术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A7AD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BDC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DCC9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FD501">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69BE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EE04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8DF5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DE22A">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5E014">
            <w:pPr>
              <w:jc w:val="center"/>
            </w:pPr>
          </w:p>
        </w:tc>
      </w:tr>
      <w:tr w14:paraId="23594D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BC8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726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CCA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830E5">
            <w:pPr>
              <w:jc w:val="center"/>
            </w:pPr>
            <w:r>
              <w:rPr>
                <w:rFonts w:ascii="宋体" w:hAnsi="宋体" w:eastAsia="宋体"/>
                <w:sz w:val="16"/>
              </w:rPr>
              <w:t>提升渔业规范生产能力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4A0A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9E7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5ABF3">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C124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49D9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F9B0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F0D6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3EAD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41C55">
            <w:pPr>
              <w:jc w:val="center"/>
            </w:pPr>
          </w:p>
        </w:tc>
      </w:tr>
      <w:tr w14:paraId="3E6ECE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6BEF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9BDA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BAFB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80CBE">
            <w:pPr>
              <w:jc w:val="center"/>
            </w:pPr>
            <w:r>
              <w:rPr>
                <w:rFonts w:ascii="宋体" w:hAnsi="宋体" w:eastAsia="宋体"/>
                <w:sz w:val="16"/>
              </w:rPr>
              <w:t>渔民满意度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BBBC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BB8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ED10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94D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B3D3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4D9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BA7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95D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6815C">
            <w:pPr>
              <w:jc w:val="center"/>
            </w:pPr>
            <w:r>
              <w:rPr>
                <w:rFonts w:ascii="宋体" w:hAnsi="宋体" w:eastAsia="宋体"/>
                <w:sz w:val="16"/>
              </w:rPr>
              <w:t>偏差原因：指导工作完成好，渔民满意度高</w:t>
            </w:r>
          </w:p>
        </w:tc>
      </w:tr>
      <w:tr w14:paraId="05799AA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D425C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50C5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46A67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374B6">
            <w:pPr>
              <w:jc w:val="center"/>
            </w:pPr>
            <w:r>
              <w:rPr>
                <w:rFonts w:ascii="宋体" w:hAnsi="宋体" w:eastAsia="宋体"/>
                <w:sz w:val="16"/>
              </w:rPr>
              <w:t>99.76分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1E724DA"/>
        </w:tc>
      </w:tr>
    </w:tbl>
    <w:p w14:paraId="5E61DF74">
      <w:r>
        <w:br w:type="page"/>
      </w:r>
    </w:p>
    <w:p w14:paraId="15C7EE99">
      <w:pPr>
        <w:spacing w:line="640" w:lineRule="exact"/>
        <w:ind w:firstLine="640"/>
        <w:jc w:val="both"/>
        <w:outlineLvl w:val="2"/>
      </w:pPr>
      <w:r>
        <w:rPr>
          <w:rFonts w:ascii="黑体" w:hAnsi="黑体" w:eastAsia="黑体"/>
          <w:sz w:val="32"/>
        </w:rPr>
        <w:t>十二、其他需说明的事项</w:t>
      </w:r>
    </w:p>
    <w:p w14:paraId="23AF20C8">
      <w:pPr>
        <w:spacing w:line="580" w:lineRule="exact"/>
        <w:ind w:firstLine="640"/>
        <w:jc w:val="both"/>
      </w:pPr>
      <w:r>
        <w:rPr>
          <w:rFonts w:ascii="仿宋_GB2312" w:hAnsi="仿宋_GB2312" w:eastAsia="仿宋_GB2312"/>
          <w:b w:val="0"/>
          <w:sz w:val="32"/>
        </w:rPr>
        <w:t>本部门无其他需说明的事项。</w:t>
      </w:r>
    </w:p>
    <w:p w14:paraId="6C92F3DC">
      <w:r>
        <w:br w:type="page"/>
      </w:r>
    </w:p>
    <w:p w14:paraId="79B95DF9">
      <w:pPr>
        <w:spacing w:line="240" w:lineRule="auto"/>
        <w:jc w:val="center"/>
        <w:outlineLvl w:val="1"/>
      </w:pPr>
      <w:r>
        <w:rPr>
          <w:rFonts w:ascii="黑体" w:hAnsi="黑体" w:eastAsia="黑体"/>
          <w:sz w:val="32"/>
        </w:rPr>
        <w:t>第三部分 专业名词解释</w:t>
      </w:r>
    </w:p>
    <w:p w14:paraId="5732AF9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E9CE09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3BB606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54CB12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555AF0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602AAE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0264DF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EC8C85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C1714B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F1C37B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81D454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885BDB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C6720B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3E47E2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9CE9316">
      <w:r>
        <w:br w:type="page"/>
      </w:r>
    </w:p>
    <w:p w14:paraId="470F798D">
      <w:pPr>
        <w:spacing w:line="240" w:lineRule="auto"/>
        <w:jc w:val="center"/>
        <w:outlineLvl w:val="1"/>
      </w:pPr>
      <w:r>
        <w:rPr>
          <w:rFonts w:ascii="黑体" w:hAnsi="黑体" w:eastAsia="黑体"/>
          <w:sz w:val="32"/>
        </w:rPr>
        <w:t>第四部分 部门决算报表（见附表）</w:t>
      </w:r>
    </w:p>
    <w:p w14:paraId="7DEFE58B">
      <w:pPr>
        <w:spacing w:line="240" w:lineRule="auto"/>
        <w:ind w:firstLine="640"/>
        <w:jc w:val="both"/>
      </w:pPr>
      <w:r>
        <w:rPr>
          <w:rFonts w:ascii="仿宋_GB2312" w:hAnsi="仿宋_GB2312" w:eastAsia="仿宋_GB2312"/>
          <w:b w:val="0"/>
          <w:sz w:val="32"/>
        </w:rPr>
        <w:t>一、《收入支出决算总表》</w:t>
      </w:r>
    </w:p>
    <w:p w14:paraId="21A20643">
      <w:pPr>
        <w:spacing w:line="240" w:lineRule="auto"/>
        <w:ind w:firstLine="640"/>
        <w:jc w:val="both"/>
      </w:pPr>
      <w:r>
        <w:rPr>
          <w:rFonts w:ascii="仿宋_GB2312" w:hAnsi="仿宋_GB2312" w:eastAsia="仿宋_GB2312"/>
          <w:b w:val="0"/>
          <w:sz w:val="32"/>
        </w:rPr>
        <w:t>二、《收入决算表》</w:t>
      </w:r>
    </w:p>
    <w:p w14:paraId="6F611DF0">
      <w:pPr>
        <w:spacing w:line="240" w:lineRule="auto"/>
        <w:ind w:firstLine="640"/>
        <w:jc w:val="both"/>
      </w:pPr>
      <w:r>
        <w:rPr>
          <w:rFonts w:ascii="仿宋_GB2312" w:hAnsi="仿宋_GB2312" w:eastAsia="仿宋_GB2312"/>
          <w:b w:val="0"/>
          <w:sz w:val="32"/>
        </w:rPr>
        <w:t>三、《支出决算表》</w:t>
      </w:r>
    </w:p>
    <w:p w14:paraId="52F1F5D5">
      <w:pPr>
        <w:spacing w:line="240" w:lineRule="auto"/>
        <w:ind w:firstLine="640"/>
        <w:jc w:val="both"/>
      </w:pPr>
      <w:r>
        <w:rPr>
          <w:rFonts w:ascii="仿宋_GB2312" w:hAnsi="仿宋_GB2312" w:eastAsia="仿宋_GB2312"/>
          <w:b w:val="0"/>
          <w:sz w:val="32"/>
        </w:rPr>
        <w:t>四、《财政拨款收入支出决算总表》</w:t>
      </w:r>
    </w:p>
    <w:p w14:paraId="52CD6CE1">
      <w:pPr>
        <w:spacing w:line="240" w:lineRule="auto"/>
        <w:ind w:firstLine="640"/>
        <w:jc w:val="both"/>
      </w:pPr>
      <w:r>
        <w:rPr>
          <w:rFonts w:ascii="仿宋_GB2312" w:hAnsi="仿宋_GB2312" w:eastAsia="仿宋_GB2312"/>
          <w:b w:val="0"/>
          <w:sz w:val="32"/>
        </w:rPr>
        <w:t>五、《一般公共预算财政拨款支出决算表》</w:t>
      </w:r>
    </w:p>
    <w:p w14:paraId="2CC44AB1">
      <w:pPr>
        <w:spacing w:line="240" w:lineRule="auto"/>
        <w:ind w:firstLine="640"/>
        <w:jc w:val="both"/>
      </w:pPr>
      <w:r>
        <w:rPr>
          <w:rFonts w:ascii="仿宋_GB2312" w:hAnsi="仿宋_GB2312" w:eastAsia="仿宋_GB2312"/>
          <w:b w:val="0"/>
          <w:sz w:val="32"/>
        </w:rPr>
        <w:t>六、《一般公共预算财政拨款基本支出决算表》</w:t>
      </w:r>
    </w:p>
    <w:p w14:paraId="67195F4A">
      <w:pPr>
        <w:spacing w:line="240" w:lineRule="auto"/>
        <w:ind w:firstLine="640"/>
        <w:jc w:val="both"/>
      </w:pPr>
      <w:r>
        <w:rPr>
          <w:rFonts w:ascii="仿宋_GB2312" w:hAnsi="仿宋_GB2312" w:eastAsia="仿宋_GB2312"/>
          <w:b w:val="0"/>
          <w:sz w:val="32"/>
        </w:rPr>
        <w:t>七、《政府性基金预算财政拨款收入支出决算表》</w:t>
      </w:r>
    </w:p>
    <w:p w14:paraId="59615124">
      <w:pPr>
        <w:spacing w:line="240" w:lineRule="auto"/>
        <w:ind w:firstLine="640"/>
        <w:jc w:val="both"/>
      </w:pPr>
      <w:r>
        <w:rPr>
          <w:rFonts w:ascii="仿宋_GB2312" w:hAnsi="仿宋_GB2312" w:eastAsia="仿宋_GB2312"/>
          <w:b w:val="0"/>
          <w:sz w:val="32"/>
        </w:rPr>
        <w:t>八、《国有资本经营预算财政拨款收入支出决算表》</w:t>
      </w:r>
    </w:p>
    <w:p w14:paraId="29176763">
      <w:pPr>
        <w:spacing w:line="240" w:lineRule="auto"/>
        <w:ind w:firstLine="640"/>
        <w:jc w:val="both"/>
      </w:pPr>
      <w:r>
        <w:rPr>
          <w:rFonts w:ascii="仿宋_GB2312" w:hAnsi="仿宋_GB2312" w:eastAsia="仿宋_GB2312"/>
          <w:b w:val="0"/>
          <w:sz w:val="32"/>
        </w:rPr>
        <w:t>九、《财政拨款“三公”经费支出决算表》</w:t>
      </w:r>
    </w:p>
    <w:p w14:paraId="671D70C5">
      <w:pPr>
        <w:spacing w:line="240" w:lineRule="auto"/>
        <w:ind w:firstLine="640"/>
        <w:jc w:val="both"/>
      </w:pPr>
    </w:p>
    <w:p w14:paraId="6F8BC409">
      <w:pPr>
        <w:spacing w:line="240" w:lineRule="auto"/>
        <w:ind w:firstLine="640"/>
        <w:jc w:val="both"/>
      </w:pPr>
    </w:p>
    <w:p w14:paraId="1E6A7242">
      <w:pPr>
        <w:spacing w:line="240" w:lineRule="auto"/>
        <w:ind w:firstLine="640"/>
        <w:jc w:val="both"/>
      </w:pPr>
    </w:p>
    <w:p w14:paraId="2B6ABAC3">
      <w:pPr>
        <w:spacing w:line="240" w:lineRule="auto"/>
        <w:ind w:firstLine="640"/>
        <w:jc w:val="both"/>
      </w:pPr>
    </w:p>
    <w:p w14:paraId="73F6517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BA30BF7-36BC-4E71-A047-4561022959A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8C5A22C1-0EE3-494F-9F92-5288776B6439}"/>
  </w:font>
  <w:font w:name="方正小标宋_GBK">
    <w:panose1 w:val="02000000000000000000"/>
    <w:charset w:val="86"/>
    <w:family w:val="script"/>
    <w:pitch w:val="default"/>
    <w:sig w:usb0="A00002BF" w:usb1="38CF7CFA" w:usb2="00082016" w:usb3="00000000" w:csb0="00040001" w:csb1="00000000"/>
    <w:embedRegular r:id="rId3" w:fontKey="{E30E8E00-F318-47BA-8CE0-58117EDD589C}"/>
  </w:font>
  <w:font w:name="楷体_GB2312">
    <w:panose1 w:val="02010609030101010101"/>
    <w:charset w:val="86"/>
    <w:family w:val="auto"/>
    <w:pitch w:val="default"/>
    <w:sig w:usb0="00000001" w:usb1="080E0000" w:usb2="00000000" w:usb3="00000000" w:csb0="00040000" w:csb1="00000000"/>
    <w:embedRegular r:id="rId4" w:fontKey="{A18AE210-AC98-4708-928A-1D21DA4299D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2D33D92"/>
    <w:rsid w:val="19071D6C"/>
    <w:rsid w:val="19B5554D"/>
    <w:rsid w:val="1B8F2D19"/>
    <w:rsid w:val="1C317E4F"/>
    <w:rsid w:val="1C472464"/>
    <w:rsid w:val="1CBF2F7B"/>
    <w:rsid w:val="1DAF458D"/>
    <w:rsid w:val="1E086ACE"/>
    <w:rsid w:val="1E4B5CA5"/>
    <w:rsid w:val="1EAA4A5F"/>
    <w:rsid w:val="1EDB67F0"/>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5974</Words>
  <Characters>6785</Characters>
  <Lines>0</Lines>
  <Paragraphs>0</Paragraphs>
  <TotalTime>3</TotalTime>
  <ScaleCrop>false</ScaleCrop>
  <LinksUpToDate>false</LinksUpToDate>
  <CharactersWithSpaces>6794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