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喀什地区畜牧工作站2024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96196E0">
      <w:r>
        <w:br w:type="page"/>
      </w:r>
    </w:p>
    <w:p w14:paraId="3C49F0FE">
      <w:pPr>
        <w:spacing w:line="640" w:lineRule="exact"/>
        <w:jc w:val="center"/>
        <w:outlineLvl w:val="1"/>
      </w:pPr>
      <w:r>
        <w:rPr>
          <w:rFonts w:ascii="黑体" w:hAnsi="黑体" w:eastAsia="黑体"/>
          <w:sz w:val="32"/>
        </w:rPr>
        <w:t>第一部分 部门概况</w:t>
      </w:r>
    </w:p>
    <w:p w14:paraId="31B5E7AD">
      <w:pPr>
        <w:spacing w:line="640" w:lineRule="exact"/>
        <w:ind w:firstLine="640"/>
        <w:jc w:val="both"/>
        <w:outlineLvl w:val="2"/>
      </w:pPr>
      <w:r>
        <w:rPr>
          <w:rFonts w:ascii="黑体" w:hAnsi="黑体" w:eastAsia="黑体"/>
          <w:sz w:val="32"/>
        </w:rPr>
        <w:t>一、主要职能</w:t>
      </w:r>
    </w:p>
    <w:p w14:paraId="6F9D884B">
      <w:pPr>
        <w:spacing w:line="580" w:lineRule="exact"/>
        <w:ind w:firstLine="640"/>
        <w:jc w:val="both"/>
      </w:pPr>
      <w:r>
        <w:rPr>
          <w:rFonts w:ascii="仿宋_GB2312" w:hAnsi="仿宋_GB2312" w:eastAsia="仿宋_GB2312"/>
          <w:sz w:val="32"/>
        </w:rPr>
        <w:t>1.负责全区畜禽品种改良、畜牧技术推广和技术服务，畜禽遗传资源保护、种畜禽生产、良种推广、规模化养殖、备案管理、标准化生产、技术支撑、政策调研和信息平台</w:t>
      </w:r>
      <w:r>
        <w:rPr>
          <w:rFonts w:hint="eastAsia" w:ascii="仿宋_GB2312" w:hAnsi="仿宋_GB2312" w:eastAsia="仿宋_GB2312"/>
          <w:sz w:val="32"/>
          <w:lang w:eastAsia="zh-CN"/>
        </w:rPr>
        <w:t>建设等</w:t>
      </w:r>
      <w:r>
        <w:rPr>
          <w:rFonts w:ascii="仿宋_GB2312" w:hAnsi="仿宋_GB2312" w:eastAsia="仿宋_GB2312"/>
          <w:sz w:val="32"/>
        </w:rPr>
        <w:t>。</w:t>
      </w:r>
    </w:p>
    <w:p w14:paraId="4BD7A6E6">
      <w:pPr>
        <w:spacing w:line="580" w:lineRule="exact"/>
        <w:ind w:firstLine="640"/>
        <w:jc w:val="both"/>
      </w:pPr>
      <w:r>
        <w:rPr>
          <w:rFonts w:ascii="仿宋_GB2312" w:hAnsi="仿宋_GB2312" w:eastAsia="仿宋_GB2312"/>
          <w:sz w:val="32"/>
        </w:rPr>
        <w:t>2.组织技术培训，开展技术咨询工作，传授普及科学知识。</w:t>
      </w:r>
    </w:p>
    <w:p w14:paraId="320707F9">
      <w:pPr>
        <w:spacing w:line="580" w:lineRule="exact"/>
        <w:ind w:firstLine="640"/>
        <w:jc w:val="both"/>
      </w:pPr>
      <w:r>
        <w:rPr>
          <w:rFonts w:ascii="仿宋_GB2312" w:hAnsi="仿宋_GB2312" w:eastAsia="仿宋_GB2312"/>
          <w:sz w:val="32"/>
        </w:rPr>
        <w:t>3.生产和供应黄牛、绵羊改良使用的液氮、冻精、解冻液及冷配器械。</w:t>
      </w:r>
    </w:p>
    <w:p w14:paraId="4C61BF83">
      <w:pPr>
        <w:spacing w:line="640" w:lineRule="exact"/>
        <w:ind w:firstLine="640"/>
        <w:jc w:val="both"/>
        <w:outlineLvl w:val="2"/>
      </w:pPr>
      <w:r>
        <w:rPr>
          <w:rFonts w:ascii="黑体" w:hAnsi="黑体" w:eastAsia="黑体"/>
          <w:sz w:val="32"/>
        </w:rPr>
        <w:t>二、机构设置及人员情况</w:t>
      </w:r>
    </w:p>
    <w:p w14:paraId="72257595">
      <w:pPr>
        <w:spacing w:line="580" w:lineRule="exact"/>
        <w:ind w:firstLine="640"/>
        <w:jc w:val="both"/>
      </w:pPr>
      <w:r>
        <w:rPr>
          <w:rFonts w:ascii="仿宋_GB2312" w:hAnsi="仿宋_GB2312" w:eastAsia="仿宋_GB2312"/>
          <w:sz w:val="32"/>
        </w:rPr>
        <w:t>喀什地区畜牧工作站2024年度，实有人数65人，其中：在职人员36人，增加1人；离休人员0人，增加0人；退休人员29人,增加1人。</w:t>
      </w:r>
    </w:p>
    <w:p w14:paraId="769A8ADD">
      <w:pPr>
        <w:spacing w:line="580" w:lineRule="exact"/>
        <w:ind w:firstLine="640"/>
        <w:jc w:val="both"/>
      </w:pPr>
      <w:r>
        <w:rPr>
          <w:rFonts w:ascii="仿宋_GB2312" w:hAnsi="仿宋_GB2312" w:eastAsia="仿宋_GB2312"/>
          <w:sz w:val="32"/>
        </w:rPr>
        <w:t>喀什地区畜牧工作站无下属预算单位，下设7个科室，分别是：办公室、大畜繁育科、小畜繁育科、家禽产业科、种畜禽监管科、产业体系科、生产供应科。</w:t>
      </w:r>
    </w:p>
    <w:p w14:paraId="67306E3A">
      <w:r>
        <w:br w:type="page"/>
      </w:r>
    </w:p>
    <w:p w14:paraId="659B79E9">
      <w:pPr>
        <w:spacing w:line="240" w:lineRule="auto"/>
        <w:jc w:val="center"/>
        <w:outlineLvl w:val="1"/>
      </w:pPr>
      <w:r>
        <w:rPr>
          <w:rFonts w:ascii="黑体" w:hAnsi="黑体" w:eastAsia="黑体"/>
          <w:sz w:val="32"/>
        </w:rPr>
        <w:t>第二部分 部门决算情况说明</w:t>
      </w:r>
    </w:p>
    <w:p w14:paraId="3D04E5AA">
      <w:pPr>
        <w:spacing w:line="640" w:lineRule="exact"/>
        <w:ind w:firstLine="640"/>
        <w:jc w:val="both"/>
        <w:outlineLvl w:val="2"/>
      </w:pPr>
      <w:r>
        <w:rPr>
          <w:rFonts w:ascii="黑体" w:hAnsi="黑体" w:eastAsia="黑体"/>
          <w:sz w:val="32"/>
        </w:rPr>
        <w:t>一、收入支出决算总体情况说明</w:t>
      </w:r>
    </w:p>
    <w:p w14:paraId="143A9131">
      <w:pPr>
        <w:spacing w:line="580" w:lineRule="exact"/>
        <w:ind w:firstLine="640"/>
        <w:jc w:val="both"/>
      </w:pPr>
      <w:r>
        <w:rPr>
          <w:rFonts w:ascii="仿宋_GB2312" w:hAnsi="仿宋_GB2312" w:eastAsia="仿宋_GB2312"/>
          <w:b/>
          <w:sz w:val="32"/>
        </w:rPr>
        <w:t>2024年度收入总计1,041.63万元，</w:t>
      </w:r>
      <w:r>
        <w:rPr>
          <w:rFonts w:ascii="仿宋_GB2312" w:hAnsi="仿宋_GB2312" w:eastAsia="仿宋_GB2312"/>
          <w:b w:val="0"/>
          <w:sz w:val="32"/>
        </w:rPr>
        <w:t>其中：本年收入合计1,041.63万元，使用非财政拨款结余（含专用结余）0.00万元，年初结转和结余0.00万元。</w:t>
      </w:r>
    </w:p>
    <w:p w14:paraId="06B696A9">
      <w:pPr>
        <w:spacing w:line="580" w:lineRule="exact"/>
        <w:ind w:firstLine="640"/>
        <w:jc w:val="both"/>
      </w:pPr>
      <w:r>
        <w:rPr>
          <w:rFonts w:ascii="仿宋_GB2312" w:hAnsi="仿宋_GB2312" w:eastAsia="仿宋_GB2312"/>
          <w:b/>
          <w:sz w:val="32"/>
        </w:rPr>
        <w:t>2024年度支出总计1,041.63万元，</w:t>
      </w:r>
      <w:r>
        <w:rPr>
          <w:rFonts w:ascii="仿宋_GB2312" w:hAnsi="仿宋_GB2312" w:eastAsia="仿宋_GB2312"/>
          <w:b w:val="0"/>
          <w:sz w:val="32"/>
        </w:rPr>
        <w:t>其中：本年支出合计1,041.63万元，结余分配0.00万元，年末结转和结余0.00万元。</w:t>
      </w:r>
    </w:p>
    <w:p w14:paraId="1C6940A0">
      <w:pPr>
        <w:spacing w:line="580" w:lineRule="exact"/>
        <w:ind w:firstLine="640"/>
        <w:jc w:val="both"/>
      </w:pPr>
      <w:r>
        <w:rPr>
          <w:rFonts w:ascii="仿宋_GB2312" w:hAnsi="仿宋_GB2312" w:eastAsia="仿宋_GB2312"/>
          <w:b w:val="0"/>
          <w:sz w:val="32"/>
        </w:rPr>
        <w:t>收入支出总体与上年相比，增加53.40万元，增长5.40%，主要原因是：1.本年增加专项工作经费，活动经费支出增加。2.本年增加产业集群项目（喀什地区羊肉区域公共品牌创建）、新疆人才发展基金2024年度第一轮支持（产业技术创新团队支持计划）项目、液氮供应保障项目。</w:t>
      </w:r>
    </w:p>
    <w:p w14:paraId="00510649">
      <w:pPr>
        <w:spacing w:line="640" w:lineRule="exact"/>
        <w:ind w:firstLine="640"/>
        <w:jc w:val="both"/>
        <w:outlineLvl w:val="2"/>
      </w:pPr>
      <w:r>
        <w:rPr>
          <w:rFonts w:ascii="黑体" w:hAnsi="黑体" w:eastAsia="黑体"/>
          <w:sz w:val="32"/>
        </w:rPr>
        <w:t>二、收入决算情况说明</w:t>
      </w:r>
    </w:p>
    <w:p w14:paraId="15F568B4">
      <w:pPr>
        <w:spacing w:line="580" w:lineRule="exact"/>
        <w:ind w:firstLine="640"/>
        <w:jc w:val="both"/>
      </w:pPr>
      <w:r>
        <w:rPr>
          <w:rFonts w:ascii="仿宋_GB2312" w:hAnsi="仿宋_GB2312" w:eastAsia="仿宋_GB2312"/>
          <w:b/>
          <w:sz w:val="32"/>
        </w:rPr>
        <w:t>本年收入1,041.63万元，</w:t>
      </w:r>
      <w:r>
        <w:rPr>
          <w:rFonts w:ascii="仿宋_GB2312" w:hAnsi="仿宋_GB2312" w:eastAsia="仿宋_GB2312"/>
          <w:b w:val="0"/>
          <w:sz w:val="32"/>
        </w:rPr>
        <w:t>其中：财政拨款收入991.63万元，占95.20%；上级补助收入0.00万元，占0.00%；事业收入50.00万元，占4.80%；经营收入0.00万元，占0.00%；附属单位上缴收入0.00万元，占0.00%；其他收入0.00万元，占0.00%。</w:t>
      </w:r>
    </w:p>
    <w:p w14:paraId="1DA8DF89">
      <w:pPr>
        <w:spacing w:line="640" w:lineRule="exact"/>
        <w:ind w:firstLine="640"/>
        <w:jc w:val="both"/>
        <w:outlineLvl w:val="2"/>
      </w:pPr>
      <w:r>
        <w:rPr>
          <w:rFonts w:ascii="黑体" w:hAnsi="黑体" w:eastAsia="黑体"/>
          <w:sz w:val="32"/>
        </w:rPr>
        <w:t>三、支出决算情况说明</w:t>
      </w:r>
    </w:p>
    <w:p w14:paraId="1C660447">
      <w:pPr>
        <w:spacing w:line="580" w:lineRule="exact"/>
        <w:ind w:firstLine="640"/>
        <w:jc w:val="both"/>
      </w:pPr>
      <w:r>
        <w:rPr>
          <w:rFonts w:ascii="仿宋_GB2312" w:hAnsi="仿宋_GB2312" w:eastAsia="仿宋_GB2312"/>
          <w:b/>
          <w:sz w:val="32"/>
        </w:rPr>
        <w:t>本年支出1,041.63万元，</w:t>
      </w:r>
      <w:r>
        <w:rPr>
          <w:rFonts w:ascii="仿宋_GB2312" w:hAnsi="仿宋_GB2312" w:eastAsia="仿宋_GB2312"/>
          <w:b w:val="0"/>
          <w:sz w:val="32"/>
        </w:rPr>
        <w:t>其中：基本支出829.90万元，占79.67%；项目支出211.74万元，占20.33%；上缴上级支出0.00万元，占0.00%；经营支出0.00万元，占0.00%；对附属单位补助支出0.00万元，占0.00%。</w:t>
      </w:r>
    </w:p>
    <w:p w14:paraId="0A16EF21">
      <w:pPr>
        <w:spacing w:line="640" w:lineRule="exact"/>
        <w:ind w:firstLine="640"/>
        <w:jc w:val="both"/>
        <w:outlineLvl w:val="2"/>
      </w:pPr>
      <w:r>
        <w:rPr>
          <w:rFonts w:ascii="黑体" w:hAnsi="黑体" w:eastAsia="黑体"/>
          <w:sz w:val="32"/>
        </w:rPr>
        <w:t>四、财政拨款收入支出决算总体情况说明</w:t>
      </w:r>
    </w:p>
    <w:p w14:paraId="163D1A03">
      <w:pPr>
        <w:spacing w:line="580" w:lineRule="exact"/>
        <w:ind w:firstLine="640"/>
        <w:jc w:val="both"/>
      </w:pPr>
      <w:r>
        <w:rPr>
          <w:rFonts w:ascii="仿宋_GB2312" w:hAnsi="仿宋_GB2312" w:eastAsia="仿宋_GB2312"/>
          <w:b/>
          <w:sz w:val="32"/>
        </w:rPr>
        <w:t>2024年度财政拨款收入总计991.63万元，</w:t>
      </w:r>
      <w:r>
        <w:rPr>
          <w:rFonts w:ascii="仿宋_GB2312" w:hAnsi="仿宋_GB2312" w:eastAsia="仿宋_GB2312"/>
          <w:b w:val="0"/>
          <w:sz w:val="32"/>
        </w:rPr>
        <w:t>其中：年初财政拨款结转和结余0.00万元，本年财政拨款收入991.63万元。</w:t>
      </w:r>
      <w:r>
        <w:rPr>
          <w:rFonts w:ascii="仿宋_GB2312" w:hAnsi="仿宋_GB2312" w:eastAsia="仿宋_GB2312"/>
          <w:b/>
          <w:sz w:val="32"/>
        </w:rPr>
        <w:t>财政拨款支出总计991.63万元，</w:t>
      </w:r>
      <w:r>
        <w:rPr>
          <w:rFonts w:ascii="仿宋_GB2312" w:hAnsi="仿宋_GB2312" w:eastAsia="仿宋_GB2312"/>
          <w:b w:val="0"/>
          <w:sz w:val="32"/>
        </w:rPr>
        <w:t>其中：年末财政拨款结转和结余0.00万元，本年财政拨款支出991.63万元。</w:t>
      </w:r>
    </w:p>
    <w:p w14:paraId="25D010B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48.31万元，增长5.12%，主要原因是：1.本年增加专项工作经费，活动经费支出增加。2.本年增加产业集群项目（喀什地区羊肉区域公共品牌创建）、新疆人才发展基金2024年度第一轮支持（产业技术创新团队支持计划）项目、液氮供应保障项目。</w:t>
      </w:r>
      <w:r>
        <w:rPr>
          <w:rFonts w:ascii="仿宋_GB2312" w:hAnsi="仿宋_GB2312" w:eastAsia="仿宋_GB2312"/>
          <w:b/>
          <w:sz w:val="32"/>
        </w:rPr>
        <w:t>与年初预算相比，</w:t>
      </w:r>
      <w:r>
        <w:rPr>
          <w:rFonts w:ascii="仿宋_GB2312" w:hAnsi="仿宋_GB2312" w:eastAsia="仿宋_GB2312"/>
          <w:b w:val="0"/>
          <w:sz w:val="32"/>
        </w:rPr>
        <w:t>年初预算数979.10万元，决算数991.63万元，预决算差异率1.28%，主要原因是：年中追加新疆人才发展基金2024年度第一轮支持（产业技术创新团队支持计划）项目，导致预决算存在差异。</w:t>
      </w:r>
    </w:p>
    <w:p w14:paraId="5070593B">
      <w:pPr>
        <w:spacing w:line="640" w:lineRule="exact"/>
        <w:ind w:firstLine="640"/>
        <w:jc w:val="both"/>
        <w:outlineLvl w:val="2"/>
      </w:pPr>
      <w:r>
        <w:rPr>
          <w:rFonts w:ascii="黑体" w:hAnsi="黑体" w:eastAsia="黑体"/>
          <w:sz w:val="32"/>
        </w:rPr>
        <w:t>五、一般公共预算财政拨款支出决算情况说明</w:t>
      </w:r>
    </w:p>
    <w:p w14:paraId="7D1CF5EB">
      <w:pPr>
        <w:spacing w:line="640" w:lineRule="exact"/>
        <w:ind w:firstLine="640"/>
        <w:jc w:val="both"/>
        <w:outlineLvl w:val="3"/>
      </w:pPr>
      <w:r>
        <w:rPr>
          <w:rFonts w:ascii="楷体_GB2312" w:hAnsi="楷体_GB2312" w:eastAsia="楷体_GB2312"/>
          <w:b/>
          <w:sz w:val="32"/>
        </w:rPr>
        <w:t>（一）一般公共预算财政拨款支出决算总体情况</w:t>
      </w:r>
    </w:p>
    <w:p w14:paraId="5D5F7218">
      <w:pPr>
        <w:spacing w:line="580" w:lineRule="exact"/>
        <w:ind w:firstLine="640"/>
        <w:jc w:val="both"/>
      </w:pPr>
      <w:r>
        <w:rPr>
          <w:rFonts w:ascii="仿宋_GB2312" w:hAnsi="仿宋_GB2312" w:eastAsia="仿宋_GB2312"/>
          <w:b/>
          <w:sz w:val="32"/>
        </w:rPr>
        <w:t>2024年度一般公共预算财政拨款支出991.63万元，</w:t>
      </w:r>
      <w:r>
        <w:rPr>
          <w:rFonts w:ascii="仿宋_GB2312" w:hAnsi="仿宋_GB2312" w:eastAsia="仿宋_GB2312"/>
          <w:b w:val="0"/>
          <w:sz w:val="32"/>
        </w:rPr>
        <w:t>占本年支出合计的95.20%。</w:t>
      </w:r>
      <w:r>
        <w:rPr>
          <w:rFonts w:ascii="仿宋_GB2312" w:hAnsi="仿宋_GB2312" w:eastAsia="仿宋_GB2312"/>
          <w:b/>
          <w:sz w:val="32"/>
        </w:rPr>
        <w:t>与上年相比，</w:t>
      </w:r>
      <w:r>
        <w:rPr>
          <w:rFonts w:ascii="仿宋_GB2312" w:hAnsi="仿宋_GB2312" w:eastAsia="仿宋_GB2312"/>
          <w:b w:val="0"/>
          <w:sz w:val="32"/>
        </w:rPr>
        <w:t>增加48.31万元，增长5.12%，主要原因是：1.本年增加专项工作经费，活动经费支出增加。2.本年增加产业集群项目（喀什地区羊肉区域公共品牌创建）、新疆人才发展基金2024年度第一轮支持（产业技术创新团队支持计划）项目、液氮供应保障项目。</w:t>
      </w:r>
      <w:r>
        <w:rPr>
          <w:rFonts w:ascii="仿宋_GB2312" w:hAnsi="仿宋_GB2312" w:eastAsia="仿宋_GB2312"/>
          <w:b/>
          <w:sz w:val="32"/>
        </w:rPr>
        <w:t>与年初预算相比,</w:t>
      </w:r>
      <w:r>
        <w:rPr>
          <w:rFonts w:ascii="仿宋_GB2312" w:hAnsi="仿宋_GB2312" w:eastAsia="仿宋_GB2312"/>
          <w:b w:val="0"/>
          <w:sz w:val="32"/>
        </w:rPr>
        <w:t>年初预算数979.10万元，决算数991.63万元，预决算差异率1.28%，主要原因是：年中追加新疆人才发展基金2024年度第一轮支持（产业技术创新团队支持计划）项目，导致预决算存在差异。</w:t>
      </w:r>
    </w:p>
    <w:p w14:paraId="1528DEC6">
      <w:pPr>
        <w:spacing w:line="640" w:lineRule="exact"/>
        <w:ind w:firstLine="640"/>
        <w:jc w:val="both"/>
        <w:outlineLvl w:val="3"/>
      </w:pPr>
      <w:r>
        <w:rPr>
          <w:rFonts w:ascii="楷体_GB2312" w:hAnsi="楷体_GB2312" w:eastAsia="楷体_GB2312"/>
          <w:b/>
          <w:sz w:val="32"/>
        </w:rPr>
        <w:t>（二）一般公共预算财政拨款支出决算结构情况</w:t>
      </w:r>
    </w:p>
    <w:p w14:paraId="58E1088B">
      <w:pPr>
        <w:spacing w:line="580" w:lineRule="exact"/>
        <w:ind w:firstLine="640"/>
        <w:jc w:val="both"/>
      </w:pPr>
      <w:r>
        <w:rPr>
          <w:rFonts w:ascii="仿宋_GB2312" w:hAnsi="仿宋_GB2312" w:eastAsia="仿宋_GB2312"/>
          <w:b w:val="0"/>
          <w:sz w:val="32"/>
        </w:rPr>
        <w:t>1.一般公共服务支出(类)2.20万元,占0.22%。</w:t>
      </w:r>
    </w:p>
    <w:p w14:paraId="7CD9D518">
      <w:pPr>
        <w:spacing w:line="580" w:lineRule="exact"/>
        <w:ind w:firstLine="640"/>
        <w:jc w:val="both"/>
      </w:pPr>
      <w:r>
        <w:rPr>
          <w:rFonts w:ascii="仿宋_GB2312" w:hAnsi="仿宋_GB2312" w:eastAsia="仿宋_GB2312"/>
          <w:b w:val="0"/>
          <w:sz w:val="32"/>
        </w:rPr>
        <w:t>2.社会保障和就业支出(类)134.00万元,占13.51%。</w:t>
      </w:r>
    </w:p>
    <w:p w14:paraId="0506119B">
      <w:pPr>
        <w:spacing w:line="580" w:lineRule="exact"/>
        <w:ind w:firstLine="640"/>
        <w:jc w:val="both"/>
      </w:pPr>
      <w:r>
        <w:rPr>
          <w:rFonts w:ascii="仿宋_GB2312" w:hAnsi="仿宋_GB2312" w:eastAsia="仿宋_GB2312"/>
          <w:b w:val="0"/>
          <w:sz w:val="32"/>
        </w:rPr>
        <w:t>3.卫生健康支出(类)31.54万元,占3.18%。</w:t>
      </w:r>
    </w:p>
    <w:p w14:paraId="7A67FE9D">
      <w:pPr>
        <w:spacing w:line="580" w:lineRule="exact"/>
        <w:ind w:firstLine="640"/>
        <w:jc w:val="both"/>
      </w:pPr>
      <w:r>
        <w:rPr>
          <w:rFonts w:ascii="仿宋_GB2312" w:hAnsi="仿宋_GB2312" w:eastAsia="仿宋_GB2312"/>
          <w:b w:val="0"/>
          <w:sz w:val="32"/>
        </w:rPr>
        <w:t>4.农林水支出(类)760.41万元,占76.68%。</w:t>
      </w:r>
    </w:p>
    <w:p w14:paraId="0CF4C92A">
      <w:pPr>
        <w:spacing w:line="580" w:lineRule="exact"/>
        <w:ind w:firstLine="640"/>
        <w:jc w:val="both"/>
      </w:pPr>
      <w:r>
        <w:rPr>
          <w:rFonts w:ascii="仿宋_GB2312" w:hAnsi="仿宋_GB2312" w:eastAsia="仿宋_GB2312"/>
          <w:b w:val="0"/>
          <w:sz w:val="32"/>
        </w:rPr>
        <w:t>5.住房保障支出(类)62.04万元,占6.26%。</w:t>
      </w:r>
    </w:p>
    <w:p w14:paraId="0E3B53CB">
      <w:pPr>
        <w:spacing w:line="580" w:lineRule="exact"/>
        <w:ind w:firstLine="640"/>
        <w:jc w:val="both"/>
      </w:pPr>
      <w:r>
        <w:rPr>
          <w:rFonts w:ascii="仿宋_GB2312" w:hAnsi="仿宋_GB2312" w:eastAsia="仿宋_GB2312"/>
          <w:b w:val="0"/>
          <w:sz w:val="32"/>
        </w:rPr>
        <w:t>6.其他支出(类)1.45万元,占0.15%。</w:t>
      </w:r>
    </w:p>
    <w:p w14:paraId="326B4227">
      <w:pPr>
        <w:spacing w:line="640" w:lineRule="exact"/>
        <w:ind w:firstLine="640"/>
        <w:jc w:val="both"/>
        <w:outlineLvl w:val="3"/>
      </w:pPr>
      <w:r>
        <w:rPr>
          <w:rFonts w:ascii="楷体_GB2312" w:hAnsi="楷体_GB2312" w:eastAsia="楷体_GB2312"/>
          <w:b/>
          <w:sz w:val="32"/>
        </w:rPr>
        <w:t>（三）一般公共预算财政拨款支出决算具体情况</w:t>
      </w:r>
    </w:p>
    <w:p w14:paraId="47F72C98">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1.一般公共服务支出(类)组织事务(款)其他组织事务支出(项):支出决算数为0.00万元，比上年决算减少0.85万元，下降100.00%,主要原因是：本年减少喀什地区科技成果转化运用示范项目，本年此科目支出较上年减少。</w:t>
      </w:r>
    </w:p>
    <w:p w14:paraId="5658D451">
      <w:pPr>
        <w:spacing w:line="580" w:lineRule="exact"/>
        <w:ind w:firstLine="640"/>
        <w:jc w:val="both"/>
      </w:pPr>
      <w:r>
        <w:rPr>
          <w:rFonts w:ascii="仿宋_GB2312" w:hAnsi="仿宋_GB2312" w:eastAsia="仿宋_GB2312"/>
          <w:b w:val="0"/>
          <w:sz w:val="32"/>
        </w:rPr>
        <w:t>2.一般公共服务支出(类)统战事务(款)宗教事务(项):支出决算数为2.20万元，比上年决算增加1.71万元，增长348.98%,主要原因是：本年专项工作经费标准提高，导致此科目经费增加。</w:t>
      </w:r>
    </w:p>
    <w:p w14:paraId="4464DAAA">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40.31万元，比上年决算增加11.66万元，增长40.70%,主要原因是：本年增加退休人员基础绩效奖，退休人员增加1人，退休干部活动费增加，退休费支出增加。</w:t>
      </w:r>
    </w:p>
    <w:p w14:paraId="6057ADAD">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72.55万元，比上年决算增加2.65万元，增长3.79%,主要原因是：本年在职人员工资基数调增，养老缴费基数上涨，相应支出增加。</w:t>
      </w:r>
    </w:p>
    <w:p w14:paraId="0D4BBCB0">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13.50万元，比上年决算减少6.12万元，下降31.19%,主要原因是：本年新增退休人员较上年减少，职业年金缴费较上年减少。</w:t>
      </w:r>
    </w:p>
    <w:p w14:paraId="69DCB100">
      <w:pPr>
        <w:spacing w:line="580" w:lineRule="exact"/>
        <w:ind w:firstLine="640"/>
        <w:jc w:val="both"/>
      </w:pPr>
      <w:r>
        <w:rPr>
          <w:rFonts w:ascii="仿宋_GB2312" w:hAnsi="仿宋_GB2312" w:eastAsia="仿宋_GB2312"/>
          <w:b w:val="0"/>
          <w:sz w:val="32"/>
        </w:rPr>
        <w:t>6.社会保障和就业支出(类)抚恤(款)死亡抚恤(项):支出决算数为7.64万元，比上年决算增加7.64万元，增长100.00%,主要原因是：本年新增死亡人员，死亡抚恤支出增加。</w:t>
      </w:r>
    </w:p>
    <w:p w14:paraId="35D9F063">
      <w:pPr>
        <w:spacing w:line="580" w:lineRule="exact"/>
        <w:ind w:firstLine="640"/>
        <w:jc w:val="both"/>
      </w:pPr>
      <w:r>
        <w:rPr>
          <w:rFonts w:ascii="仿宋_GB2312" w:hAnsi="仿宋_GB2312" w:eastAsia="仿宋_GB2312"/>
          <w:b w:val="0"/>
          <w:sz w:val="32"/>
        </w:rPr>
        <w:t>7.卫生健康支出(类)行政事业单位医疗(款)事业单位医疗(项):支出决算数为31.18万元，比上年决算增加1.17万元，增长3.90%,主要原因是：本年在职人员工资基数调增，医疗缴费基数上涨，相应支出增加。</w:t>
      </w:r>
    </w:p>
    <w:p w14:paraId="60BA62D7">
      <w:pPr>
        <w:spacing w:line="580" w:lineRule="exact"/>
        <w:ind w:firstLine="640"/>
        <w:jc w:val="both"/>
      </w:pPr>
      <w:r>
        <w:rPr>
          <w:rFonts w:ascii="仿宋_GB2312" w:hAnsi="仿宋_GB2312" w:eastAsia="仿宋_GB2312"/>
          <w:b w:val="0"/>
          <w:sz w:val="32"/>
        </w:rPr>
        <w:t>8.卫生健康支出(类)行政事业单位医疗(款)公务员医疗补助(项):支出决算数为0.36万元，比上年决算减少0.15万元，下降29.41%,主要原因是：本年正高职称在职人员退休减少，公务员医疗补助较上年减少。</w:t>
      </w:r>
    </w:p>
    <w:p w14:paraId="053F6C48">
      <w:pPr>
        <w:spacing w:line="580" w:lineRule="exact"/>
        <w:ind w:firstLine="640"/>
        <w:jc w:val="both"/>
      </w:pPr>
      <w:r>
        <w:rPr>
          <w:rFonts w:ascii="仿宋_GB2312" w:hAnsi="仿宋_GB2312" w:eastAsia="仿宋_GB2312"/>
          <w:b w:val="0"/>
          <w:sz w:val="32"/>
        </w:rPr>
        <w:t>9.农林水支出(类)农业农村(款)事业运行(项):支出决算数为600.13万元，比上年决算减少25.09万元，下降4.01%,主要原因是：本年在职人员增加，人员职级较低，工资基数低，导致人员经费较上年减少。</w:t>
      </w:r>
    </w:p>
    <w:p w14:paraId="38FD2A1B">
      <w:pPr>
        <w:spacing w:line="580" w:lineRule="exact"/>
        <w:ind w:firstLine="640"/>
        <w:jc w:val="both"/>
      </w:pPr>
      <w:r>
        <w:rPr>
          <w:rFonts w:ascii="仿宋_GB2312" w:hAnsi="仿宋_GB2312" w:eastAsia="仿宋_GB2312"/>
          <w:b w:val="0"/>
          <w:sz w:val="32"/>
        </w:rPr>
        <w:t>10.农林水支出(类)农业农村(款)科技转化与推广服务(项):支出决算数为28.40万元，比上年决算增加23.40万元，增长468.00%,主要原因是：本年增加新疆人才发展基金2024年度第一轮支持（产业技术创新团队支持计划）项目。</w:t>
      </w:r>
    </w:p>
    <w:p w14:paraId="46D34E0B">
      <w:pPr>
        <w:spacing w:line="580" w:lineRule="exact"/>
        <w:ind w:firstLine="640"/>
        <w:jc w:val="both"/>
      </w:pPr>
      <w:r>
        <w:rPr>
          <w:rFonts w:ascii="仿宋_GB2312" w:hAnsi="仿宋_GB2312" w:eastAsia="仿宋_GB2312"/>
          <w:b w:val="0"/>
          <w:sz w:val="32"/>
        </w:rPr>
        <w:t>11.农林水支出(类)农业农村(款)防灾救灾(项):支出决算数为20.00万元，比上年决算增加20.00万元，增长100.00%,主要原因是：本年增加农业防灾减灾和水利救灾项目。</w:t>
      </w:r>
    </w:p>
    <w:p w14:paraId="37E4FF8C">
      <w:pPr>
        <w:spacing w:line="580" w:lineRule="exact"/>
        <w:ind w:firstLine="640"/>
        <w:jc w:val="both"/>
      </w:pPr>
      <w:r>
        <w:rPr>
          <w:rFonts w:ascii="仿宋_GB2312" w:hAnsi="仿宋_GB2312" w:eastAsia="仿宋_GB2312"/>
          <w:b w:val="0"/>
          <w:sz w:val="32"/>
        </w:rPr>
        <w:t>12.农林水支出(类)农业农村(款)农业生产发展(项):支出决算数为111.89万元，比上年决算增加25.54万元，增长29.58%,主要原因是：本年自治区畜牧业生产发展项目资金增加，加快执行结转项目包括产业集群项目及2023年自治区畜牧业生产发展项目，相关款项支出决算数较上年增加。</w:t>
      </w:r>
    </w:p>
    <w:p w14:paraId="0DF6A2C0">
      <w:pPr>
        <w:spacing w:line="580" w:lineRule="exact"/>
        <w:ind w:firstLine="640"/>
        <w:jc w:val="both"/>
      </w:pPr>
      <w:r>
        <w:rPr>
          <w:rFonts w:ascii="仿宋_GB2312" w:hAnsi="仿宋_GB2312" w:eastAsia="仿宋_GB2312"/>
          <w:b w:val="0"/>
          <w:sz w:val="32"/>
        </w:rPr>
        <w:t>13.住房保障支出(类)住房改革支出(款)住房公积金(项):支出决算数为62.04万元，比上年决算增加3.86万元，增长6.63%,主要原因是：本年在职人员工资基数调增，公积金缴费基数上涨，相应支出增加。</w:t>
      </w:r>
    </w:p>
    <w:p w14:paraId="16806BE4">
      <w:pPr>
        <w:spacing w:line="580" w:lineRule="exact"/>
        <w:ind w:firstLine="640"/>
        <w:jc w:val="both"/>
      </w:pPr>
      <w:r>
        <w:rPr>
          <w:rFonts w:ascii="仿宋_GB2312" w:hAnsi="仿宋_GB2312" w:eastAsia="仿宋_GB2312"/>
          <w:b w:val="0"/>
          <w:sz w:val="32"/>
        </w:rPr>
        <w:t>14.其他支出(类)其他支出(款)其他支出(项):支出决算数为1.45万元，比上年决算减少17.10万元，下降92.18%,主要原因是：本年实施天山英才计划项目系2023年结转项目，项目大部分内容于2023年执行完成，相关科目支出决算数较上年减少。</w:t>
      </w:r>
    </w:p>
    <w:p w14:paraId="39198B23">
      <w:pPr>
        <w:spacing w:line="640" w:lineRule="exact"/>
        <w:ind w:firstLine="640"/>
        <w:jc w:val="both"/>
        <w:outlineLvl w:val="2"/>
      </w:pPr>
      <w:r>
        <w:rPr>
          <w:rFonts w:ascii="黑体" w:hAnsi="黑体" w:eastAsia="黑体"/>
          <w:sz w:val="32"/>
        </w:rPr>
        <w:t>六、一般公共预算财政拨款基本支出决算情况说明</w:t>
      </w:r>
    </w:p>
    <w:p w14:paraId="0CA76839">
      <w:pPr>
        <w:spacing w:line="580" w:lineRule="exact"/>
        <w:ind w:firstLine="640"/>
        <w:jc w:val="both"/>
      </w:pPr>
      <w:r>
        <w:rPr>
          <w:rFonts w:ascii="仿宋_GB2312" w:hAnsi="仿宋_GB2312" w:eastAsia="仿宋_GB2312"/>
          <w:b w:val="0"/>
          <w:sz w:val="32"/>
        </w:rPr>
        <w:t>2024年度一般公共预算财政拨款基本支出829.90万元，其中：</w:t>
      </w:r>
      <w:r>
        <w:rPr>
          <w:rFonts w:ascii="仿宋_GB2312" w:hAnsi="仿宋_GB2312" w:eastAsia="仿宋_GB2312"/>
          <w:b/>
          <w:sz w:val="32"/>
        </w:rPr>
        <w:t>人员经费795.45万元，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72ABB44A">
      <w:pPr>
        <w:spacing w:line="580" w:lineRule="exact"/>
        <w:ind w:firstLine="640"/>
        <w:jc w:val="both"/>
      </w:pPr>
      <w:r>
        <w:rPr>
          <w:rFonts w:ascii="仿宋_GB2312" w:hAnsi="仿宋_GB2312" w:eastAsia="仿宋_GB2312"/>
          <w:b/>
          <w:sz w:val="32"/>
        </w:rPr>
        <w:t>公用经费34.44万元，</w:t>
      </w:r>
      <w:r>
        <w:rPr>
          <w:rFonts w:ascii="仿宋_GB2312" w:hAnsi="仿宋_GB2312" w:eastAsia="仿宋_GB2312"/>
          <w:b w:val="0"/>
          <w:sz w:val="32"/>
        </w:rPr>
        <w:t>包括：办公费、水费、电费、邮电费、取暖费、差旅费、维修（护）费、专用材料费、工会经费、公务用车运行维护费、其他交通费用、其他商品和服务支出。</w:t>
      </w:r>
    </w:p>
    <w:p w14:paraId="2599F63C">
      <w:pPr>
        <w:spacing w:line="640" w:lineRule="exact"/>
        <w:ind w:firstLine="640"/>
        <w:jc w:val="both"/>
        <w:outlineLvl w:val="2"/>
      </w:pPr>
      <w:r>
        <w:rPr>
          <w:rFonts w:ascii="黑体" w:hAnsi="黑体" w:eastAsia="黑体"/>
          <w:sz w:val="32"/>
        </w:rPr>
        <w:t>七、政府性基金预算财政拨款收入支出决算情况说明</w:t>
      </w:r>
    </w:p>
    <w:p w14:paraId="64D3A438">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241162C9">
      <w:pPr>
        <w:spacing w:line="640" w:lineRule="exact"/>
        <w:ind w:firstLine="640"/>
        <w:jc w:val="both"/>
        <w:outlineLvl w:val="2"/>
      </w:pPr>
      <w:r>
        <w:rPr>
          <w:rFonts w:ascii="黑体" w:hAnsi="黑体" w:eastAsia="黑体"/>
          <w:sz w:val="32"/>
        </w:rPr>
        <w:t>八、国有资本经营预算财政拨款收入支出决算情况说明</w:t>
      </w:r>
    </w:p>
    <w:p w14:paraId="1C4C140B">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1ED8F70">
      <w:pPr>
        <w:spacing w:line="640" w:lineRule="exact"/>
        <w:ind w:firstLine="640"/>
        <w:jc w:val="both"/>
        <w:outlineLvl w:val="2"/>
      </w:pPr>
      <w:r>
        <w:rPr>
          <w:rFonts w:ascii="黑体" w:hAnsi="黑体" w:eastAsia="黑体"/>
          <w:sz w:val="32"/>
        </w:rPr>
        <w:t>九、财政拨款“三公”经费支出决算情况说明</w:t>
      </w:r>
    </w:p>
    <w:p w14:paraId="7FCCE2E5">
      <w:pPr>
        <w:spacing w:line="580" w:lineRule="exact"/>
        <w:ind w:firstLine="640"/>
        <w:jc w:val="both"/>
      </w:pPr>
      <w:r>
        <w:rPr>
          <w:rFonts w:ascii="仿宋_GB2312" w:hAnsi="仿宋_GB2312" w:eastAsia="仿宋_GB2312"/>
          <w:b/>
          <w:sz w:val="32"/>
        </w:rPr>
        <w:t>2024年度财政拨款“三公”经费支出1.80万元，</w:t>
      </w:r>
      <w:r>
        <w:rPr>
          <w:rFonts w:ascii="仿宋_GB2312" w:hAnsi="仿宋_GB2312" w:eastAsia="仿宋_GB2312"/>
          <w:b w:val="0"/>
          <w:sz w:val="32"/>
        </w:rPr>
        <w:t>比上年增加0.00万元，增长0.00%，主要原因是：本部门“三公”经费与上年一致无变化。其中：因公出国（境）费支出0.00万元，占0.00%，比上年增加0.00万元，增长0.00%，主要原因是：2023年与2024年均未安排因公出国（境）费支出。公务用车购置及运行维护费支出1.80万元，占100.00%，比上年增加0.00万元，增长0.00%，主要原因是：本部门公务用车运行维护费与上年一致无变化。公务接待费支出0.00万元，占0.00%，比上年增加0.00万元，增长0.00%，主要原因是：2023年与2024年均未安排公务接待费支出。</w:t>
      </w:r>
    </w:p>
    <w:p w14:paraId="496717A1">
      <w:pPr>
        <w:spacing w:line="580" w:lineRule="exact"/>
        <w:ind w:firstLine="640"/>
        <w:jc w:val="both"/>
      </w:pPr>
      <w:r>
        <w:rPr>
          <w:rFonts w:ascii="仿宋_GB2312" w:hAnsi="仿宋_GB2312" w:eastAsia="仿宋_GB2312"/>
          <w:b/>
          <w:sz w:val="32"/>
        </w:rPr>
        <w:t>具体情况如下：</w:t>
      </w:r>
    </w:p>
    <w:p w14:paraId="57F616DD">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BC662F5">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车辆加油费、维修费、保险费、审车费、过路费等。公务用车购置数0辆，公务用车保有量1辆。国有资产占用情况中固定资产车辆1辆，与公务用车保有量差异原因是：本部门固定资产车辆与公务用车保有量一致无差异。</w:t>
      </w:r>
    </w:p>
    <w:p w14:paraId="174FDD29">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5872308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1.80万元，决算数1.80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1.80万元，决算数1.80万元，预决算差异率0.00%，主要原因是：严格按照预算执行，预决算无差异。公务接待费全年预算数0.00万元，决算数0.00万元，预决算差异率0.00%，主要原因是：本部门无公务接待费。</w:t>
      </w:r>
    </w:p>
    <w:p w14:paraId="09AD4C78">
      <w:pPr>
        <w:spacing w:line="640" w:lineRule="exact"/>
        <w:ind w:firstLine="640"/>
        <w:jc w:val="both"/>
        <w:outlineLvl w:val="2"/>
      </w:pPr>
      <w:r>
        <w:rPr>
          <w:rFonts w:ascii="黑体" w:hAnsi="黑体" w:eastAsia="黑体"/>
          <w:sz w:val="32"/>
        </w:rPr>
        <w:t>十、其他重要事项的情况说明</w:t>
      </w:r>
    </w:p>
    <w:p w14:paraId="16711830">
      <w:pPr>
        <w:spacing w:line="640" w:lineRule="exact"/>
        <w:ind w:firstLine="640"/>
        <w:jc w:val="both"/>
        <w:outlineLvl w:val="3"/>
      </w:pPr>
      <w:r>
        <w:rPr>
          <w:rFonts w:ascii="楷体_GB2312" w:hAnsi="楷体_GB2312" w:eastAsia="楷体_GB2312"/>
          <w:b/>
          <w:sz w:val="32"/>
        </w:rPr>
        <w:t>（一）机关运行经费及公用经费支出情况</w:t>
      </w:r>
    </w:p>
    <w:p w14:paraId="26A19E96">
      <w:pPr>
        <w:spacing w:line="580" w:lineRule="exact"/>
        <w:ind w:firstLine="640"/>
        <w:jc w:val="both"/>
      </w:pPr>
      <w:r>
        <w:rPr>
          <w:rFonts w:ascii="仿宋_GB2312" w:hAnsi="仿宋_GB2312" w:eastAsia="仿宋_GB2312"/>
          <w:b w:val="0"/>
          <w:sz w:val="32"/>
        </w:rPr>
        <w:t>2024年度喀什地区畜牧工作站（事业单位）公用经费支出34.44万元，比上年增加1.43万元，增长4.33%，主要原因是：本年业务量增加，公用经费增加。</w:t>
      </w:r>
    </w:p>
    <w:p w14:paraId="0372595F">
      <w:pPr>
        <w:spacing w:line="640" w:lineRule="exact"/>
        <w:ind w:firstLine="640"/>
        <w:jc w:val="both"/>
        <w:outlineLvl w:val="3"/>
      </w:pPr>
      <w:r>
        <w:rPr>
          <w:rFonts w:ascii="楷体_GB2312" w:hAnsi="楷体_GB2312" w:eastAsia="楷体_GB2312"/>
          <w:b/>
          <w:sz w:val="32"/>
        </w:rPr>
        <w:t>（二）政府采购情况</w:t>
      </w:r>
    </w:p>
    <w:p w14:paraId="19268107">
      <w:pPr>
        <w:spacing w:line="580" w:lineRule="exact"/>
        <w:ind w:firstLine="640"/>
        <w:jc w:val="both"/>
      </w:pPr>
      <w:r>
        <w:rPr>
          <w:rFonts w:ascii="仿宋_GB2312" w:hAnsi="仿宋_GB2312" w:eastAsia="仿宋_GB2312"/>
          <w:b w:val="0"/>
          <w:sz w:val="32"/>
        </w:rPr>
        <w:t>2024年度政府采购支出总额155.31万元，其中：政府采购货物支出146.22万元、政府采购工程支出0.00万元、政府采购服务支出9.09万元。</w:t>
      </w:r>
    </w:p>
    <w:p w14:paraId="4F1CF4E1">
      <w:pPr>
        <w:spacing w:line="580" w:lineRule="exact"/>
        <w:ind w:firstLine="640"/>
        <w:jc w:val="both"/>
      </w:pPr>
      <w:r>
        <w:rPr>
          <w:rFonts w:ascii="仿宋_GB2312" w:hAnsi="仿宋_GB2312" w:eastAsia="仿宋_GB2312"/>
          <w:b w:val="0"/>
          <w:sz w:val="32"/>
        </w:rPr>
        <w:t>授予中小企业合同金额155.31万元，占政府采购支出总额的100.00%，其中：授予小微企业合同金额106.44万元，占政府采购支出总额的68.53%。</w:t>
      </w:r>
    </w:p>
    <w:p w14:paraId="0FD99B8E">
      <w:pPr>
        <w:spacing w:line="640" w:lineRule="exact"/>
        <w:ind w:firstLine="640"/>
        <w:jc w:val="both"/>
        <w:outlineLvl w:val="3"/>
      </w:pPr>
      <w:r>
        <w:rPr>
          <w:rFonts w:ascii="楷体_GB2312" w:hAnsi="楷体_GB2312" w:eastAsia="楷体_GB2312"/>
          <w:b/>
          <w:sz w:val="32"/>
        </w:rPr>
        <w:t>（三）国有资产占用情况说明</w:t>
      </w:r>
    </w:p>
    <w:p w14:paraId="706A0234">
      <w:pPr>
        <w:spacing w:line="580" w:lineRule="exact"/>
        <w:ind w:firstLine="640"/>
        <w:jc w:val="both"/>
      </w:pPr>
      <w:r>
        <w:rPr>
          <w:rFonts w:ascii="仿宋_GB2312" w:hAnsi="仿宋_GB2312" w:eastAsia="仿宋_GB2312"/>
          <w:b w:val="0"/>
          <w:sz w:val="32"/>
        </w:rPr>
        <w:t>截至2024年12月31日，房屋694.58平方米，价值15.03万元。车辆1辆，价值32.48万元，其中：副部（省）级及以上领导用车0辆、主要负责人用车0辆、机要通信用车0辆、应急保障用车0辆、执法执勤用车0辆、特种专业技术用车0辆、离退休干部服务用车0辆、其他用车1辆，其他用车主要是：用于开展畜牧业技术指导服务的业务用车。单价100万元（含）以上设备（不含车辆）0台（套）。</w:t>
      </w:r>
    </w:p>
    <w:p w14:paraId="6E11D610">
      <w:pPr>
        <w:spacing w:line="640" w:lineRule="exact"/>
        <w:ind w:firstLine="640"/>
        <w:jc w:val="both"/>
        <w:outlineLvl w:val="2"/>
      </w:pPr>
      <w:r>
        <w:rPr>
          <w:rFonts w:ascii="黑体" w:hAnsi="黑体" w:eastAsia="黑体"/>
          <w:sz w:val="32"/>
        </w:rPr>
        <w:t>十一、预算绩效的情况说明</w:t>
      </w:r>
    </w:p>
    <w:p w14:paraId="4DB7BE99">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1,046.99万元，实际执行总额1,041.63万元；预算绩效评价项目5个，全年预算数161.00万元，全年执行数155.64万元。预算绩效管理取得的成效：通过设置明确的目标和绩效指标，一是使干部职工更加明确了工作职责和任务；二是使工作人员认识到了自身工作表现的不足和缺点，及时进行调整；三是使单位内部的各项工作流程得到了有效的优化和改进，工作开展更加快速高效；四是使单位项目的推进和资金的落实都得到了有效的提升，更快更好</w:t>
      </w:r>
      <w:r>
        <w:rPr>
          <w:rFonts w:hint="eastAsia" w:ascii="仿宋_GB2312" w:hAnsi="仿宋_GB2312" w:eastAsia="仿宋_GB2312"/>
          <w:b w:val="0"/>
          <w:sz w:val="32"/>
          <w:lang w:eastAsia="zh-CN"/>
        </w:rPr>
        <w:t>地</w:t>
      </w:r>
      <w:r>
        <w:rPr>
          <w:rFonts w:ascii="仿宋_GB2312" w:hAnsi="仿宋_GB2312" w:eastAsia="仿宋_GB2312"/>
          <w:b w:val="0"/>
          <w:sz w:val="32"/>
        </w:rPr>
        <w:t>产生了社会效益。发现的问题及原因：一是项目绩效目标设定精准性存在难度，</w:t>
      </w:r>
      <w:r>
        <w:rPr>
          <w:rFonts w:hint="eastAsia" w:ascii="仿宋_GB2312" w:hAnsi="仿宋_GB2312" w:eastAsia="仿宋_GB2312"/>
          <w:b w:val="0"/>
          <w:sz w:val="32"/>
          <w:lang w:eastAsia="zh-CN"/>
        </w:rPr>
        <w:t>由于</w:t>
      </w:r>
      <w:r>
        <w:rPr>
          <w:rFonts w:ascii="仿宋_GB2312" w:hAnsi="仿宋_GB2312" w:eastAsia="仿宋_GB2312"/>
          <w:b w:val="0"/>
          <w:sz w:val="32"/>
        </w:rPr>
        <w:t>部分目标的三级指标设定需要根据单位部门科室的实际情况进行设定，设置绩效目标不够精准。二是项目执行方面，因与自治区主管部门签订年度任务书较晚，项目部分内容未实施完成，经费支出缓慢，结转至2025年继续实施，造成项目绩效监督、绩效评价有一定偏差。下一步改进措施：一是加强绩效人员业务培训，认真收集整理单位相关工作资料，准确理解把握单位重点工作任务及完成绩效指标值，确保绩效系统目标指标设定精准。二是项目建设程序进一步规范。项目前期做好调研、可行性研究等，细化实施方案，严格执行资金管理办法和财政资金管理制度，严格按照项目实施方案、招投标管理办法等稳步推进项目工作，项目负责人按时间节点积极推动项目实施，收集提交项目资料、票据，财务人员及时按照资金办法办理拨付。具体附部门整体支出绩效自评表，项目支出绩效自评表和部门评价报告。</w:t>
      </w:r>
    </w:p>
    <w:p w14:paraId="2D9E34C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AB8FFD1">
        <w:tblPrEx>
          <w:tblCellMar>
            <w:top w:w="0" w:type="dxa"/>
            <w:left w:w="108" w:type="dxa"/>
            <w:bottom w:w="0" w:type="dxa"/>
            <w:right w:w="108" w:type="dxa"/>
          </w:tblCellMar>
        </w:tblPrEx>
        <w:tc>
          <w:tcPr>
            <w:tcW w:w="8847" w:type="dxa"/>
            <w:gridSpan w:val="9"/>
            <w:vAlign w:val="center"/>
          </w:tcPr>
          <w:p w14:paraId="324AE97A">
            <w:pPr>
              <w:jc w:val="center"/>
            </w:pPr>
            <w:r>
              <w:rPr>
                <w:rFonts w:ascii="宋体" w:hAnsi="宋体" w:eastAsia="宋体"/>
                <w:sz w:val="24"/>
              </w:rPr>
              <w:t>部门整体支出绩效自评表</w:t>
            </w:r>
          </w:p>
        </w:tc>
      </w:tr>
      <w:tr w14:paraId="71ECE18F">
        <w:tblPrEx>
          <w:tblCellMar>
            <w:top w:w="0" w:type="dxa"/>
            <w:left w:w="108" w:type="dxa"/>
            <w:bottom w:w="0" w:type="dxa"/>
            <w:right w:w="108" w:type="dxa"/>
          </w:tblCellMar>
        </w:tblPrEx>
        <w:tc>
          <w:tcPr>
            <w:tcW w:w="8847" w:type="dxa"/>
            <w:gridSpan w:val="9"/>
            <w:vAlign w:val="center"/>
          </w:tcPr>
          <w:p w14:paraId="7030357A">
            <w:pPr>
              <w:jc w:val="center"/>
            </w:pPr>
            <w:r>
              <w:rPr>
                <w:rFonts w:ascii="宋体" w:hAnsi="宋体" w:eastAsia="宋体"/>
                <w:sz w:val="24"/>
              </w:rPr>
              <w:t>（2024年度）</w:t>
            </w:r>
          </w:p>
        </w:tc>
      </w:tr>
      <w:tr w14:paraId="4C6E82B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16FF7">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81A9F58">
            <w:pPr>
              <w:jc w:val="center"/>
            </w:pPr>
            <w:r>
              <w:rPr>
                <w:rFonts w:ascii="宋体" w:hAnsi="宋体" w:eastAsia="宋体"/>
                <w:sz w:val="16"/>
              </w:rPr>
              <w:t>喀什地区畜牧工作站</w:t>
            </w:r>
          </w:p>
        </w:tc>
      </w:tr>
      <w:tr w14:paraId="543001A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9EBE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7064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58B3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5B84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D583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3B48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9E4A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A4BB2">
            <w:pPr>
              <w:jc w:val="center"/>
            </w:pPr>
            <w:r>
              <w:rPr>
                <w:rFonts w:ascii="宋体" w:hAnsi="宋体" w:eastAsia="宋体"/>
                <w:sz w:val="16"/>
              </w:rPr>
              <w:t>得分</w:t>
            </w:r>
          </w:p>
        </w:tc>
      </w:tr>
      <w:tr w14:paraId="2375A3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1722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00B7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56D17">
            <w:pPr>
              <w:jc w:val="center"/>
            </w:pPr>
            <w:r>
              <w:rPr>
                <w:rFonts w:ascii="宋体" w:hAnsi="宋体" w:eastAsia="宋体"/>
                <w:sz w:val="16"/>
              </w:rPr>
              <w:t>1,029.09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B7C91">
            <w:pPr>
              <w:jc w:val="center"/>
            </w:pPr>
            <w:r>
              <w:rPr>
                <w:rFonts w:ascii="宋体" w:hAnsi="宋体" w:eastAsia="宋体"/>
                <w:sz w:val="16"/>
              </w:rPr>
              <w:t>1,046.99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01350">
            <w:pPr>
              <w:jc w:val="center"/>
            </w:pPr>
            <w:r>
              <w:rPr>
                <w:rFonts w:ascii="宋体" w:hAnsi="宋体" w:eastAsia="宋体"/>
                <w:sz w:val="16"/>
              </w:rPr>
              <w:t>1,041.63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D2D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FFBB2">
            <w:pPr>
              <w:jc w:val="center"/>
            </w:pPr>
            <w:r>
              <w:rPr>
                <w:rFonts w:ascii="宋体" w:hAnsi="宋体" w:eastAsia="宋体"/>
                <w:sz w:val="16"/>
              </w:rPr>
              <w:t>99.49%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6B57F">
            <w:pPr>
              <w:jc w:val="center"/>
            </w:pPr>
            <w:r>
              <w:rPr>
                <w:rFonts w:ascii="宋体" w:hAnsi="宋体" w:eastAsia="宋体"/>
                <w:sz w:val="16"/>
              </w:rPr>
              <w:t>9.95</w:t>
            </w:r>
          </w:p>
        </w:tc>
      </w:tr>
      <w:tr w14:paraId="5A8C03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27E1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2C21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61F9E">
            <w:pPr>
              <w:jc w:val="center"/>
            </w:pPr>
            <w:r>
              <w:rPr>
                <w:rFonts w:ascii="宋体" w:hAnsi="宋体" w:eastAsia="宋体"/>
                <w:sz w:val="16"/>
              </w:rPr>
              <w:t>138.49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F60D8">
            <w:pPr>
              <w:jc w:val="center"/>
            </w:pPr>
            <w:r>
              <w:rPr>
                <w:rFonts w:ascii="宋体" w:hAnsi="宋体" w:eastAsia="宋体"/>
                <w:sz w:val="16"/>
              </w:rPr>
              <w:t>176.85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7E37C">
            <w:pPr>
              <w:jc w:val="center"/>
            </w:pPr>
            <w:r>
              <w:rPr>
                <w:rFonts w:ascii="宋体" w:hAnsi="宋体" w:eastAsia="宋体"/>
                <w:sz w:val="16"/>
              </w:rPr>
              <w:t>171.57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834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EDBE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8AEE6">
            <w:pPr>
              <w:jc w:val="center"/>
            </w:pPr>
            <w:r>
              <w:rPr>
                <w:rFonts w:ascii="宋体" w:hAnsi="宋体" w:eastAsia="宋体"/>
                <w:sz w:val="16"/>
              </w:rPr>
              <w:t>—</w:t>
            </w:r>
          </w:p>
        </w:tc>
      </w:tr>
      <w:tr w14:paraId="200143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9AB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E856D">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645BB">
            <w:pPr>
              <w:jc w:val="center"/>
            </w:pPr>
            <w:r>
              <w:rPr>
                <w:rFonts w:ascii="宋体" w:hAnsi="宋体" w:eastAsia="宋体"/>
                <w:sz w:val="16"/>
              </w:rPr>
              <w:t>840.60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EB082">
            <w:pPr>
              <w:jc w:val="center"/>
            </w:pPr>
            <w:r>
              <w:rPr>
                <w:rFonts w:ascii="宋体" w:hAnsi="宋体" w:eastAsia="宋体"/>
                <w:sz w:val="16"/>
              </w:rPr>
              <w:t>820.14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CE25F">
            <w:pPr>
              <w:jc w:val="center"/>
            </w:pPr>
            <w:r>
              <w:rPr>
                <w:rFonts w:ascii="宋体" w:hAnsi="宋体" w:eastAsia="宋体"/>
                <w:sz w:val="16"/>
              </w:rPr>
              <w:t>820.06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1A3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995D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D6B85">
            <w:pPr>
              <w:jc w:val="center"/>
            </w:pPr>
            <w:r>
              <w:rPr>
                <w:rFonts w:ascii="宋体" w:hAnsi="宋体" w:eastAsia="宋体"/>
                <w:sz w:val="16"/>
              </w:rPr>
              <w:t>—</w:t>
            </w:r>
          </w:p>
        </w:tc>
      </w:tr>
      <w:tr w14:paraId="13C5AB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1760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E9D2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4B067">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329B8">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9800E">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50D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DF8A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325E2">
            <w:pPr>
              <w:jc w:val="center"/>
            </w:pPr>
            <w:r>
              <w:rPr>
                <w:rFonts w:ascii="宋体" w:hAnsi="宋体" w:eastAsia="宋体"/>
                <w:sz w:val="16"/>
              </w:rPr>
              <w:t>—</w:t>
            </w:r>
          </w:p>
        </w:tc>
      </w:tr>
      <w:tr w14:paraId="4A7273C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E585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CA8F0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F64D3D">
            <w:pPr>
              <w:jc w:val="center"/>
            </w:pPr>
            <w:r>
              <w:rPr>
                <w:rFonts w:ascii="宋体" w:hAnsi="宋体" w:eastAsia="宋体"/>
                <w:sz w:val="16"/>
              </w:rPr>
              <w:t>实际完成情况</w:t>
            </w:r>
          </w:p>
        </w:tc>
      </w:tr>
      <w:tr w14:paraId="6FC41B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B8253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B9ECAF">
            <w:pPr>
              <w:jc w:val="both"/>
            </w:pPr>
            <w:r>
              <w:rPr>
                <w:rFonts w:ascii="宋体" w:hAnsi="宋体" w:eastAsia="宋体"/>
                <w:sz w:val="16"/>
              </w:rPr>
              <w:t>我单位围绕单位职能，坚持开展全区畜禽品种改良、畜牧技术推广和技术服务，畜禽遗传资源保护、良种推广，加强组织开展技术培训、技术咨询等工作，生产和供应改良使用的液氮、冻精解冻液及改良器械等任务。保证在职人员及离退休人员全年工资支出、社医保费用支出，保障日常公用经费支出，确保单位整体工作正常运行。主要完成加快推进牛冷配改良社会化服务，指导各县市计划新增冷配点100个，年内完成牛冷配改良36万头以上，争取自治区活体良种补贴项目补贴种公羊1500只，新增培育种畜禽场数量2-3家，购买169.4立方液氮，技术服务指导培训及畜牧业生产发展现代种业提升建设任务，保障全区畜牧业高质量发展，促进乡村振兴和社会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96C28A">
            <w:pPr>
              <w:jc w:val="both"/>
            </w:pPr>
            <w:r>
              <w:rPr>
                <w:rFonts w:ascii="宋体" w:hAnsi="宋体" w:eastAsia="宋体"/>
                <w:sz w:val="16"/>
              </w:rPr>
              <w:t>我单位围绕单位职能，坚持推进畜牧业高质量发展，以畜禽品种改良、畜禽标准化规模化养殖、畜禽粪污资源化利用、畜牧业项目为抓手，促进畜牧业提质增效。单位整体资金保障了在职人员及离退休人员全年工资支出、社医保费用支出，保障日常公用经费支出，确保单位整体工作正常运行。品种改良工作有序开展，全地区开展牛冷配服务站点690个，冷配员1363人，完成冷配36.16万头，完成计划的105.06%，超额冷配任务。绵羊改良393.31万只，完成率100%；种羊鉴定13.65万只，完成率100%；建立羊人工授精重点站281个，绵羊人工授精完成37.52万只，完成率125.07%。全区调入发放液氮169.4立方，技术服务指导培训及畜牧业生产发展现代种业提升建设任务，保障全区畜牧业高质量发展，促进乡村振兴和社会经济发展。</w:t>
            </w:r>
          </w:p>
        </w:tc>
      </w:tr>
      <w:tr w14:paraId="3B9029F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28FA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BCF0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28C7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B0D2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60BF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F2A1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2B1A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6524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71688">
            <w:pPr>
              <w:jc w:val="center"/>
            </w:pPr>
            <w:r>
              <w:rPr>
                <w:rFonts w:ascii="宋体" w:hAnsi="宋体" w:eastAsia="宋体"/>
                <w:sz w:val="16"/>
              </w:rPr>
              <w:t>得分</w:t>
            </w:r>
          </w:p>
        </w:tc>
      </w:tr>
      <w:tr w14:paraId="33FDC2B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75A2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20F1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69F11">
            <w:pPr>
              <w:jc w:val="center"/>
            </w:pPr>
            <w:r>
              <w:rPr>
                <w:rFonts w:ascii="宋体" w:hAnsi="宋体" w:eastAsia="宋体"/>
                <w:sz w:val="16"/>
              </w:rPr>
              <w:t>完成牛冷配改良数量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EC203">
            <w:pPr>
              <w:jc w:val="center"/>
            </w:pPr>
            <w:r>
              <w:rPr>
                <w:rFonts w:ascii="宋体" w:hAnsi="宋体" w:eastAsia="宋体"/>
                <w:sz w:val="16"/>
              </w:rPr>
              <w:t>&gt;=36万头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62940">
            <w:pPr>
              <w:jc w:val="center"/>
            </w:pPr>
            <w:r>
              <w:rPr>
                <w:rFonts w:ascii="宋体" w:hAnsi="宋体" w:eastAsia="宋体"/>
                <w:sz w:val="16"/>
              </w:rPr>
              <w:t>《喀什地区畜牧工作站2024年度工作计划》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0FE7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6E0D8">
            <w:pPr>
              <w:jc w:val="center"/>
            </w:pPr>
            <w:r>
              <w:rPr>
                <w:rFonts w:ascii="宋体" w:hAnsi="宋体" w:eastAsia="宋体"/>
                <w:sz w:val="16"/>
              </w:rPr>
              <w:t>36.16万头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6EFEE">
            <w:pPr>
              <w:jc w:val="center"/>
            </w:pPr>
            <w:r>
              <w:rPr>
                <w:rFonts w:ascii="宋体" w:hAnsi="宋体" w:eastAsia="宋体"/>
                <w:sz w:val="16"/>
              </w:rPr>
              <w:t>100.44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241B8">
            <w:pPr>
              <w:jc w:val="center"/>
            </w:pPr>
            <w:r>
              <w:rPr>
                <w:rFonts w:ascii="宋体" w:hAnsi="宋体" w:eastAsia="宋体"/>
                <w:sz w:val="16"/>
              </w:rPr>
              <w:t>15</w:t>
            </w:r>
          </w:p>
        </w:tc>
      </w:tr>
      <w:tr w14:paraId="24A9A4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58ED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D237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94E47">
            <w:pPr>
              <w:jc w:val="center"/>
            </w:pPr>
            <w:r>
              <w:rPr>
                <w:rFonts w:ascii="宋体" w:hAnsi="宋体" w:eastAsia="宋体"/>
                <w:sz w:val="16"/>
              </w:rPr>
              <w:t>购调液氮量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F094C">
            <w:pPr>
              <w:jc w:val="center"/>
            </w:pPr>
            <w:r>
              <w:rPr>
                <w:rFonts w:ascii="宋体" w:hAnsi="宋体" w:eastAsia="宋体"/>
                <w:sz w:val="16"/>
              </w:rPr>
              <w:t>&gt;=169.4立方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CF58A">
            <w:pPr>
              <w:jc w:val="center"/>
            </w:pPr>
            <w:r>
              <w:rPr>
                <w:rFonts w:ascii="宋体" w:hAnsi="宋体" w:eastAsia="宋体"/>
                <w:sz w:val="16"/>
              </w:rPr>
              <w:t>《喀什地区畜牧工作站2024年度工作计划》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9713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58E86">
            <w:pPr>
              <w:jc w:val="center"/>
            </w:pPr>
            <w:r>
              <w:rPr>
                <w:rFonts w:ascii="宋体" w:hAnsi="宋体" w:eastAsia="宋体"/>
                <w:sz w:val="16"/>
              </w:rPr>
              <w:t>169.4立方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2A0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73057">
            <w:pPr>
              <w:jc w:val="center"/>
            </w:pPr>
            <w:r>
              <w:rPr>
                <w:rFonts w:ascii="宋体" w:hAnsi="宋体" w:eastAsia="宋体"/>
                <w:sz w:val="16"/>
              </w:rPr>
              <w:t>15</w:t>
            </w:r>
          </w:p>
        </w:tc>
      </w:tr>
      <w:tr w14:paraId="016A76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3623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CA4D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FF976">
            <w:pPr>
              <w:jc w:val="center"/>
            </w:pPr>
            <w:r>
              <w:rPr>
                <w:rFonts w:ascii="宋体" w:hAnsi="宋体" w:eastAsia="宋体"/>
                <w:sz w:val="16"/>
              </w:rPr>
              <w:t>培训技术人员数量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F082A">
            <w:pPr>
              <w:jc w:val="center"/>
            </w:pPr>
            <w:r>
              <w:rPr>
                <w:rFonts w:ascii="宋体" w:hAnsi="宋体" w:eastAsia="宋体"/>
                <w:sz w:val="16"/>
              </w:rPr>
              <w:t>=2700人次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D66DD">
            <w:pPr>
              <w:jc w:val="center"/>
            </w:pPr>
            <w:r>
              <w:rPr>
                <w:rFonts w:ascii="宋体" w:hAnsi="宋体" w:eastAsia="宋体"/>
                <w:sz w:val="16"/>
              </w:rPr>
              <w:t>《喀什地区畜牧工作站2024年度工作计划》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0486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DDCE0">
            <w:pPr>
              <w:jc w:val="center"/>
            </w:pPr>
            <w:r>
              <w:rPr>
                <w:rFonts w:ascii="宋体" w:hAnsi="宋体" w:eastAsia="宋体"/>
                <w:sz w:val="16"/>
              </w:rPr>
              <w:t>2700人次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229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C9BF0">
            <w:pPr>
              <w:jc w:val="center"/>
            </w:pPr>
            <w:r>
              <w:rPr>
                <w:rFonts w:ascii="宋体" w:hAnsi="宋体" w:eastAsia="宋体"/>
                <w:sz w:val="16"/>
              </w:rPr>
              <w:t>15</w:t>
            </w:r>
          </w:p>
        </w:tc>
      </w:tr>
      <w:tr w14:paraId="257328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EDC0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D566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2D2F8">
            <w:pPr>
              <w:jc w:val="center"/>
            </w:pPr>
            <w:r>
              <w:rPr>
                <w:rFonts w:ascii="宋体" w:hAnsi="宋体" w:eastAsia="宋体"/>
                <w:sz w:val="16"/>
              </w:rPr>
              <w:t>县市畜牧业指导服务人次数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06D87">
            <w:pPr>
              <w:jc w:val="center"/>
            </w:pPr>
            <w:r>
              <w:rPr>
                <w:rFonts w:ascii="宋体" w:hAnsi="宋体" w:eastAsia="宋体"/>
                <w:sz w:val="16"/>
              </w:rPr>
              <w:t>&gt;=90人次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C0C95">
            <w:pPr>
              <w:jc w:val="center"/>
            </w:pPr>
            <w:r>
              <w:rPr>
                <w:rFonts w:ascii="宋体" w:hAnsi="宋体" w:eastAsia="宋体"/>
                <w:sz w:val="16"/>
              </w:rPr>
              <w:t>《喀什地区畜牧工作站2024年度工作计划》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39DD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95AE4">
            <w:pPr>
              <w:jc w:val="center"/>
            </w:pPr>
            <w:r>
              <w:rPr>
                <w:rFonts w:ascii="宋体" w:hAnsi="宋体" w:eastAsia="宋体"/>
                <w:sz w:val="16"/>
              </w:rPr>
              <w:t>90人次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858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4A028">
            <w:pPr>
              <w:jc w:val="center"/>
            </w:pPr>
            <w:r>
              <w:rPr>
                <w:rFonts w:ascii="宋体" w:hAnsi="宋体" w:eastAsia="宋体"/>
                <w:sz w:val="16"/>
              </w:rPr>
              <w:t>15</w:t>
            </w:r>
          </w:p>
        </w:tc>
      </w:tr>
      <w:tr w14:paraId="4290FA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73B8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F034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FAC6B">
            <w:pPr>
              <w:jc w:val="center"/>
            </w:pPr>
            <w:r>
              <w:rPr>
                <w:rFonts w:ascii="宋体" w:hAnsi="宋体" w:eastAsia="宋体"/>
                <w:sz w:val="16"/>
              </w:rPr>
              <w:t>新增培育种畜禽场数量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98F93">
            <w:pPr>
              <w:jc w:val="center"/>
            </w:pPr>
            <w:r>
              <w:rPr>
                <w:rFonts w:ascii="宋体" w:hAnsi="宋体" w:eastAsia="宋体"/>
                <w:sz w:val="16"/>
              </w:rPr>
              <w:t>&gt;=2家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47B7C">
            <w:pPr>
              <w:jc w:val="center"/>
            </w:pPr>
            <w:r>
              <w:rPr>
                <w:rFonts w:ascii="宋体" w:hAnsi="宋体" w:eastAsia="宋体"/>
                <w:sz w:val="16"/>
              </w:rPr>
              <w:t>《喀什地区畜牧工作站2024年度工作计划》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28A6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1F50A">
            <w:pPr>
              <w:jc w:val="center"/>
            </w:pPr>
            <w:r>
              <w:rPr>
                <w:rFonts w:ascii="宋体" w:hAnsi="宋体" w:eastAsia="宋体"/>
                <w:sz w:val="16"/>
              </w:rPr>
              <w: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84D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80FC5">
            <w:pPr>
              <w:jc w:val="center"/>
            </w:pPr>
            <w:r>
              <w:rPr>
                <w:rFonts w:ascii="宋体" w:hAnsi="宋体" w:eastAsia="宋体"/>
                <w:sz w:val="16"/>
              </w:rPr>
              <w:t>15</w:t>
            </w:r>
          </w:p>
        </w:tc>
      </w:tr>
      <w:tr w14:paraId="504F8C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6C88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9C3A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8CDD2">
            <w:pPr>
              <w:jc w:val="center"/>
            </w:pPr>
            <w:r>
              <w:rPr>
                <w:rFonts w:ascii="宋体" w:hAnsi="宋体" w:eastAsia="宋体"/>
                <w:sz w:val="16"/>
              </w:rPr>
              <w:t>畜禽粪污综合利用率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7BA08">
            <w:pPr>
              <w:jc w:val="center"/>
            </w:pPr>
            <w:r>
              <w:rPr>
                <w:rFonts w:ascii="宋体" w:hAnsi="宋体" w:eastAsia="宋体"/>
                <w:sz w:val="16"/>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A4D24">
            <w:pPr>
              <w:jc w:val="center"/>
            </w:pPr>
            <w:r>
              <w:rPr>
                <w:rFonts w:ascii="宋体" w:hAnsi="宋体" w:eastAsia="宋体"/>
                <w:sz w:val="16"/>
              </w:rPr>
              <w:t>喀什地区畜牧工作站2024年工作计划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89F7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C35C6">
            <w:pPr>
              <w:jc w:val="center"/>
            </w:pPr>
            <w:r>
              <w:rPr>
                <w:rFonts w:ascii="宋体" w:hAnsi="宋体" w:eastAsia="宋体"/>
                <w:sz w:val="16"/>
              </w:rPr>
              <w:t>85.43%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5EF18">
            <w:pPr>
              <w:jc w:val="center"/>
            </w:pPr>
            <w:r>
              <w:rPr>
                <w:rFonts w:ascii="宋体" w:hAnsi="宋体" w:eastAsia="宋体"/>
                <w:sz w:val="16"/>
              </w:rPr>
              <w:t>100.51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EF224">
            <w:pPr>
              <w:jc w:val="center"/>
            </w:pPr>
            <w:r>
              <w:rPr>
                <w:rFonts w:ascii="宋体" w:hAnsi="宋体" w:eastAsia="宋体"/>
                <w:sz w:val="16"/>
              </w:rPr>
              <w:t>15</w:t>
            </w:r>
          </w:p>
        </w:tc>
      </w:tr>
    </w:tbl>
    <w:p w14:paraId="487E8AE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4357B2BE">
        <w:tblPrEx>
          <w:tblCellMar>
            <w:top w:w="0" w:type="dxa"/>
            <w:left w:w="108" w:type="dxa"/>
            <w:bottom w:w="0" w:type="dxa"/>
            <w:right w:w="108" w:type="dxa"/>
          </w:tblCellMar>
        </w:tblPrEx>
        <w:tc>
          <w:tcPr>
            <w:tcW w:w="8976" w:type="dxa"/>
            <w:gridSpan w:val="14"/>
            <w:vAlign w:val="center"/>
          </w:tcPr>
          <w:p w14:paraId="2E831240">
            <w:pPr>
              <w:jc w:val="center"/>
            </w:pPr>
            <w:r>
              <w:rPr>
                <w:rFonts w:ascii="宋体" w:hAnsi="宋体" w:eastAsia="宋体"/>
                <w:sz w:val="24"/>
              </w:rPr>
              <w:t>项目支出绩效自评表</w:t>
            </w:r>
          </w:p>
        </w:tc>
      </w:tr>
      <w:tr w14:paraId="2D87124D">
        <w:tblPrEx>
          <w:tblCellMar>
            <w:top w:w="0" w:type="dxa"/>
            <w:left w:w="108" w:type="dxa"/>
            <w:bottom w:w="0" w:type="dxa"/>
            <w:right w:w="108" w:type="dxa"/>
          </w:tblCellMar>
        </w:tblPrEx>
        <w:tc>
          <w:tcPr>
            <w:tcW w:w="8976" w:type="dxa"/>
            <w:gridSpan w:val="14"/>
            <w:vAlign w:val="center"/>
          </w:tcPr>
          <w:p w14:paraId="0E307FCE">
            <w:pPr>
              <w:jc w:val="center"/>
            </w:pPr>
            <w:r>
              <w:rPr>
                <w:rFonts w:ascii="宋体" w:hAnsi="宋体" w:eastAsia="宋体"/>
                <w:sz w:val="24"/>
              </w:rPr>
              <w:t>(2024年度)</w:t>
            </w:r>
          </w:p>
        </w:tc>
      </w:tr>
      <w:tr w14:paraId="2E1456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56A45">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59AB6B">
            <w:pPr>
              <w:jc w:val="center"/>
            </w:pPr>
            <w:r>
              <w:rPr>
                <w:rFonts w:ascii="宋体" w:hAnsi="宋体" w:eastAsia="宋体"/>
                <w:sz w:val="16"/>
              </w:rPr>
              <w:t>2023年农业防灾减灾和水利救灾（防灾救灾第十一批）项目</w:t>
            </w:r>
          </w:p>
        </w:tc>
      </w:tr>
      <w:tr w14:paraId="0F72ED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9C172">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52E570">
            <w:pPr>
              <w:jc w:val="center"/>
            </w:pPr>
            <w:r>
              <w:rPr>
                <w:rFonts w:ascii="宋体" w:hAnsi="宋体" w:eastAsia="宋体"/>
                <w:sz w:val="16"/>
              </w:rPr>
              <w:t>喀什地区畜牧兽医局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30FB">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268B84">
            <w:pPr>
              <w:jc w:val="center"/>
            </w:pPr>
            <w:r>
              <w:rPr>
                <w:rFonts w:ascii="宋体" w:hAnsi="宋体" w:eastAsia="宋体"/>
                <w:sz w:val="16"/>
              </w:rPr>
              <w:t>喀什地区畜牧工作站</w:t>
            </w:r>
          </w:p>
        </w:tc>
      </w:tr>
      <w:tr w14:paraId="08D56F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B41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A8D94">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372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8A2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7AC56">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97F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7D6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B40A8">
            <w:pPr>
              <w:jc w:val="center"/>
            </w:pPr>
            <w:r>
              <w:rPr>
                <w:rFonts w:ascii="宋体" w:hAnsi="宋体" w:eastAsia="宋体"/>
                <w:sz w:val="16"/>
              </w:rPr>
              <w:t>得分</w:t>
            </w:r>
          </w:p>
        </w:tc>
      </w:tr>
      <w:tr w14:paraId="550A2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063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DF8FD">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4B70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6E4A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C1FCE">
            <w:pPr>
              <w:jc w:val="center"/>
            </w:pPr>
            <w:r>
              <w:rPr>
                <w:rFonts w:ascii="宋体" w:hAnsi="宋体" w:eastAsia="宋体"/>
                <w:sz w:val="16"/>
              </w:rPr>
              <w:t>20.00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72C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CBFB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BDF4F">
            <w:pPr>
              <w:jc w:val="center"/>
            </w:pPr>
            <w:r>
              <w:rPr>
                <w:rFonts w:ascii="宋体" w:hAnsi="宋体" w:eastAsia="宋体"/>
                <w:sz w:val="16"/>
              </w:rPr>
              <w:t>10.00分</w:t>
            </w:r>
          </w:p>
        </w:tc>
      </w:tr>
      <w:tr w14:paraId="44405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A1A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B785B">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9DB7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C0B6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C6BBB">
            <w:pPr>
              <w:jc w:val="center"/>
            </w:pPr>
            <w:r>
              <w:rPr>
                <w:rFonts w:ascii="宋体" w:hAnsi="宋体" w:eastAsia="宋体"/>
                <w:sz w:val="16"/>
              </w:rPr>
              <w:t>20.00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BD7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381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B88E2">
            <w:pPr>
              <w:jc w:val="center"/>
            </w:pPr>
            <w:r>
              <w:rPr>
                <w:rFonts w:ascii="宋体" w:hAnsi="宋体" w:eastAsia="宋体"/>
                <w:sz w:val="16"/>
              </w:rPr>
              <w:t>—</w:t>
            </w:r>
          </w:p>
        </w:tc>
      </w:tr>
      <w:tr w14:paraId="25805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954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10008">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8BB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994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56F99">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5CB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FD2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0439C">
            <w:pPr>
              <w:jc w:val="center"/>
            </w:pPr>
            <w:r>
              <w:rPr>
                <w:rFonts w:ascii="宋体" w:hAnsi="宋体" w:eastAsia="宋体"/>
                <w:sz w:val="16"/>
              </w:rPr>
              <w:t>—</w:t>
            </w:r>
          </w:p>
        </w:tc>
      </w:tr>
      <w:tr w14:paraId="702A5E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635DC">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655AA8">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BAE2B4">
            <w:pPr>
              <w:jc w:val="center"/>
            </w:pPr>
            <w:r>
              <w:rPr>
                <w:rFonts w:ascii="宋体" w:hAnsi="宋体" w:eastAsia="宋体"/>
                <w:sz w:val="16"/>
              </w:rPr>
              <w:t>实际完成情况</w:t>
            </w:r>
          </w:p>
        </w:tc>
      </w:tr>
      <w:tr w14:paraId="7A5BB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244E6"/>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1ED4F3">
            <w:pPr>
              <w:jc w:val="both"/>
            </w:pPr>
            <w:r>
              <w:rPr>
                <w:rFonts w:ascii="宋体" w:hAnsi="宋体" w:eastAsia="宋体"/>
                <w:sz w:val="16"/>
              </w:rPr>
              <w:t>通过使用救灾资金，对品种改良应急物资购置一批，包括长把手套0.8万包和塑料套管1.92万包，用于灾后畜牧生产力恢复进行补助，减少灾害损失，确保全年畜牧业生产</w:t>
            </w:r>
            <w:r>
              <w:rPr>
                <w:rFonts w:hint="eastAsia" w:ascii="宋体" w:hAnsi="宋体"/>
                <w:sz w:val="16"/>
                <w:lang w:eastAsia="zh-CN"/>
              </w:rPr>
              <w:t>保持平稳</w:t>
            </w:r>
            <w:r>
              <w:rPr>
                <w:rFonts w:ascii="宋体" w:hAnsi="宋体" w:eastAsia="宋体"/>
                <w:sz w:val="16"/>
              </w:rPr>
              <w:t>。</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A31EBB">
            <w:pPr>
              <w:jc w:val="both"/>
            </w:pPr>
            <w:r>
              <w:rPr>
                <w:rFonts w:ascii="宋体" w:hAnsi="宋体" w:eastAsia="宋体"/>
                <w:sz w:val="16"/>
              </w:rPr>
              <w:t>使用救灾资金，采购品种改良应急物资一批，长臂手套10000包（50万只），一次性输精枪外套（套管）2.55万包（51万只），已采买完成，发放至各县市，救灾物资用于灾后畜牧生产力恢复进行备货，确保全年畜牧业生产</w:t>
            </w:r>
            <w:r>
              <w:rPr>
                <w:rFonts w:hint="eastAsia" w:ascii="宋体" w:hAnsi="宋体"/>
                <w:sz w:val="16"/>
                <w:lang w:eastAsia="zh-CN"/>
              </w:rPr>
              <w:t>保持平稳</w:t>
            </w:r>
            <w:r>
              <w:rPr>
                <w:rFonts w:ascii="宋体" w:hAnsi="宋体" w:eastAsia="宋体"/>
                <w:sz w:val="16"/>
              </w:rPr>
              <w:t>。</w:t>
            </w:r>
          </w:p>
        </w:tc>
      </w:tr>
      <w:tr w14:paraId="26EA32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28C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6A4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37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B7B5">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33DAE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080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CC1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39D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82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9639">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DA5C2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633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3ED1E">
            <w:pPr>
              <w:jc w:val="center"/>
            </w:pPr>
            <w:r>
              <w:rPr>
                <w:rFonts w:ascii="宋体" w:hAnsi="宋体" w:eastAsia="宋体"/>
                <w:sz w:val="16"/>
              </w:rPr>
              <w:t>偏差原因分析及改进措施</w:t>
            </w:r>
          </w:p>
        </w:tc>
      </w:tr>
      <w:tr w14:paraId="4AEA81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E85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50DE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C1E7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A14F1">
            <w:pPr>
              <w:jc w:val="center"/>
            </w:pPr>
            <w:r>
              <w:rPr>
                <w:rFonts w:ascii="宋体" w:hAnsi="宋体" w:eastAsia="宋体"/>
                <w:sz w:val="16"/>
              </w:rPr>
              <w:t>购长把手套数量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BEE876">
            <w:pPr>
              <w:jc w:val="center"/>
            </w:pPr>
            <w:r>
              <w:rPr>
                <w:rFonts w:ascii="宋体" w:hAnsi="宋体" w:eastAsia="宋体"/>
                <w:sz w:val="16"/>
              </w:rPr>
              <w:t>=8000包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B7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87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BF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48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902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CB88B2">
            <w:pPr>
              <w:jc w:val="center"/>
            </w:pPr>
            <w:r>
              <w:rPr>
                <w:rFonts w:ascii="宋体" w:hAnsi="宋体" w:eastAsia="宋体"/>
                <w:sz w:val="16"/>
              </w:rPr>
              <w:t>=10000包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FA6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592A5">
            <w:pPr>
              <w:jc w:val="center"/>
            </w:pPr>
            <w:r>
              <w:rPr>
                <w:rFonts w:ascii="宋体" w:hAnsi="宋体" w:eastAsia="宋体"/>
                <w:sz w:val="16"/>
              </w:rPr>
              <w:t>偏差原因：项目计划采买长把手套数量与实际采买长把手套数量有差异；改进措施：因项目系2023年结转资金，时间紧，采买物资分配12县市，数量核算有误差，以资金采购最大量，确保物资保障肉牛冷配改良生产力尽快恢复。</w:t>
            </w:r>
          </w:p>
        </w:tc>
      </w:tr>
      <w:tr w14:paraId="34BF2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9D1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7C4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6DA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26464">
            <w:pPr>
              <w:jc w:val="center"/>
            </w:pPr>
            <w:r>
              <w:rPr>
                <w:rFonts w:ascii="宋体" w:hAnsi="宋体" w:eastAsia="宋体"/>
                <w:sz w:val="16"/>
              </w:rPr>
              <w:t>购塑料套管等材料数量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713A64">
            <w:pPr>
              <w:jc w:val="center"/>
            </w:pPr>
            <w:r>
              <w:rPr>
                <w:rFonts w:ascii="宋体" w:hAnsi="宋体" w:eastAsia="宋体"/>
                <w:sz w:val="16"/>
              </w:rPr>
              <w:t>=19200包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E4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F3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9FB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A0F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ADA1B">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47E48E">
            <w:pPr>
              <w:jc w:val="center"/>
            </w:pPr>
            <w:r>
              <w:rPr>
                <w:rFonts w:ascii="宋体" w:hAnsi="宋体" w:eastAsia="宋体"/>
                <w:sz w:val="16"/>
              </w:rPr>
              <w:t>=25500包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726A">
            <w:pPr>
              <w:jc w:val="center"/>
            </w:pPr>
            <w:r>
              <w:rPr>
                <w:rFonts w:ascii="宋体" w:hAnsi="宋体" w:eastAsia="宋体"/>
                <w:sz w:val="16"/>
              </w:rPr>
              <w:t>5.38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23034">
            <w:pPr>
              <w:jc w:val="center"/>
            </w:pPr>
            <w:r>
              <w:rPr>
                <w:rFonts w:ascii="宋体" w:hAnsi="宋体" w:eastAsia="宋体"/>
                <w:sz w:val="16"/>
              </w:rPr>
              <w:t>偏差原因：项目计划采买套管数量与实际采买套管数量有差异；改进措施：因项目系2023年结转资金，时间紧，采买物资分配12县市，数量核算有误差，以资金采购最大量，确保物资保障肉牛冷配改良生产力尽快恢复。</w:t>
            </w:r>
          </w:p>
        </w:tc>
      </w:tr>
      <w:tr w14:paraId="44FB75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66F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6FF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A1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D7242">
            <w:pPr>
              <w:jc w:val="center"/>
            </w:pPr>
            <w:r>
              <w:rPr>
                <w:rFonts w:ascii="宋体" w:hAnsi="宋体" w:eastAsia="宋体"/>
                <w:sz w:val="16"/>
              </w:rPr>
              <w:t>购置物资质量达标率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B55E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DD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321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F8B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A4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5E9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B3C8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2E8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54DA8">
            <w:pPr>
              <w:jc w:val="center"/>
            </w:pPr>
          </w:p>
        </w:tc>
      </w:tr>
      <w:tr w14:paraId="7EBB40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FC4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485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F25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FB567">
            <w:pPr>
              <w:jc w:val="center"/>
            </w:pPr>
            <w:r>
              <w:rPr>
                <w:rFonts w:ascii="宋体" w:hAnsi="宋体" w:eastAsia="宋体"/>
                <w:sz w:val="16"/>
              </w:rPr>
              <w:t>年度资金支付及时率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6718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5E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78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8A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588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31B3">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B34D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75A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96835">
            <w:pPr>
              <w:jc w:val="center"/>
            </w:pPr>
          </w:p>
        </w:tc>
      </w:tr>
      <w:tr w14:paraId="34CD4D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CC5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383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810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9A31D">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5CA44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63B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CC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7A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29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7184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84B032">
            <w:pPr>
              <w:jc w:val="center"/>
            </w:pPr>
            <w:r>
              <w:rPr>
                <w:rFonts w:ascii="宋体" w:hAnsi="宋体" w:eastAsia="宋体"/>
                <w:sz w:val="16"/>
              </w:rPr>
              <w:t>2024年6月6日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180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C4543">
            <w:pPr>
              <w:jc w:val="center"/>
            </w:pPr>
          </w:p>
        </w:tc>
      </w:tr>
      <w:tr w14:paraId="4CBD96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76F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9FE2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A08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79F3F">
            <w:pPr>
              <w:jc w:val="center"/>
            </w:pPr>
            <w:r>
              <w:rPr>
                <w:rFonts w:ascii="宋体" w:hAnsi="宋体" w:eastAsia="宋体"/>
                <w:sz w:val="16"/>
              </w:rPr>
              <w:t>长把手套购置成本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C1CE3C">
            <w:pPr>
              <w:jc w:val="center"/>
            </w:pPr>
            <w:r>
              <w:rPr>
                <w:rFonts w:ascii="宋体" w:hAnsi="宋体" w:eastAsia="宋体"/>
                <w:sz w:val="16"/>
              </w:rPr>
              <w:t>&lt;=10.4万元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87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351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12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70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265A5">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266BFE">
            <w:pPr>
              <w:jc w:val="center"/>
            </w:pPr>
            <w:r>
              <w:rPr>
                <w:rFonts w:ascii="宋体" w:hAnsi="宋体" w:eastAsia="宋体"/>
                <w:sz w:val="16"/>
              </w:rPr>
              <w:t>=9.8万元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5138">
            <w:pPr>
              <w:jc w:val="center"/>
            </w:pPr>
            <w:r>
              <w:rPr>
                <w:rFonts w:ascii="宋体" w:hAnsi="宋体" w:eastAsia="宋体"/>
                <w:sz w:val="16"/>
              </w:rPr>
              <w:t>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1F5FD">
            <w:pPr>
              <w:jc w:val="center"/>
            </w:pPr>
            <w:r>
              <w:rPr>
                <w:rFonts w:ascii="宋体" w:hAnsi="宋体" w:eastAsia="宋体"/>
                <w:sz w:val="16"/>
              </w:rPr>
              <w:t>偏差原因:采买长把手套资金节约；改进措施:加强预算测算水平提升，确保项目资金精准。</w:t>
            </w:r>
          </w:p>
        </w:tc>
      </w:tr>
      <w:tr w14:paraId="77ACC0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5D0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B42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445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8C816">
            <w:pPr>
              <w:jc w:val="center"/>
            </w:pPr>
            <w:r>
              <w:rPr>
                <w:rFonts w:ascii="宋体" w:hAnsi="宋体" w:eastAsia="宋体"/>
                <w:sz w:val="16"/>
              </w:rPr>
              <w:t>塑料套管等材料购置成本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6F24A9">
            <w:pPr>
              <w:jc w:val="center"/>
            </w:pPr>
            <w:r>
              <w:rPr>
                <w:rFonts w:ascii="宋体" w:hAnsi="宋体" w:eastAsia="宋体"/>
                <w:sz w:val="16"/>
              </w:rPr>
              <w:t>&lt;=9.6万元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85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8D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25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78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961F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6BB243">
            <w:pPr>
              <w:jc w:val="center"/>
            </w:pPr>
            <w:r>
              <w:rPr>
                <w:rFonts w:ascii="宋体" w:hAnsi="宋体" w:eastAsia="宋体"/>
                <w:sz w:val="16"/>
              </w:rPr>
              <w:t>=10.2万元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A3854">
            <w:pPr>
              <w:jc w:val="center"/>
            </w:pPr>
            <w:r>
              <w:rPr>
                <w:rFonts w:ascii="宋体" w:hAnsi="宋体" w:eastAsia="宋体"/>
                <w:sz w:val="16"/>
              </w:rPr>
              <w:t>9.38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74B16">
            <w:pPr>
              <w:jc w:val="center"/>
            </w:pPr>
            <w:r>
              <w:rPr>
                <w:rFonts w:ascii="宋体" w:hAnsi="宋体" w:eastAsia="宋体"/>
                <w:sz w:val="16"/>
              </w:rPr>
              <w:t>偏差原因：采买套管数量增加，与计划采购成本有差异；改进措施：加强预算测算水平提升，确保项目资金精准。</w:t>
            </w:r>
          </w:p>
        </w:tc>
      </w:tr>
      <w:tr w14:paraId="50D0A2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CA4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F8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14C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A5D6">
            <w:pPr>
              <w:jc w:val="center"/>
            </w:pPr>
            <w:r>
              <w:rPr>
                <w:rFonts w:ascii="宋体" w:hAnsi="宋体" w:eastAsia="宋体"/>
                <w:sz w:val="16"/>
              </w:rPr>
              <w:t>灾区畜牧业生产秩序恢复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965D21">
            <w:pPr>
              <w:jc w:val="center"/>
            </w:pPr>
            <w:r>
              <w:rPr>
                <w:rFonts w:ascii="宋体" w:hAnsi="宋体" w:eastAsia="宋体"/>
                <w:sz w:val="16"/>
              </w:rPr>
              <w:t>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15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A2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24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872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54B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CF43CC">
            <w:pPr>
              <w:jc w:val="center"/>
            </w:pPr>
            <w:r>
              <w:rPr>
                <w:rFonts w:ascii="宋体" w:hAnsi="宋体" w:eastAsia="宋体"/>
                <w:sz w:val="16"/>
              </w:rPr>
              <w:t>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9DD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D96AA">
            <w:pPr>
              <w:jc w:val="center"/>
            </w:pPr>
          </w:p>
        </w:tc>
      </w:tr>
      <w:tr w14:paraId="4C99C5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1BD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43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A3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6D3BB">
            <w:pPr>
              <w:jc w:val="center"/>
            </w:pPr>
            <w:r>
              <w:rPr>
                <w:rFonts w:ascii="宋体" w:hAnsi="宋体" w:eastAsia="宋体"/>
                <w:sz w:val="16"/>
              </w:rPr>
              <w:t>县市对防灾减灾项目实施满意度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6AC4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50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BB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36B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0BC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9B3B">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C54D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95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4D293">
            <w:pPr>
              <w:jc w:val="center"/>
            </w:pPr>
          </w:p>
        </w:tc>
      </w:tr>
      <w:tr w14:paraId="7C76602D">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9DD0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62A35">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3623FC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B98A">
            <w:pPr>
              <w:jc w:val="center"/>
            </w:pPr>
            <w:r>
              <w:rPr>
                <w:rFonts w:ascii="宋体" w:hAnsi="宋体" w:eastAsia="宋体"/>
                <w:sz w:val="16"/>
              </w:rPr>
              <w:t>93.32分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5741C7"/>
        </w:tc>
      </w:tr>
    </w:tbl>
    <w:p w14:paraId="4F67668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776"/>
        <w:gridCol w:w="632"/>
        <w:gridCol w:w="632"/>
        <w:gridCol w:w="632"/>
        <w:gridCol w:w="696"/>
        <w:gridCol w:w="632"/>
        <w:gridCol w:w="632"/>
        <w:gridCol w:w="632"/>
      </w:tblGrid>
      <w:tr w14:paraId="521A5ED5">
        <w:tblPrEx>
          <w:tblCellMar>
            <w:top w:w="0" w:type="dxa"/>
            <w:left w:w="108" w:type="dxa"/>
            <w:bottom w:w="0" w:type="dxa"/>
            <w:right w:w="108" w:type="dxa"/>
          </w:tblCellMar>
        </w:tblPrEx>
        <w:tc>
          <w:tcPr>
            <w:tcW w:w="8848" w:type="dxa"/>
            <w:gridSpan w:val="14"/>
            <w:vAlign w:val="center"/>
          </w:tcPr>
          <w:p w14:paraId="3C38E9A9">
            <w:pPr>
              <w:jc w:val="center"/>
            </w:pPr>
            <w:r>
              <w:rPr>
                <w:rFonts w:ascii="宋体" w:hAnsi="宋体" w:eastAsia="宋体"/>
                <w:sz w:val="24"/>
              </w:rPr>
              <w:t>项目支出绩效自评表</w:t>
            </w:r>
          </w:p>
        </w:tc>
      </w:tr>
      <w:tr w14:paraId="7C899C3D">
        <w:tblPrEx>
          <w:tblCellMar>
            <w:top w:w="0" w:type="dxa"/>
            <w:left w:w="108" w:type="dxa"/>
            <w:bottom w:w="0" w:type="dxa"/>
            <w:right w:w="108" w:type="dxa"/>
          </w:tblCellMar>
        </w:tblPrEx>
        <w:tc>
          <w:tcPr>
            <w:tcW w:w="8848" w:type="dxa"/>
            <w:gridSpan w:val="14"/>
            <w:vAlign w:val="center"/>
          </w:tcPr>
          <w:p w14:paraId="0640C30E">
            <w:pPr>
              <w:jc w:val="center"/>
            </w:pPr>
            <w:r>
              <w:rPr>
                <w:rFonts w:ascii="宋体" w:hAnsi="宋体" w:eastAsia="宋体"/>
                <w:sz w:val="24"/>
              </w:rPr>
              <w:t>(2024年度)</w:t>
            </w:r>
          </w:p>
        </w:tc>
      </w:tr>
      <w:tr w14:paraId="7B9093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955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64FF3D">
            <w:pPr>
              <w:jc w:val="center"/>
            </w:pPr>
            <w:r>
              <w:rPr>
                <w:rFonts w:ascii="宋体" w:hAnsi="宋体" w:eastAsia="宋体"/>
                <w:sz w:val="16"/>
              </w:rPr>
              <w:t>2024年自治区畜牧业生产发展项目</w:t>
            </w:r>
          </w:p>
        </w:tc>
      </w:tr>
      <w:tr w14:paraId="4F7779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E3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4D5C40">
            <w:pPr>
              <w:jc w:val="center"/>
            </w:pPr>
            <w:r>
              <w:rPr>
                <w:rFonts w:ascii="宋体" w:hAnsi="宋体" w:eastAsia="宋体"/>
                <w:sz w:val="16"/>
              </w:rPr>
              <w:t>喀什地区畜牧兽医局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0B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691908">
            <w:pPr>
              <w:jc w:val="center"/>
            </w:pPr>
            <w:r>
              <w:rPr>
                <w:rFonts w:ascii="宋体" w:hAnsi="宋体" w:eastAsia="宋体"/>
                <w:sz w:val="16"/>
              </w:rPr>
              <w:t>喀什地区畜牧工作站</w:t>
            </w:r>
          </w:p>
        </w:tc>
      </w:tr>
      <w:tr w14:paraId="32BECD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DA0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10E3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214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8A4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8D4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A9C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185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FB85">
            <w:pPr>
              <w:jc w:val="center"/>
            </w:pPr>
            <w:r>
              <w:rPr>
                <w:rFonts w:ascii="宋体" w:hAnsi="宋体" w:eastAsia="宋体"/>
                <w:sz w:val="16"/>
              </w:rPr>
              <w:t>得分</w:t>
            </w:r>
          </w:p>
        </w:tc>
      </w:tr>
      <w:tr w14:paraId="32B59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5F0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CFC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9D2AF">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BDBC6">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8CD4A">
            <w:pPr>
              <w:jc w:val="center"/>
            </w:pPr>
            <w:r>
              <w:rPr>
                <w:rFonts w:ascii="宋体" w:hAnsi="宋体" w:eastAsia="宋体"/>
                <w:sz w:val="16"/>
              </w:rPr>
              <w:t>57.24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10E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340E2">
            <w:pPr>
              <w:jc w:val="center"/>
            </w:pPr>
            <w:r>
              <w:rPr>
                <w:rFonts w:ascii="宋体" w:hAnsi="宋体" w:eastAsia="宋体"/>
                <w:sz w:val="16"/>
              </w:rPr>
              <w:t>95.4%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AC9BE">
            <w:pPr>
              <w:jc w:val="center"/>
            </w:pPr>
            <w:r>
              <w:rPr>
                <w:rFonts w:ascii="宋体" w:hAnsi="宋体" w:eastAsia="宋体"/>
                <w:sz w:val="16"/>
              </w:rPr>
              <w:t>10.00分</w:t>
            </w:r>
          </w:p>
        </w:tc>
      </w:tr>
      <w:tr w14:paraId="3E8A1E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938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EB6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1409D">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E9C2E">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77E09">
            <w:pPr>
              <w:jc w:val="center"/>
            </w:pPr>
            <w:r>
              <w:rPr>
                <w:rFonts w:ascii="宋体" w:hAnsi="宋体" w:eastAsia="宋体"/>
                <w:sz w:val="16"/>
              </w:rPr>
              <w:t>57.24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2C9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832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CE18">
            <w:pPr>
              <w:jc w:val="center"/>
            </w:pPr>
            <w:r>
              <w:rPr>
                <w:rFonts w:ascii="宋体" w:hAnsi="宋体" w:eastAsia="宋体"/>
                <w:sz w:val="16"/>
              </w:rPr>
              <w:t>—</w:t>
            </w:r>
          </w:p>
        </w:tc>
      </w:tr>
      <w:tr w14:paraId="4F9C2E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97B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9EB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F90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256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B3C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919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B76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66E6">
            <w:pPr>
              <w:jc w:val="center"/>
            </w:pPr>
            <w:r>
              <w:rPr>
                <w:rFonts w:ascii="宋体" w:hAnsi="宋体" w:eastAsia="宋体"/>
                <w:sz w:val="16"/>
              </w:rPr>
              <w:t>—</w:t>
            </w:r>
          </w:p>
        </w:tc>
      </w:tr>
      <w:tr w14:paraId="4E6089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E82B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53D2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A70B6B">
            <w:pPr>
              <w:jc w:val="center"/>
            </w:pPr>
            <w:r>
              <w:rPr>
                <w:rFonts w:ascii="宋体" w:hAnsi="宋体" w:eastAsia="宋体"/>
                <w:sz w:val="16"/>
              </w:rPr>
              <w:t>实际完成情况</w:t>
            </w:r>
          </w:p>
        </w:tc>
      </w:tr>
      <w:tr w14:paraId="483F1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D438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839DCA">
            <w:pPr>
              <w:jc w:val="both"/>
            </w:pPr>
            <w:r>
              <w:rPr>
                <w:rFonts w:ascii="宋体" w:hAnsi="宋体" w:eastAsia="宋体"/>
                <w:sz w:val="16"/>
              </w:rPr>
              <w:t>推广畜禽良种，购置液氮储藏罐1个和制作冻精设备1套，用以加快区内</w:t>
            </w:r>
            <w:r>
              <w:rPr>
                <w:rFonts w:hint="eastAsia" w:ascii="宋体" w:hAnsi="宋体"/>
                <w:sz w:val="16"/>
                <w:lang w:eastAsia="zh-CN"/>
              </w:rPr>
              <w:t>主要畜禽遗传</w:t>
            </w:r>
            <w:r>
              <w:rPr>
                <w:rFonts w:ascii="宋体" w:hAnsi="宋体" w:eastAsia="宋体"/>
                <w:sz w:val="16"/>
              </w:rPr>
              <w:t>改良进程,促进产学研相结合，推进畜禽种业育繁推一体化发展，发挥畜禽品种选育推广体系作用，推广优良种畜禽以及畜牧业实用技术，提高自治区畜禽良种化率和畜产品生产能力，使牛羊核心种源自给率达70%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C50080">
            <w:pPr>
              <w:jc w:val="both"/>
            </w:pPr>
            <w:r>
              <w:rPr>
                <w:rFonts w:ascii="宋体" w:hAnsi="宋体" w:eastAsia="宋体"/>
                <w:sz w:val="16"/>
              </w:rPr>
              <w:t>一是推广畜禽良种，购置液氮储藏罐1个和制作冻精设备1套，加快区内</w:t>
            </w:r>
            <w:r>
              <w:rPr>
                <w:rFonts w:hint="eastAsia" w:ascii="宋体" w:hAnsi="宋体"/>
                <w:sz w:val="16"/>
                <w:lang w:eastAsia="zh-CN"/>
              </w:rPr>
              <w:t>主要畜禽遗传</w:t>
            </w:r>
            <w:r>
              <w:rPr>
                <w:rFonts w:ascii="宋体" w:hAnsi="宋体" w:eastAsia="宋体"/>
                <w:sz w:val="16"/>
              </w:rPr>
              <w:t>改良进程，推广优良种畜禽以及畜牧业实用技术，提升种羊种源供应能力和质量。二是全地区补贴推广优质种公羊1700余只，以多浪羊、湖羊为主导品种的绵羊良种率达82.22%。三是种业提升技术体系项目稳步实施，稳步推进自治区农区肉羊技术体系等3个种业提升项目的实施，加大项目指导力度，取得良好的成效。</w:t>
            </w:r>
          </w:p>
        </w:tc>
      </w:tr>
      <w:tr w14:paraId="59DC19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B775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B4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6A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0CA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44A1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FF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8F5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F20F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91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571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DE8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DA0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0CAEC">
            <w:pPr>
              <w:jc w:val="center"/>
            </w:pPr>
            <w:r>
              <w:rPr>
                <w:rFonts w:ascii="宋体" w:hAnsi="宋体" w:eastAsia="宋体"/>
                <w:sz w:val="16"/>
              </w:rPr>
              <w:t>偏差原因分析及改进措施</w:t>
            </w:r>
          </w:p>
        </w:tc>
      </w:tr>
      <w:tr w14:paraId="7BABFE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8B7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4EE6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C74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CBA9">
            <w:pPr>
              <w:jc w:val="center"/>
            </w:pPr>
            <w:r>
              <w:rPr>
                <w:rFonts w:ascii="宋体" w:hAnsi="宋体" w:eastAsia="宋体"/>
                <w:sz w:val="16"/>
              </w:rPr>
              <w:t>购置安装液氮贮藏罐及附属设施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52D1">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47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20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10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08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F9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DF67">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626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D0A9A">
            <w:pPr>
              <w:jc w:val="center"/>
            </w:pPr>
          </w:p>
        </w:tc>
      </w:tr>
      <w:tr w14:paraId="356D3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D88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005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B38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45DC">
            <w:pPr>
              <w:jc w:val="center"/>
            </w:pPr>
            <w:r>
              <w:rPr>
                <w:rFonts w:ascii="宋体" w:hAnsi="宋体" w:eastAsia="宋体"/>
                <w:sz w:val="16"/>
              </w:rPr>
              <w:t>购置制作冻精设备数量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F28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58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BD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AF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419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9F2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0C68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7B9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BE7A7">
            <w:pPr>
              <w:jc w:val="center"/>
            </w:pPr>
          </w:p>
        </w:tc>
      </w:tr>
      <w:tr w14:paraId="4DB438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1B9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17D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991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2E62">
            <w:pPr>
              <w:jc w:val="center"/>
            </w:pPr>
            <w:r>
              <w:rPr>
                <w:rFonts w:ascii="宋体" w:hAnsi="宋体" w:eastAsia="宋体"/>
                <w:sz w:val="16"/>
              </w:rPr>
              <w:t>制作羊冻精数量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8901">
            <w:pPr>
              <w:jc w:val="center"/>
            </w:pPr>
            <w:r>
              <w:rPr>
                <w:rFonts w:ascii="宋体" w:hAnsi="宋体" w:eastAsia="宋体"/>
                <w:sz w:val="16"/>
              </w:rPr>
              <w:t>=3000剂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2D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45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564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78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41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4EDD8">
            <w:pPr>
              <w:jc w:val="center"/>
            </w:pPr>
            <w:r>
              <w:rPr>
                <w:rFonts w:ascii="宋体" w:hAnsi="宋体" w:eastAsia="宋体"/>
                <w:sz w:val="16"/>
              </w:rPr>
              <w:t>=3640剂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8FED">
            <w:pPr>
              <w:jc w:val="center"/>
            </w:pPr>
            <w:r>
              <w:rPr>
                <w:rFonts w:ascii="宋体" w:hAnsi="宋体" w:eastAsia="宋体"/>
                <w:sz w:val="16"/>
              </w:rPr>
              <w:t>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20DF1">
            <w:pPr>
              <w:jc w:val="center"/>
            </w:pPr>
            <w:r>
              <w:rPr>
                <w:rFonts w:ascii="宋体" w:hAnsi="宋体" w:eastAsia="宋体"/>
                <w:sz w:val="16"/>
              </w:rPr>
              <w:t>偏差原因：项目设定绩效目标制作羊冻精数量3000剂，实际完成3640剂，超额完成造成正偏差。</w:t>
            </w:r>
          </w:p>
        </w:tc>
      </w:tr>
      <w:tr w14:paraId="5E187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C0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EEA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4D4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C3EC">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BC8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A2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411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93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001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6A5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C4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0E4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CE33B">
            <w:pPr>
              <w:jc w:val="center"/>
            </w:pPr>
          </w:p>
        </w:tc>
      </w:tr>
      <w:tr w14:paraId="30E192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277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873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F8C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6084">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3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C55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1335">
            <w:pPr>
              <w:jc w:val="center"/>
            </w:pPr>
            <w:r>
              <w:rPr>
                <w:rFonts w:ascii="宋体" w:hAnsi="宋体" w:eastAsia="宋体"/>
                <w:sz w:val="16"/>
              </w:rPr>
              <w:t>=84.23%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4D6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0DD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6F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43DDB">
            <w:pPr>
              <w:jc w:val="center"/>
            </w:pPr>
            <w:r>
              <w:rPr>
                <w:rFonts w:ascii="宋体" w:hAnsi="宋体" w:eastAsia="宋体"/>
                <w:sz w:val="16"/>
              </w:rPr>
              <w:t>=95.4%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8673E">
            <w:pPr>
              <w:jc w:val="center"/>
            </w:pPr>
            <w:r>
              <w:rPr>
                <w:rFonts w:ascii="宋体" w:hAnsi="宋体" w:eastAsia="宋体"/>
                <w:sz w:val="16"/>
              </w:rPr>
              <w:t>5.31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4ACD2">
            <w:pPr>
              <w:jc w:val="center"/>
            </w:pPr>
            <w:r>
              <w:rPr>
                <w:rFonts w:ascii="宋体" w:hAnsi="宋体" w:eastAsia="宋体"/>
                <w:sz w:val="16"/>
              </w:rPr>
              <w:t>偏差原因：项目前期和自治区确定任务内容后已是年中，项目部分内容未实施，造成社会效益指标差异；改进措施：加快项目实施，及时收集票据资料拨付项目资金，完成项目各项指标任务达成目标。</w:t>
            </w:r>
          </w:p>
        </w:tc>
      </w:tr>
      <w:tr w14:paraId="082F0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E39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572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B9D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4D7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145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05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9BF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26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B8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B1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74D5">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6B8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25A75">
            <w:pPr>
              <w:jc w:val="center"/>
            </w:pPr>
          </w:p>
        </w:tc>
      </w:tr>
      <w:tr w14:paraId="6BFDF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70D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3E90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986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9127C">
            <w:pPr>
              <w:jc w:val="center"/>
            </w:pPr>
            <w:r>
              <w:rPr>
                <w:rFonts w:ascii="宋体" w:hAnsi="宋体" w:eastAsia="宋体"/>
                <w:sz w:val="16"/>
              </w:rPr>
              <w:t>购置制作冻精设备成本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1D79">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C2D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F4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17B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5F5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9F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EDDA">
            <w:pPr>
              <w:jc w:val="center"/>
            </w:pPr>
            <w:r>
              <w:rPr>
                <w:rFonts w:ascii="宋体" w:hAnsi="宋体" w:eastAsia="宋体"/>
                <w:sz w:val="16"/>
              </w:rPr>
              <w:t>=6.18万元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B44E">
            <w:pPr>
              <w:jc w:val="center"/>
            </w:pPr>
            <w:r>
              <w:rPr>
                <w:rFonts w:ascii="宋体" w:hAnsi="宋体" w:eastAsia="宋体"/>
                <w:sz w:val="16"/>
              </w:rPr>
              <w:t>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6AF3C">
            <w:pPr>
              <w:jc w:val="center"/>
            </w:pPr>
            <w:r>
              <w:rPr>
                <w:rFonts w:ascii="宋体" w:hAnsi="宋体" w:eastAsia="宋体"/>
                <w:sz w:val="16"/>
              </w:rPr>
              <w:t>偏差原因：冻精设备询价后节约资金造成差异；改进措施：项目人员和财务人员加强学习，提升预算编制能力，精准设定绩效指标。</w:t>
            </w:r>
          </w:p>
        </w:tc>
      </w:tr>
      <w:tr w14:paraId="09B952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570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D83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D0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A496F">
            <w:pPr>
              <w:jc w:val="center"/>
            </w:pPr>
            <w:r>
              <w:rPr>
                <w:rFonts w:ascii="宋体" w:hAnsi="宋体" w:eastAsia="宋体"/>
                <w:sz w:val="16"/>
              </w:rPr>
              <w:t>购置安装液氮贮藏罐及附属设施成本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4796C">
            <w:pPr>
              <w:jc w:val="center"/>
            </w:pPr>
            <w:r>
              <w:rPr>
                <w:rFonts w:ascii="宋体" w:hAnsi="宋体" w:eastAsia="宋体"/>
                <w:sz w:val="16"/>
              </w:rPr>
              <w:t>&lt;=43万元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F7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AD6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C98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C3F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2B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A00D">
            <w:pPr>
              <w:jc w:val="center"/>
            </w:pPr>
            <w:r>
              <w:rPr>
                <w:rFonts w:ascii="宋体" w:hAnsi="宋体" w:eastAsia="宋体"/>
                <w:sz w:val="16"/>
              </w:rPr>
              <w:t>=39.86万元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19B0">
            <w:pPr>
              <w:jc w:val="center"/>
            </w:pPr>
            <w:r>
              <w:rPr>
                <w:rFonts w:ascii="宋体" w:hAnsi="宋体" w:eastAsia="宋体"/>
                <w:sz w:val="16"/>
              </w:rPr>
              <w:t>6.54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E95E9">
            <w:pPr>
              <w:jc w:val="center"/>
            </w:pPr>
            <w:r>
              <w:rPr>
                <w:rFonts w:ascii="宋体" w:hAnsi="宋体" w:eastAsia="宋体"/>
                <w:sz w:val="16"/>
              </w:rPr>
              <w:t>偏差原因：液氮储藏罐挂网询价后节约资金造成差异；改进措施：项目人员和财务人员加强学习，提升预算编制能力，精准设定绩效指标。</w:t>
            </w:r>
          </w:p>
        </w:tc>
      </w:tr>
      <w:tr w14:paraId="7C83B9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C18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739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853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C93F">
            <w:pPr>
              <w:jc w:val="center"/>
            </w:pPr>
            <w:r>
              <w:rPr>
                <w:rFonts w:ascii="宋体" w:hAnsi="宋体" w:eastAsia="宋体"/>
                <w:sz w:val="16"/>
              </w:rPr>
              <w:t>项目其他相关支出成本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AA60">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167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F1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8D98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20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27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48F2">
            <w:pPr>
              <w:jc w:val="center"/>
            </w:pPr>
            <w:r>
              <w:rPr>
                <w:rFonts w:ascii="宋体" w:hAnsi="宋体" w:eastAsia="宋体"/>
                <w:sz w:val="16"/>
              </w:rPr>
              <w: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5AD1B">
            <w:pPr>
              <w:jc w:val="center"/>
            </w:pPr>
            <w:r>
              <w:rPr>
                <w:rFonts w:ascii="宋体" w:hAnsi="宋体" w:eastAsia="宋体"/>
                <w:sz w:val="16"/>
              </w:rPr>
              <w:t>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E0B8C">
            <w:pPr>
              <w:jc w:val="center"/>
            </w:pPr>
            <w:r>
              <w:rPr>
                <w:rFonts w:ascii="宋体" w:hAnsi="宋体" w:eastAsia="宋体"/>
                <w:sz w:val="16"/>
              </w:rPr>
              <w:t>偏差原因：项目为提前下达项目，前期项目编制计划项目其他相关支出9万元，后因项目确认任务及资金预算后，未调整项目绩效指标，造成差异。改进措施：加强项目人员培训，今后项目申报中及时准确设定项目绩效指标。</w:t>
            </w:r>
          </w:p>
        </w:tc>
      </w:tr>
      <w:tr w14:paraId="6D853B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AE3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27E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E9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87E2">
            <w:pPr>
              <w:jc w:val="center"/>
            </w:pPr>
            <w:r>
              <w:rPr>
                <w:rFonts w:ascii="宋体" w:hAnsi="宋体" w:eastAsia="宋体"/>
                <w:sz w:val="16"/>
              </w:rPr>
              <w:t>加快牛羊品种改良进程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4BD1">
            <w:pPr>
              <w:jc w:val="center"/>
            </w:pPr>
            <w:r>
              <w:rPr>
                <w:rFonts w:ascii="宋体" w:hAnsi="宋体" w:eastAsia="宋体"/>
                <w:sz w:val="16"/>
              </w:rPr>
              <w:t>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BC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0E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BC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D3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811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C35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6C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4955A">
            <w:pPr>
              <w:jc w:val="center"/>
            </w:pPr>
            <w:r>
              <w:rPr>
                <w:rFonts w:ascii="宋体" w:hAnsi="宋体" w:eastAsia="宋体"/>
                <w:sz w:val="16"/>
              </w:rPr>
              <w:t>偏差原因：项目前期和自治区确定任务内容后已是年中，项目部分内容未实施，造成社会效益指标差异；改进措施：加快项目实施，及时收集票据资料拨付项目资金，完成项目各项指标任务达成目标。</w:t>
            </w:r>
          </w:p>
        </w:tc>
      </w:tr>
      <w:tr w14:paraId="6A756F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84B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B97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C19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09D82">
            <w:pPr>
              <w:jc w:val="center"/>
            </w:pPr>
            <w:r>
              <w:rPr>
                <w:rFonts w:ascii="宋体" w:hAnsi="宋体" w:eastAsia="宋体"/>
                <w:sz w:val="16"/>
              </w:rPr>
              <w:t>项目受益对象实施满意度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8F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65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C8C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E2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45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47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A2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F83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7D12C">
            <w:pPr>
              <w:jc w:val="center"/>
            </w:pPr>
          </w:p>
        </w:tc>
      </w:tr>
      <w:tr w14:paraId="41C2C90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CD7D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801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8F95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811B">
            <w:pPr>
              <w:jc w:val="center"/>
            </w:pPr>
            <w:r>
              <w:rPr>
                <w:rFonts w:ascii="宋体" w:hAnsi="宋体" w:eastAsia="宋体"/>
                <w:sz w:val="16"/>
              </w:rPr>
              <w:t>92.12分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832588"/>
        </w:tc>
      </w:tr>
    </w:tbl>
    <w:p w14:paraId="1553ECA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2865B7D5">
        <w:tblPrEx>
          <w:tblCellMar>
            <w:top w:w="0" w:type="dxa"/>
            <w:left w:w="108" w:type="dxa"/>
            <w:bottom w:w="0" w:type="dxa"/>
            <w:right w:w="108" w:type="dxa"/>
          </w:tblCellMar>
        </w:tblPrEx>
        <w:tc>
          <w:tcPr>
            <w:tcW w:w="8848" w:type="dxa"/>
            <w:gridSpan w:val="14"/>
            <w:vAlign w:val="center"/>
          </w:tcPr>
          <w:p w14:paraId="68363AE7">
            <w:pPr>
              <w:jc w:val="center"/>
            </w:pPr>
            <w:r>
              <w:rPr>
                <w:rFonts w:ascii="宋体" w:hAnsi="宋体" w:eastAsia="宋体"/>
                <w:sz w:val="24"/>
              </w:rPr>
              <w:t>项目支出绩效自评表</w:t>
            </w:r>
          </w:p>
        </w:tc>
      </w:tr>
      <w:tr w14:paraId="4E29CF74">
        <w:tblPrEx>
          <w:tblCellMar>
            <w:top w:w="0" w:type="dxa"/>
            <w:left w:w="108" w:type="dxa"/>
            <w:bottom w:w="0" w:type="dxa"/>
            <w:right w:w="108" w:type="dxa"/>
          </w:tblCellMar>
        </w:tblPrEx>
        <w:tc>
          <w:tcPr>
            <w:tcW w:w="8848" w:type="dxa"/>
            <w:gridSpan w:val="14"/>
            <w:vAlign w:val="center"/>
          </w:tcPr>
          <w:p w14:paraId="27D0F605">
            <w:pPr>
              <w:jc w:val="center"/>
            </w:pPr>
            <w:r>
              <w:rPr>
                <w:rFonts w:ascii="宋体" w:hAnsi="宋体" w:eastAsia="宋体"/>
                <w:sz w:val="24"/>
              </w:rPr>
              <w:t>(2024年度)</w:t>
            </w:r>
          </w:p>
        </w:tc>
      </w:tr>
      <w:tr w14:paraId="40CD89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CF9A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6BAFB1">
            <w:pPr>
              <w:jc w:val="center"/>
            </w:pPr>
            <w:r>
              <w:rPr>
                <w:rFonts w:ascii="宋体" w:hAnsi="宋体" w:eastAsia="宋体"/>
                <w:sz w:val="16"/>
              </w:rPr>
              <w:t>新疆人才发展基金2024年度第一轮支持（产业技术创新团队支持计划）项目</w:t>
            </w:r>
          </w:p>
        </w:tc>
      </w:tr>
      <w:tr w14:paraId="5059B5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1604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C633F0">
            <w:pPr>
              <w:jc w:val="center"/>
            </w:pPr>
            <w:r>
              <w:rPr>
                <w:rFonts w:ascii="宋体" w:hAnsi="宋体" w:eastAsia="宋体"/>
                <w:sz w:val="16"/>
              </w:rPr>
              <w:t>喀什地区畜牧兽医局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E46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536551">
            <w:pPr>
              <w:jc w:val="center"/>
            </w:pPr>
            <w:r>
              <w:rPr>
                <w:rFonts w:ascii="宋体" w:hAnsi="宋体" w:eastAsia="宋体"/>
                <w:sz w:val="16"/>
              </w:rPr>
              <w:t>喀什地区畜牧工作站</w:t>
            </w:r>
          </w:p>
        </w:tc>
      </w:tr>
      <w:tr w14:paraId="22BB53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CEA8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A6F5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995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4CC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463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7DA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6DF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9B124">
            <w:pPr>
              <w:jc w:val="center"/>
            </w:pPr>
            <w:r>
              <w:rPr>
                <w:rFonts w:ascii="宋体" w:hAnsi="宋体" w:eastAsia="宋体"/>
                <w:sz w:val="16"/>
              </w:rPr>
              <w:t>得分</w:t>
            </w:r>
          </w:p>
        </w:tc>
      </w:tr>
      <w:tr w14:paraId="15CB43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250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2DBF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54700">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8FA78">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7DE8B">
            <w:pPr>
              <w:jc w:val="center"/>
            </w:pPr>
            <w:r>
              <w:rPr>
                <w:rFonts w:ascii="宋体" w:hAnsi="宋体" w:eastAsia="宋体"/>
                <w:sz w:val="16"/>
              </w:rPr>
              <w:t>23.48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A82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71EE6">
            <w:pPr>
              <w:jc w:val="center"/>
            </w:pPr>
            <w:r>
              <w:rPr>
                <w:rFonts w:ascii="宋体" w:hAnsi="宋体" w:eastAsia="宋体"/>
                <w:sz w:val="16"/>
              </w:rPr>
              <w:t>90.3%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FA5F">
            <w:pPr>
              <w:jc w:val="center"/>
            </w:pPr>
            <w:r>
              <w:rPr>
                <w:rFonts w:ascii="宋体" w:hAnsi="宋体" w:eastAsia="宋体"/>
                <w:sz w:val="16"/>
              </w:rPr>
              <w:t>10.00分</w:t>
            </w:r>
          </w:p>
        </w:tc>
      </w:tr>
      <w:tr w14:paraId="7C310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4BA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0D2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C1BD7">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2CFDB">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6CD64">
            <w:pPr>
              <w:jc w:val="center"/>
            </w:pPr>
            <w:r>
              <w:rPr>
                <w:rFonts w:ascii="宋体" w:hAnsi="宋体" w:eastAsia="宋体"/>
                <w:sz w:val="16"/>
              </w:rPr>
              <w:t>23.48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029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D3B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CAEF">
            <w:pPr>
              <w:jc w:val="center"/>
            </w:pPr>
            <w:r>
              <w:rPr>
                <w:rFonts w:ascii="宋体" w:hAnsi="宋体" w:eastAsia="宋体"/>
                <w:sz w:val="16"/>
              </w:rPr>
              <w:t>—</w:t>
            </w:r>
          </w:p>
        </w:tc>
      </w:tr>
      <w:tr w14:paraId="11F01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0F0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D6A8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8F0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35F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D29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8EC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C9F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2FA9A">
            <w:pPr>
              <w:jc w:val="center"/>
            </w:pPr>
            <w:r>
              <w:rPr>
                <w:rFonts w:ascii="宋体" w:hAnsi="宋体" w:eastAsia="宋体"/>
                <w:sz w:val="16"/>
              </w:rPr>
              <w:t>—</w:t>
            </w:r>
          </w:p>
        </w:tc>
      </w:tr>
      <w:tr w14:paraId="3B7536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7DC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B598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D62BB6">
            <w:pPr>
              <w:jc w:val="center"/>
            </w:pPr>
            <w:r>
              <w:rPr>
                <w:rFonts w:ascii="宋体" w:hAnsi="宋体" w:eastAsia="宋体"/>
                <w:sz w:val="16"/>
              </w:rPr>
              <w:t>实际完成情况</w:t>
            </w:r>
          </w:p>
        </w:tc>
      </w:tr>
      <w:tr w14:paraId="528E3E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ABFC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7CCF08">
            <w:pPr>
              <w:jc w:val="both"/>
            </w:pPr>
            <w:r>
              <w:rPr>
                <w:rFonts w:ascii="宋体" w:hAnsi="宋体" w:eastAsia="宋体"/>
                <w:sz w:val="16"/>
              </w:rPr>
              <w:t>围绕喀什地区农区肉羊新品种培育，将辖区内引进肉羊品种和地方品种（多浪羊）统筹纳入新品种杂交模式筛选，项目期内通过实验示范和生产性能测定，优选出1-2个服务肉羊规模养殖。指导各县市推广良种补贴优质西门塔尔（安格斯）牛冻精、推广费莱维赫冻精700剂。项目实施为喀什肉牛产业振兴，养殖户增收贡献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D6710D">
            <w:pPr>
              <w:jc w:val="both"/>
            </w:pPr>
            <w:r>
              <w:rPr>
                <w:rFonts w:ascii="宋体" w:hAnsi="宋体" w:eastAsia="宋体"/>
                <w:sz w:val="16"/>
              </w:rPr>
              <w:t>围绕喀什地区农区肉羊培育，将辖区内引进肉羊品种和地方品种（多浪羊）统筹纳入新品种杂交模式筛选，项目期内试验站配合岗位专家指导育种企业开展本年度性能测定多浪羊1797只（含核心群、新生羔羊），累计建立多浪羊良种选育核心群1400只（其中：五征796只，麦腾604只）。指导各县市推广良种补贴优质西门塔尔（安格斯）牛冻精、推广费莱维赫冻精700剂，全地区推广优质冻精，以西门塔尔牛品种为主的肉牛良种化率达92%以上，三代以上群体约占40%。</w:t>
            </w:r>
          </w:p>
        </w:tc>
      </w:tr>
      <w:tr w14:paraId="32F7CD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B346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77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2B6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4A9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B93A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63A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36C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507C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23D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D2C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4A6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2BA8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586DD">
            <w:pPr>
              <w:jc w:val="center"/>
            </w:pPr>
            <w:r>
              <w:rPr>
                <w:rFonts w:ascii="宋体" w:hAnsi="宋体" w:eastAsia="宋体"/>
                <w:sz w:val="16"/>
              </w:rPr>
              <w:t>偏差原因分析及改进措施</w:t>
            </w:r>
          </w:p>
        </w:tc>
      </w:tr>
      <w:tr w14:paraId="777B33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55C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02C1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8F7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1C37">
            <w:pPr>
              <w:jc w:val="center"/>
            </w:pPr>
            <w:r>
              <w:rPr>
                <w:rFonts w:ascii="宋体" w:hAnsi="宋体" w:eastAsia="宋体"/>
                <w:sz w:val="16"/>
              </w:rPr>
              <w:t>购进费莱维赫冻精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AA2F0">
            <w:pPr>
              <w:jc w:val="center"/>
            </w:pPr>
            <w:r>
              <w:rPr>
                <w:rFonts w:ascii="宋体" w:hAnsi="宋体" w:eastAsia="宋体"/>
                <w:sz w:val="16"/>
              </w:rPr>
              <w:t>&gt;=700剂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36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060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4E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2D9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A11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3B96">
            <w:pPr>
              <w:jc w:val="center"/>
            </w:pPr>
            <w:r>
              <w:rPr>
                <w:rFonts w:ascii="宋体" w:hAnsi="宋体" w:eastAsia="宋体"/>
                <w:sz w:val="16"/>
              </w:rPr>
              <w:t>=1297剂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31B9">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17968">
            <w:pPr>
              <w:jc w:val="center"/>
            </w:pPr>
            <w:r>
              <w:rPr>
                <w:rFonts w:ascii="宋体" w:hAnsi="宋体" w:eastAsia="宋体"/>
                <w:sz w:val="16"/>
              </w:rPr>
              <w:t>偏差原因：项目绩效目标设定不精准，询价采买冻精单价降低，增加购买弗莱维赫冻</w:t>
            </w:r>
            <w:r>
              <w:rPr>
                <w:rFonts w:hint="eastAsia" w:ascii="宋体" w:hAnsi="宋体"/>
                <w:sz w:val="16"/>
                <w:lang w:eastAsia="zh-CN"/>
              </w:rPr>
              <w:t>精彩</w:t>
            </w:r>
            <w:r>
              <w:rPr>
                <w:rFonts w:ascii="宋体" w:hAnsi="宋体" w:eastAsia="宋体"/>
                <w:sz w:val="16"/>
              </w:rPr>
              <w:t>买数量。</w:t>
            </w:r>
          </w:p>
        </w:tc>
      </w:tr>
      <w:tr w14:paraId="2D727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555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FF6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345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60CB">
            <w:pPr>
              <w:jc w:val="center"/>
            </w:pPr>
            <w:r>
              <w:rPr>
                <w:rFonts w:ascii="宋体" w:hAnsi="宋体" w:eastAsia="宋体"/>
                <w:sz w:val="16"/>
              </w:rPr>
              <w:t>组织开展技术服务场次数量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C71F">
            <w:pPr>
              <w:jc w:val="center"/>
            </w:pPr>
            <w:r>
              <w:rPr>
                <w:rFonts w:ascii="宋体" w:hAnsi="宋体" w:eastAsia="宋体"/>
                <w:sz w:val="16"/>
              </w:rPr>
              <w:t>&gt;=3场次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0B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41A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E8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AB8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CB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3910">
            <w:pPr>
              <w:jc w:val="center"/>
            </w:pPr>
            <w:r>
              <w:rPr>
                <w:rFonts w:ascii="宋体" w:hAnsi="宋体" w:eastAsia="宋体"/>
                <w:sz w:val="16"/>
              </w:rPr>
              <w:t>=15场次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9A9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0443A">
            <w:pPr>
              <w:jc w:val="center"/>
            </w:pPr>
            <w:r>
              <w:rPr>
                <w:rFonts w:ascii="宋体" w:hAnsi="宋体" w:eastAsia="宋体"/>
                <w:sz w:val="16"/>
              </w:rPr>
              <w:t>偏差原因：项目绩效目标设定不精准，实际开展服务场次增加。</w:t>
            </w:r>
          </w:p>
        </w:tc>
      </w:tr>
      <w:tr w14:paraId="03B0A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583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295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9C9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2E53F">
            <w:pPr>
              <w:jc w:val="center"/>
            </w:pPr>
            <w:r>
              <w:rPr>
                <w:rFonts w:ascii="宋体" w:hAnsi="宋体" w:eastAsia="宋体"/>
                <w:sz w:val="16"/>
              </w:rPr>
              <w:t>冻精验收合格率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22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77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85C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F5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D02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5C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513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C0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5CAA1">
            <w:pPr>
              <w:jc w:val="center"/>
            </w:pPr>
          </w:p>
        </w:tc>
      </w:tr>
      <w:tr w14:paraId="5ECACC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B12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081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86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C687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697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EF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0F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F1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E61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888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33FF">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913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5548C">
            <w:pPr>
              <w:jc w:val="center"/>
            </w:pPr>
          </w:p>
        </w:tc>
      </w:tr>
      <w:tr w14:paraId="20F772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D2D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D7C70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0FF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49E0A">
            <w:pPr>
              <w:jc w:val="center"/>
            </w:pPr>
            <w:r>
              <w:rPr>
                <w:rFonts w:ascii="宋体" w:hAnsi="宋体" w:eastAsia="宋体"/>
                <w:sz w:val="16"/>
              </w:rPr>
              <w:t>喀什地区农区肉羊体系成本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C4057">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8C9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CD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1BC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C7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5B8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AD1B7">
            <w:pPr>
              <w:jc w:val="center"/>
            </w:pPr>
            <w:r>
              <w:rPr>
                <w:rFonts w:ascii="宋体" w:hAnsi="宋体" w:eastAsia="宋体"/>
                <w:sz w:val="16"/>
              </w:rPr>
              <w:t>=11.78万元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F8737">
            <w:pPr>
              <w:jc w:val="center"/>
            </w:pPr>
            <w:r>
              <w:rPr>
                <w:rFonts w:ascii="宋体" w:hAnsi="宋体" w:eastAsia="宋体"/>
                <w:sz w:val="16"/>
              </w:rPr>
              <w:t>7.66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D6D3F">
            <w:pPr>
              <w:jc w:val="center"/>
            </w:pPr>
            <w:r>
              <w:rPr>
                <w:rFonts w:ascii="宋体" w:hAnsi="宋体" w:eastAsia="宋体"/>
                <w:sz w:val="16"/>
              </w:rPr>
              <w:t>偏差原因：与自治区畜牧部门签订年度任务书较晚，项目部分内容未实施完成，经费支出相对滞后。改进措施：加快项目实施，按照项目方案任务组织实施完成，收集项目资金票据资料及时拨付资金。</w:t>
            </w:r>
          </w:p>
        </w:tc>
      </w:tr>
      <w:tr w14:paraId="73B9F2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E35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4F0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B98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9022">
            <w:pPr>
              <w:jc w:val="center"/>
            </w:pPr>
            <w:r>
              <w:rPr>
                <w:rFonts w:ascii="宋体" w:hAnsi="宋体" w:eastAsia="宋体"/>
                <w:sz w:val="16"/>
              </w:rPr>
              <w:t>自治区现代农业肉牛产业技术体系成本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E222F">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51D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2A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757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86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8DA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8E43">
            <w:pPr>
              <w:jc w:val="center"/>
            </w:pPr>
            <w:r>
              <w:rPr>
                <w:rFonts w:ascii="宋体" w:hAnsi="宋体" w:eastAsia="宋体"/>
                <w:sz w:val="16"/>
              </w:rPr>
              <w:t>=11.7万元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1CD46">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CE79A">
            <w:pPr>
              <w:jc w:val="center"/>
            </w:pPr>
            <w:r>
              <w:rPr>
                <w:rFonts w:ascii="宋体" w:hAnsi="宋体" w:eastAsia="宋体"/>
                <w:sz w:val="16"/>
              </w:rPr>
              <w:t>偏差原因：与自治区畜牧部门签订年度任务书较晚，项目部分内容未实施完成，经费支出相对滞后。改进措施：加快项目实施，按照项目方案任务组织实施完成，收集项目资金票据资料及时拨付资金。</w:t>
            </w:r>
          </w:p>
        </w:tc>
      </w:tr>
      <w:tr w14:paraId="1FC5A8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266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F7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75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2EE0">
            <w:pPr>
              <w:jc w:val="center"/>
            </w:pPr>
            <w:r>
              <w:rPr>
                <w:rFonts w:ascii="宋体" w:hAnsi="宋体" w:eastAsia="宋体"/>
                <w:sz w:val="16"/>
              </w:rPr>
              <w:t>提高带动服务（企业）养殖场增收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ECA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F5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F34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DF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965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A5B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C94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E47B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B0098">
            <w:pPr>
              <w:jc w:val="center"/>
            </w:pPr>
            <w:r>
              <w:rPr>
                <w:rFonts w:ascii="宋体" w:hAnsi="宋体" w:eastAsia="宋体"/>
                <w:sz w:val="16"/>
              </w:rPr>
              <w:t>偏差原因：项目部分内容尚未执行完成，项目绩效目标尚未全部达成。改进措施：加快项目实施，推进项目产生实际效益。</w:t>
            </w:r>
          </w:p>
        </w:tc>
      </w:tr>
      <w:tr w14:paraId="7E8A3E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1CC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0A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CB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5348A">
            <w:pPr>
              <w:jc w:val="center"/>
            </w:pPr>
            <w:r>
              <w:rPr>
                <w:rFonts w:ascii="宋体" w:hAnsi="宋体" w:eastAsia="宋体"/>
                <w:sz w:val="16"/>
              </w:rPr>
              <w:t>岗位专家满意度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5C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8A4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44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62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ACC8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D5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6A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4D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C36FF">
            <w:pPr>
              <w:jc w:val="center"/>
            </w:pPr>
          </w:p>
        </w:tc>
      </w:tr>
      <w:tr w14:paraId="0BE40D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26A7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359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B6E6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F601">
            <w:pPr>
              <w:jc w:val="center"/>
            </w:pPr>
            <w:r>
              <w:rPr>
                <w:rFonts w:ascii="宋体" w:hAnsi="宋体" w:eastAsia="宋体"/>
                <w:sz w:val="16"/>
              </w:rPr>
              <w:t>76.63分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5FB1E6"/>
        </w:tc>
      </w:tr>
    </w:tbl>
    <w:p w14:paraId="3170183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96"/>
        <w:gridCol w:w="632"/>
        <w:gridCol w:w="632"/>
        <w:gridCol w:w="632"/>
      </w:tblGrid>
      <w:tr w14:paraId="3AE889B0">
        <w:tblPrEx>
          <w:tblCellMar>
            <w:top w:w="0" w:type="dxa"/>
            <w:left w:w="108" w:type="dxa"/>
            <w:bottom w:w="0" w:type="dxa"/>
            <w:right w:w="108" w:type="dxa"/>
          </w:tblCellMar>
        </w:tblPrEx>
        <w:tc>
          <w:tcPr>
            <w:tcW w:w="8848" w:type="dxa"/>
            <w:gridSpan w:val="14"/>
            <w:vAlign w:val="center"/>
          </w:tcPr>
          <w:p w14:paraId="26C61525">
            <w:pPr>
              <w:jc w:val="center"/>
            </w:pPr>
            <w:r>
              <w:rPr>
                <w:rFonts w:ascii="宋体" w:hAnsi="宋体" w:eastAsia="宋体"/>
                <w:sz w:val="24"/>
              </w:rPr>
              <w:t>项目支出绩效自评表</w:t>
            </w:r>
          </w:p>
        </w:tc>
      </w:tr>
      <w:tr w14:paraId="2BC56325">
        <w:tblPrEx>
          <w:tblCellMar>
            <w:top w:w="0" w:type="dxa"/>
            <w:left w:w="108" w:type="dxa"/>
            <w:bottom w:w="0" w:type="dxa"/>
            <w:right w:w="108" w:type="dxa"/>
          </w:tblCellMar>
        </w:tblPrEx>
        <w:tc>
          <w:tcPr>
            <w:tcW w:w="8848" w:type="dxa"/>
            <w:gridSpan w:val="14"/>
            <w:vAlign w:val="center"/>
          </w:tcPr>
          <w:p w14:paraId="004D619D">
            <w:pPr>
              <w:jc w:val="center"/>
            </w:pPr>
            <w:r>
              <w:rPr>
                <w:rFonts w:ascii="宋体" w:hAnsi="宋体" w:eastAsia="宋体"/>
                <w:sz w:val="24"/>
              </w:rPr>
              <w:t>(2024年度)</w:t>
            </w:r>
          </w:p>
        </w:tc>
      </w:tr>
      <w:tr w14:paraId="7F6420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006E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F6EC78">
            <w:pPr>
              <w:jc w:val="center"/>
            </w:pPr>
            <w:r>
              <w:rPr>
                <w:rFonts w:ascii="宋体" w:hAnsi="宋体" w:eastAsia="宋体"/>
                <w:sz w:val="16"/>
              </w:rPr>
              <w:t>液氮供应保障项目</w:t>
            </w:r>
          </w:p>
        </w:tc>
      </w:tr>
      <w:tr w14:paraId="3ED2C7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D3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0635DB">
            <w:pPr>
              <w:jc w:val="center"/>
            </w:pPr>
            <w:r>
              <w:rPr>
                <w:rFonts w:ascii="宋体" w:hAnsi="宋体" w:eastAsia="宋体"/>
                <w:sz w:val="16"/>
              </w:rPr>
              <w:t>喀什地区畜牧兽医局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0286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E0C99C">
            <w:pPr>
              <w:jc w:val="center"/>
            </w:pPr>
            <w:r>
              <w:rPr>
                <w:rFonts w:ascii="宋体" w:hAnsi="宋体" w:eastAsia="宋体"/>
                <w:sz w:val="16"/>
              </w:rPr>
              <w:t>喀什地区畜牧工作站</w:t>
            </w:r>
          </w:p>
        </w:tc>
      </w:tr>
      <w:tr w14:paraId="1C46CE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B0F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90B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FC9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826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BDA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B0D7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5D68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DD29">
            <w:pPr>
              <w:jc w:val="center"/>
            </w:pPr>
            <w:r>
              <w:rPr>
                <w:rFonts w:ascii="宋体" w:hAnsi="宋体" w:eastAsia="宋体"/>
                <w:sz w:val="16"/>
              </w:rPr>
              <w:t>得分</w:t>
            </w:r>
          </w:p>
        </w:tc>
      </w:tr>
      <w:tr w14:paraId="26AD2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CB4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657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AB0F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2159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3C71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360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A09B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84A3">
            <w:pPr>
              <w:jc w:val="center"/>
            </w:pPr>
            <w:r>
              <w:rPr>
                <w:rFonts w:ascii="宋体" w:hAnsi="宋体" w:eastAsia="宋体"/>
                <w:sz w:val="16"/>
              </w:rPr>
              <w:t>10.00分</w:t>
            </w:r>
          </w:p>
        </w:tc>
      </w:tr>
      <w:tr w14:paraId="6A5CAE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0C6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579C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59A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FCD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5E4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027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499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A5A8">
            <w:pPr>
              <w:jc w:val="center"/>
            </w:pPr>
            <w:r>
              <w:rPr>
                <w:rFonts w:ascii="宋体" w:hAnsi="宋体" w:eastAsia="宋体"/>
                <w:sz w:val="16"/>
              </w:rPr>
              <w:t>—</w:t>
            </w:r>
          </w:p>
        </w:tc>
      </w:tr>
      <w:tr w14:paraId="4D96C4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52F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899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30DA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1607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AFB5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EBA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B7A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F55D">
            <w:pPr>
              <w:jc w:val="center"/>
            </w:pPr>
            <w:r>
              <w:rPr>
                <w:rFonts w:ascii="宋体" w:hAnsi="宋体" w:eastAsia="宋体"/>
                <w:sz w:val="16"/>
              </w:rPr>
              <w:t>—</w:t>
            </w:r>
          </w:p>
        </w:tc>
      </w:tr>
      <w:tr w14:paraId="6921E1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F9D1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4BE1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BC3B32">
            <w:pPr>
              <w:jc w:val="center"/>
            </w:pPr>
            <w:r>
              <w:rPr>
                <w:rFonts w:ascii="宋体" w:hAnsi="宋体" w:eastAsia="宋体"/>
                <w:sz w:val="16"/>
              </w:rPr>
              <w:t>实际完成情况</w:t>
            </w:r>
          </w:p>
        </w:tc>
      </w:tr>
      <w:tr w14:paraId="7FC0A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4BC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3B6FD5">
            <w:pPr>
              <w:jc w:val="both"/>
            </w:pPr>
            <w:r>
              <w:rPr>
                <w:rFonts w:ascii="宋体" w:hAnsi="宋体" w:eastAsia="宋体"/>
                <w:sz w:val="16"/>
              </w:rPr>
              <w:t>为切实保障全区600多个黄牛冷配站点正常运行，确保完成2024年牛冷配改良任务，推进全区牛品种改良工作，供应液氮162立方保供服务，保障全区广大农牧养殖户养牛业稳步发展，确保农牧民（贫困户）增收，喀什地区畜牧工作站充分发挥行业职能，从自治区及时购调液氮，做好牛品种改良供应液氮后勤服务保障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D66283">
            <w:pPr>
              <w:jc w:val="both"/>
            </w:pPr>
            <w:r>
              <w:rPr>
                <w:rFonts w:ascii="宋体" w:hAnsi="宋体" w:eastAsia="宋体"/>
                <w:sz w:val="16"/>
              </w:rPr>
              <w:t>各县市良种补贴等项目保障冻精供应，严把冻精质量关，不断提高全区肉牛良种率。2024年地区本级供应液氮169.4方，推广肉牛冻精80万剂，冷配母牛36.57万头，完成率达106%，以西门他尔牛品种为主的牛良种率达92%以上，项目切实保证全区广大农牧养殖户养牛业稳步发展，确保农牧民增收发挥积极作用。</w:t>
            </w:r>
          </w:p>
        </w:tc>
      </w:tr>
      <w:tr w14:paraId="3273E6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D9F9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111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A3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56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5A5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877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1E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12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ED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CF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784D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271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C6856">
            <w:pPr>
              <w:jc w:val="center"/>
            </w:pPr>
            <w:r>
              <w:rPr>
                <w:rFonts w:ascii="宋体" w:hAnsi="宋体" w:eastAsia="宋体"/>
                <w:sz w:val="16"/>
              </w:rPr>
              <w:t>偏差原因分析及改进措施</w:t>
            </w:r>
          </w:p>
        </w:tc>
      </w:tr>
      <w:tr w14:paraId="5E3428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BE03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11C3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76F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93A8">
            <w:pPr>
              <w:jc w:val="center"/>
            </w:pPr>
            <w:r>
              <w:rPr>
                <w:rFonts w:ascii="宋体" w:hAnsi="宋体" w:eastAsia="宋体"/>
                <w:sz w:val="16"/>
              </w:rPr>
              <w:t>购调液氮量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2AD2">
            <w:pPr>
              <w:jc w:val="center"/>
            </w:pPr>
            <w:r>
              <w:rPr>
                <w:rFonts w:ascii="宋体" w:hAnsi="宋体" w:eastAsia="宋体"/>
                <w:sz w:val="16"/>
              </w:rPr>
              <w:t>&gt;=162立方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A72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383FD">
            <w:pPr>
              <w:jc w:val="center"/>
            </w:pPr>
            <w:r>
              <w:rPr>
                <w:rFonts w:ascii="宋体" w:hAnsi="宋体" w:eastAsia="宋体"/>
                <w:sz w:val="16"/>
              </w:rPr>
              <w:t>140.34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64D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869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9E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C6D4">
            <w:pPr>
              <w:jc w:val="center"/>
            </w:pPr>
            <w:r>
              <w:rPr>
                <w:rFonts w:ascii="宋体" w:hAnsi="宋体" w:eastAsia="宋体"/>
                <w:sz w:val="16"/>
              </w:rPr>
              <w:t>=169.4立方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CA8AF">
            <w:pPr>
              <w:jc w:val="center"/>
            </w:pPr>
            <w:r>
              <w:rPr>
                <w:rFonts w:ascii="宋体" w:hAnsi="宋体" w:eastAsia="宋体"/>
                <w:sz w:val="16"/>
              </w:rPr>
              <w:t>9.54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916DD">
            <w:pPr>
              <w:jc w:val="center"/>
            </w:pPr>
            <w:r>
              <w:rPr>
                <w:rFonts w:ascii="宋体" w:hAnsi="宋体" w:eastAsia="宋体"/>
                <w:sz w:val="16"/>
              </w:rPr>
              <w:t>差异原因:项目维修维护费调整至液氮款使用，购调液氮量增加造成差异；改进措施：加强项目人员培训，做好精准测算项目，制定项目绩效指标。</w:t>
            </w:r>
          </w:p>
        </w:tc>
      </w:tr>
      <w:tr w14:paraId="49815F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B97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FAB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8E9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6EE8">
            <w:pPr>
              <w:jc w:val="center"/>
            </w:pPr>
            <w:r>
              <w:rPr>
                <w:rFonts w:ascii="宋体" w:hAnsi="宋体" w:eastAsia="宋体"/>
                <w:sz w:val="16"/>
              </w:rPr>
              <w:t>供应液氮质量合格率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C0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F8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E0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0D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402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50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6D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5B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002DF">
            <w:pPr>
              <w:jc w:val="center"/>
            </w:pPr>
          </w:p>
        </w:tc>
      </w:tr>
      <w:tr w14:paraId="03D781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07A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2C0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728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F8199">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1F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4E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7AB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EC3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D4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6A4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5CA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37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8CCC1">
            <w:pPr>
              <w:jc w:val="center"/>
            </w:pPr>
          </w:p>
        </w:tc>
      </w:tr>
      <w:tr w14:paraId="70BC5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E3A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973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0B1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ACA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853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07D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F9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B11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4C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D1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6E51D">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91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74F81">
            <w:pPr>
              <w:jc w:val="center"/>
            </w:pPr>
          </w:p>
        </w:tc>
      </w:tr>
      <w:tr w14:paraId="470B6B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FB8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4776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00B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E5BC">
            <w:pPr>
              <w:jc w:val="center"/>
            </w:pPr>
            <w:r>
              <w:rPr>
                <w:rFonts w:ascii="宋体" w:hAnsi="宋体" w:eastAsia="宋体"/>
                <w:sz w:val="16"/>
              </w:rPr>
              <w:t>购置液氮每立方成本价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8509">
            <w:pPr>
              <w:jc w:val="center"/>
            </w:pPr>
            <w:r>
              <w:rPr>
                <w:rFonts w:ascii="宋体" w:hAnsi="宋体" w:eastAsia="宋体"/>
                <w:sz w:val="16"/>
              </w:rPr>
              <w:t>&lt;=3000元/立方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DF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4CC3">
            <w:pPr>
              <w:jc w:val="center"/>
            </w:pPr>
            <w:r>
              <w:rPr>
                <w:rFonts w:ascii="宋体" w:hAnsi="宋体" w:eastAsia="宋体"/>
                <w:sz w:val="16"/>
              </w:rPr>
              <w:t>2950元/立方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21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5D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71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BBA7">
            <w:pPr>
              <w:jc w:val="center"/>
            </w:pPr>
            <w:r>
              <w:rPr>
                <w:rFonts w:ascii="宋体" w:hAnsi="宋体" w:eastAsia="宋体"/>
                <w:sz w:val="16"/>
              </w:rPr>
              <w:t>=2950元/立方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28C19">
            <w:pPr>
              <w:jc w:val="center"/>
            </w:pPr>
            <w:r>
              <w:rPr>
                <w:rFonts w:ascii="宋体" w:hAnsi="宋体" w:eastAsia="宋体"/>
                <w:sz w:val="16"/>
              </w:rPr>
              <w:t>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FF43C">
            <w:pPr>
              <w:jc w:val="center"/>
            </w:pPr>
            <w:r>
              <w:rPr>
                <w:rFonts w:ascii="宋体" w:hAnsi="宋体" w:eastAsia="宋体"/>
                <w:sz w:val="16"/>
              </w:rPr>
              <w:t>差异原因：询价挂网采购液氮，采购价比计划采买价格便宜，造成偏差；改进措施：加强项目人员培训，提高项目绩效编制水准。</w:t>
            </w:r>
          </w:p>
        </w:tc>
      </w:tr>
      <w:tr w14:paraId="456356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57A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030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AE5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B7BF">
            <w:pPr>
              <w:jc w:val="center"/>
            </w:pPr>
            <w:r>
              <w:rPr>
                <w:rFonts w:ascii="宋体" w:hAnsi="宋体" w:eastAsia="宋体"/>
                <w:sz w:val="16"/>
              </w:rPr>
              <w:t>维修维护费成本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CEF7">
            <w:pPr>
              <w:jc w:val="center"/>
            </w:pPr>
            <w:r>
              <w:rPr>
                <w:rFonts w:ascii="宋体" w:hAnsi="宋体" w:eastAsia="宋体"/>
                <w:sz w:val="16"/>
              </w:rPr>
              <w:t>&lt;=1.40万元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39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DDF1">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F14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D73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DB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6DAD">
            <w:pPr>
              <w:jc w:val="center"/>
            </w:pPr>
            <w:r>
              <w:rPr>
                <w:rFonts w:ascii="宋体" w:hAnsi="宋体" w:eastAsia="宋体"/>
                <w:sz w:val="16"/>
              </w:rPr>
              <w:t>=0.028万元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C6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8C293">
            <w:pPr>
              <w:jc w:val="center"/>
            </w:pPr>
            <w:r>
              <w:rPr>
                <w:rFonts w:ascii="宋体" w:hAnsi="宋体" w:eastAsia="宋体"/>
                <w:sz w:val="16"/>
              </w:rPr>
              <w:t>差异原因：项目维修维护费调整至液氮款使用，维修维护费支出较少，造成差异；改进措施：加强项目人员培训，做好精准测算项目，制定项目绩效指标。</w:t>
            </w:r>
          </w:p>
        </w:tc>
      </w:tr>
      <w:tr w14:paraId="21978D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CEA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B60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0EC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C82A">
            <w:pPr>
              <w:jc w:val="center"/>
            </w:pPr>
            <w:r>
              <w:rPr>
                <w:rFonts w:ascii="宋体" w:hAnsi="宋体" w:eastAsia="宋体"/>
                <w:sz w:val="16"/>
              </w:rPr>
              <w:t>保障全区黄牛</w:t>
            </w:r>
            <w:r>
              <w:rPr>
                <w:rFonts w:hint="eastAsia" w:ascii="宋体" w:hAnsi="宋体"/>
                <w:sz w:val="16"/>
                <w:lang w:eastAsia="zh-CN"/>
              </w:rPr>
              <w:t>调配</w:t>
            </w:r>
            <w:r>
              <w:rPr>
                <w:rFonts w:ascii="宋体" w:hAnsi="宋体" w:eastAsia="宋体"/>
                <w:sz w:val="16"/>
              </w:rPr>
              <w:t>任务、提高农牧民收入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1366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B8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983D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361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D81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73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28F5">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8BF9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9531B">
            <w:pPr>
              <w:jc w:val="center"/>
            </w:pPr>
          </w:p>
        </w:tc>
      </w:tr>
      <w:tr w14:paraId="4F681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A16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EC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8C9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0E3C">
            <w:pPr>
              <w:jc w:val="center"/>
            </w:pPr>
            <w:r>
              <w:rPr>
                <w:rFonts w:ascii="宋体" w:hAnsi="宋体" w:eastAsia="宋体"/>
                <w:sz w:val="16"/>
              </w:rPr>
              <w:t>基层冷配技术人员满意度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92B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577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D6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DF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DAD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16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4E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437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2E72B">
            <w:pPr>
              <w:jc w:val="center"/>
            </w:pPr>
          </w:p>
        </w:tc>
      </w:tr>
      <w:tr w14:paraId="64FCC92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72AB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0E7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F1A3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78BF">
            <w:pPr>
              <w:jc w:val="center"/>
            </w:pPr>
            <w:r>
              <w:rPr>
                <w:rFonts w:ascii="宋体" w:hAnsi="宋体" w:eastAsia="宋体"/>
                <w:sz w:val="16"/>
              </w:rPr>
              <w:t>89.12分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C2258B"/>
        </w:tc>
      </w:tr>
    </w:tbl>
    <w:p w14:paraId="49A18A4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16355BB0">
        <w:tblPrEx>
          <w:tblCellMar>
            <w:top w:w="0" w:type="dxa"/>
            <w:left w:w="108" w:type="dxa"/>
            <w:bottom w:w="0" w:type="dxa"/>
            <w:right w:w="108" w:type="dxa"/>
          </w:tblCellMar>
        </w:tblPrEx>
        <w:tc>
          <w:tcPr>
            <w:tcW w:w="8848" w:type="dxa"/>
            <w:gridSpan w:val="14"/>
            <w:vAlign w:val="center"/>
          </w:tcPr>
          <w:p w14:paraId="0393AED6">
            <w:pPr>
              <w:jc w:val="center"/>
            </w:pPr>
            <w:r>
              <w:rPr>
                <w:rFonts w:ascii="宋体" w:hAnsi="宋体" w:eastAsia="宋体"/>
                <w:sz w:val="24"/>
              </w:rPr>
              <w:t>项目支出绩效自评表</w:t>
            </w:r>
          </w:p>
        </w:tc>
      </w:tr>
      <w:tr w14:paraId="6403ED16">
        <w:tblPrEx>
          <w:tblCellMar>
            <w:top w:w="0" w:type="dxa"/>
            <w:left w:w="108" w:type="dxa"/>
            <w:bottom w:w="0" w:type="dxa"/>
            <w:right w:w="108" w:type="dxa"/>
          </w:tblCellMar>
        </w:tblPrEx>
        <w:tc>
          <w:tcPr>
            <w:tcW w:w="8848" w:type="dxa"/>
            <w:gridSpan w:val="14"/>
            <w:vAlign w:val="center"/>
          </w:tcPr>
          <w:p w14:paraId="31BD4496">
            <w:pPr>
              <w:jc w:val="center"/>
            </w:pPr>
            <w:r>
              <w:rPr>
                <w:rFonts w:ascii="宋体" w:hAnsi="宋体" w:eastAsia="宋体"/>
                <w:sz w:val="24"/>
              </w:rPr>
              <w:t>(2024年度)</w:t>
            </w:r>
          </w:p>
        </w:tc>
      </w:tr>
      <w:tr w14:paraId="29B8E2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E2BD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C0E95E">
            <w:pPr>
              <w:jc w:val="center"/>
            </w:pPr>
            <w:r>
              <w:rPr>
                <w:rFonts w:ascii="宋体" w:hAnsi="宋体" w:eastAsia="宋体"/>
                <w:sz w:val="16"/>
              </w:rPr>
              <w:t>畜禽技术服务指导项目</w:t>
            </w:r>
          </w:p>
        </w:tc>
      </w:tr>
      <w:tr w14:paraId="4FD0B1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65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B78AA1">
            <w:pPr>
              <w:jc w:val="center"/>
            </w:pPr>
            <w:r>
              <w:rPr>
                <w:rFonts w:ascii="宋体" w:hAnsi="宋体" w:eastAsia="宋体"/>
                <w:sz w:val="16"/>
              </w:rPr>
              <w:t>喀什地区畜牧兽医局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525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8DB1A5">
            <w:pPr>
              <w:jc w:val="center"/>
            </w:pPr>
            <w:bookmarkStart w:id="0" w:name="_GoBack"/>
            <w:r>
              <w:rPr>
                <w:rFonts w:ascii="宋体" w:hAnsi="宋体" w:eastAsia="宋体"/>
                <w:sz w:val="16"/>
              </w:rPr>
              <w:t>喀什地区畜牧工作站</w:t>
            </w:r>
            <w:bookmarkEnd w:id="0"/>
          </w:p>
        </w:tc>
      </w:tr>
      <w:tr w14:paraId="728EEB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7FC0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D3A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4DED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885D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99AC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41D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80C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8C29">
            <w:pPr>
              <w:jc w:val="center"/>
            </w:pPr>
            <w:r>
              <w:rPr>
                <w:rFonts w:ascii="宋体" w:hAnsi="宋体" w:eastAsia="宋体"/>
                <w:sz w:val="16"/>
              </w:rPr>
              <w:t>得分</w:t>
            </w:r>
          </w:p>
        </w:tc>
      </w:tr>
      <w:tr w14:paraId="318D4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F96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8D6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E5AF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5FD6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AE47D">
            <w:pPr>
              <w:jc w:val="center"/>
            </w:pPr>
            <w:r>
              <w:rPr>
                <w:rFonts w:ascii="宋体" w:hAnsi="宋体" w:eastAsia="宋体"/>
                <w:sz w:val="16"/>
              </w:rPr>
              <w:t>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A1F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56D0E">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3EBF2">
            <w:pPr>
              <w:jc w:val="center"/>
            </w:pPr>
            <w:r>
              <w:rPr>
                <w:rFonts w:ascii="宋体" w:hAnsi="宋体" w:eastAsia="宋体"/>
                <w:sz w:val="16"/>
              </w:rPr>
              <w:t>10.00分</w:t>
            </w:r>
          </w:p>
        </w:tc>
      </w:tr>
      <w:tr w14:paraId="0E5321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5D8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9DD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8947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0B40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FF409">
            <w:pPr>
              <w:jc w:val="center"/>
            </w:pPr>
            <w:r>
              <w:rPr>
                <w:rFonts w:ascii="宋体" w:hAnsi="宋体" w:eastAsia="宋体"/>
                <w:sz w:val="16"/>
              </w:rPr>
              <w:t>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A53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2F8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CC97">
            <w:pPr>
              <w:jc w:val="center"/>
            </w:pPr>
            <w:r>
              <w:rPr>
                <w:rFonts w:ascii="宋体" w:hAnsi="宋体" w:eastAsia="宋体"/>
                <w:sz w:val="16"/>
              </w:rPr>
              <w:t>—</w:t>
            </w:r>
          </w:p>
        </w:tc>
      </w:tr>
      <w:tr w14:paraId="543233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F1F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D56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1E8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865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20E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77F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05C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2007B">
            <w:pPr>
              <w:jc w:val="center"/>
            </w:pPr>
            <w:r>
              <w:rPr>
                <w:rFonts w:ascii="宋体" w:hAnsi="宋体" w:eastAsia="宋体"/>
                <w:sz w:val="16"/>
              </w:rPr>
              <w:t>—</w:t>
            </w:r>
          </w:p>
        </w:tc>
      </w:tr>
      <w:tr w14:paraId="1913F0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EF2B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5C7F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959FE7">
            <w:pPr>
              <w:jc w:val="center"/>
            </w:pPr>
            <w:r>
              <w:rPr>
                <w:rFonts w:ascii="宋体" w:hAnsi="宋体" w:eastAsia="宋体"/>
                <w:sz w:val="16"/>
              </w:rPr>
              <w:t>实际完成情况</w:t>
            </w:r>
          </w:p>
        </w:tc>
      </w:tr>
      <w:tr w14:paraId="37CF4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EEB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15568C">
            <w:pPr>
              <w:jc w:val="both"/>
            </w:pPr>
            <w:r>
              <w:rPr>
                <w:rFonts w:ascii="宋体" w:hAnsi="宋体" w:eastAsia="宋体"/>
                <w:sz w:val="16"/>
              </w:rPr>
              <w:t>该项目总投资5万元，住宿费预算：84 天次*2 间/次*180 元/间=30240 元 差费预算：84 天次*2 人/次*120 元/人=20160 元。主要用于履行行业部门技术服务指导，我单位预计全年对12县市开展畜禽养殖品种改良、畜牧业养殖等技术指导服务，差旅费报销标准为住宿费180元/天，伙食补助120元/天，项目实施，提高良繁中心、养殖小区科学养殖水平，保障“四良一规范”技术有效推广，逐步提高喀什地区畜禽产业发展质量，巩固脱贫成果与乡村振兴有效衔接，为农户增收提供产业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D4DE97">
            <w:pPr>
              <w:jc w:val="both"/>
            </w:pPr>
            <w:r>
              <w:rPr>
                <w:rFonts w:ascii="宋体" w:hAnsi="宋体" w:eastAsia="宋体"/>
                <w:sz w:val="16"/>
              </w:rPr>
              <w:t>项目实施保障了我单位全年对12县市开展畜禽养殖品种改良、畜牧业养殖等技术示范推广，良种繁育中心指导服务等工作顺利开展，提高良繁中心、养殖园区科学养殖水平，推广“四良一规范”技术，推动喀什地区畜禽产业高质量发展，为农户增收提供产业支撑。</w:t>
            </w:r>
          </w:p>
        </w:tc>
      </w:tr>
      <w:tr w14:paraId="72AFA8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C70E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440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5DB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864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CFC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C9D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1FA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F804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B81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CC0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3D7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5C6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A8BFE">
            <w:pPr>
              <w:jc w:val="center"/>
            </w:pPr>
            <w:r>
              <w:rPr>
                <w:rFonts w:ascii="宋体" w:hAnsi="宋体" w:eastAsia="宋体"/>
                <w:sz w:val="16"/>
              </w:rPr>
              <w:t>偏差原因分析及改进措施</w:t>
            </w:r>
          </w:p>
        </w:tc>
      </w:tr>
      <w:tr w14:paraId="4852AA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344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42D8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525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8D44">
            <w:pPr>
              <w:jc w:val="center"/>
            </w:pPr>
            <w:r>
              <w:rPr>
                <w:rFonts w:ascii="宋体" w:hAnsi="宋体" w:eastAsia="宋体"/>
                <w:sz w:val="16"/>
              </w:rPr>
              <w:t>指导服务县市数量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39C24">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F24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615F7">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916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62E9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DA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F6C7F">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61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D8827">
            <w:pPr>
              <w:jc w:val="center"/>
            </w:pPr>
          </w:p>
        </w:tc>
      </w:tr>
      <w:tr w14:paraId="66CF60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862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40D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5BC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B6B5C">
            <w:pPr>
              <w:jc w:val="center"/>
            </w:pPr>
            <w:r>
              <w:rPr>
                <w:rFonts w:ascii="宋体" w:hAnsi="宋体" w:eastAsia="宋体"/>
                <w:sz w:val="16"/>
              </w:rPr>
              <w:t>技术服务指导天数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8E1C">
            <w:pPr>
              <w:jc w:val="center"/>
            </w:pPr>
            <w:r>
              <w:rPr>
                <w:rFonts w:ascii="宋体" w:hAnsi="宋体" w:eastAsia="宋体"/>
                <w:sz w:val="16"/>
              </w:rPr>
              <w:t>&gt;=84天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AE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1A26">
            <w:pPr>
              <w:jc w:val="center"/>
            </w:pPr>
            <w:r>
              <w:rPr>
                <w:rFonts w:ascii="宋体" w:hAnsi="宋体" w:eastAsia="宋体"/>
                <w:sz w:val="16"/>
              </w:rPr>
              <w:t>=84天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C0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6E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9D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D8DD6">
            <w:pPr>
              <w:jc w:val="center"/>
            </w:pPr>
            <w:r>
              <w:rPr>
                <w:rFonts w:ascii="宋体" w:hAnsi="宋体" w:eastAsia="宋体"/>
                <w:sz w:val="16"/>
              </w:rPr>
              <w:t>=180天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BB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B191E">
            <w:pPr>
              <w:jc w:val="center"/>
            </w:pPr>
            <w:r>
              <w:rPr>
                <w:rFonts w:ascii="宋体" w:hAnsi="宋体" w:eastAsia="宋体"/>
                <w:sz w:val="16"/>
              </w:rPr>
              <w:t>偏差原因：年初设定该绩效指标值偏低，造成正偏差。</w:t>
            </w:r>
          </w:p>
        </w:tc>
      </w:tr>
      <w:tr w14:paraId="5E4189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ACB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DC4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C9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D251">
            <w:pPr>
              <w:jc w:val="center"/>
            </w:pPr>
            <w:r>
              <w:rPr>
                <w:rFonts w:ascii="宋体" w:hAnsi="宋体" w:eastAsia="宋体"/>
                <w:sz w:val="16"/>
              </w:rPr>
              <w:t>技术服务指导合格率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B65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61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535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6CF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073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68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C4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949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030D1">
            <w:pPr>
              <w:jc w:val="center"/>
            </w:pPr>
          </w:p>
        </w:tc>
      </w:tr>
      <w:tr w14:paraId="718E0F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6FC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FB0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440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BF7B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531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F8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1C46">
            <w:pPr>
              <w:jc w:val="center"/>
            </w:pPr>
            <w:r>
              <w:rPr>
                <w:rFonts w:ascii="宋体" w:hAnsi="宋体" w:eastAsia="宋体"/>
                <w:sz w:val="16"/>
              </w:rPr>
              <w:t>2023年5月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90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CC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D1B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37A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5FA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E1229">
            <w:pPr>
              <w:jc w:val="center"/>
            </w:pPr>
          </w:p>
        </w:tc>
      </w:tr>
      <w:tr w14:paraId="589D8B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2B5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84DA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300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D77E">
            <w:pPr>
              <w:jc w:val="center"/>
            </w:pPr>
            <w:r>
              <w:rPr>
                <w:rFonts w:ascii="宋体" w:hAnsi="宋体" w:eastAsia="宋体"/>
                <w:sz w:val="16"/>
              </w:rPr>
              <w:t>住宿费补助标准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5CE5">
            <w:pPr>
              <w:jc w:val="center"/>
            </w:pPr>
            <w:r>
              <w:rPr>
                <w:rFonts w:ascii="宋体" w:hAnsi="宋体" w:eastAsia="宋体"/>
                <w:sz w:val="16"/>
              </w:rPr>
              <w:t>&lt;=180元/天、间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EB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4B7D2">
            <w:pPr>
              <w:jc w:val="center"/>
            </w:pPr>
            <w:r>
              <w:rPr>
                <w:rFonts w:ascii="宋体" w:hAnsi="宋体" w:eastAsia="宋体"/>
                <w:sz w:val="16"/>
              </w:rPr>
              <w:t>=180元/天、间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DD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710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DC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E6030">
            <w:pPr>
              <w:jc w:val="center"/>
            </w:pPr>
            <w:r>
              <w:rPr>
                <w:rFonts w:ascii="宋体" w:hAnsi="宋体" w:eastAsia="宋体"/>
                <w:sz w:val="16"/>
              </w:rPr>
              <w:t>=180元/天、间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19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4E00B">
            <w:pPr>
              <w:jc w:val="center"/>
            </w:pPr>
          </w:p>
        </w:tc>
      </w:tr>
      <w:tr w14:paraId="4AE4F0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CE7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4B0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D0A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6DA7">
            <w:pPr>
              <w:jc w:val="center"/>
            </w:pPr>
            <w:r>
              <w:rPr>
                <w:rFonts w:ascii="宋体" w:hAnsi="宋体" w:eastAsia="宋体"/>
                <w:sz w:val="16"/>
              </w:rPr>
              <w:t>伙食费补助标准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322FC">
            <w:pPr>
              <w:jc w:val="center"/>
            </w:pPr>
            <w:r>
              <w:rPr>
                <w:rFonts w:ascii="宋体" w:hAnsi="宋体" w:eastAsia="宋体"/>
                <w:sz w:val="16"/>
              </w:rPr>
              <w:t>&lt;=120元/天、人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4F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C859">
            <w:pPr>
              <w:jc w:val="center"/>
            </w:pPr>
            <w:r>
              <w:rPr>
                <w:rFonts w:ascii="宋体" w:hAnsi="宋体" w:eastAsia="宋体"/>
                <w:sz w:val="16"/>
              </w:rPr>
              <w:t>=120元/人、天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265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4C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699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2EC7F">
            <w:pPr>
              <w:jc w:val="center"/>
            </w:pPr>
            <w:r>
              <w:rPr>
                <w:rFonts w:ascii="宋体" w:hAnsi="宋体" w:eastAsia="宋体"/>
                <w:sz w:val="16"/>
              </w:rPr>
              <w:t>=120元/天、人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5A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BC471">
            <w:pPr>
              <w:jc w:val="center"/>
            </w:pPr>
          </w:p>
        </w:tc>
      </w:tr>
      <w:tr w14:paraId="69FA46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CB8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B08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AD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A8CF">
            <w:pPr>
              <w:jc w:val="center"/>
            </w:pPr>
            <w:r>
              <w:rPr>
                <w:rFonts w:ascii="宋体" w:hAnsi="宋体" w:eastAsia="宋体"/>
                <w:sz w:val="16"/>
              </w:rPr>
              <w:t>提高畜禽科学养殖水平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33EF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2C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5135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4B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D7E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11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FD62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F6F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C75C5">
            <w:pPr>
              <w:jc w:val="center"/>
            </w:pPr>
          </w:p>
        </w:tc>
      </w:tr>
      <w:tr w14:paraId="5D507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CB2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629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30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449B5">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CB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9D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CA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9BB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D0F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E80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FF165">
            <w:pPr>
              <w:jc w:val="center"/>
            </w:pPr>
            <w:r>
              <w:rPr>
                <w:rFonts w:ascii="宋体" w:hAnsi="宋体" w:eastAsia="宋体"/>
                <w:sz w:val="16"/>
              </w:rPr>
              <w:t>=99.52%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A05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04910">
            <w:pPr>
              <w:jc w:val="center"/>
            </w:pPr>
            <w:r>
              <w:rPr>
                <w:rFonts w:ascii="宋体" w:hAnsi="宋体" w:eastAsia="宋体"/>
                <w:sz w:val="16"/>
              </w:rPr>
              <w:t>偏差原因：单位工作人员对项目实施满意度理解有偏差造成满意度测评结果有差异；改进措施：加强项目人员对此类绩效指标设定绩效培训和单位工作人员宣传教育，提高对项目绩效工作的理解认识。</w:t>
            </w:r>
          </w:p>
        </w:tc>
      </w:tr>
      <w:tr w14:paraId="1451CB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C532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0AA0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7872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BDDE">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1E78EE"/>
        </w:tc>
      </w:tr>
    </w:tbl>
    <w:p w14:paraId="36B584CD">
      <w:r>
        <w:br w:type="page"/>
      </w:r>
    </w:p>
    <w:p w14:paraId="12B0AD9C">
      <w:pPr>
        <w:spacing w:line="640" w:lineRule="exact"/>
        <w:ind w:firstLine="640"/>
        <w:jc w:val="both"/>
        <w:outlineLvl w:val="2"/>
      </w:pPr>
      <w:r>
        <w:rPr>
          <w:rFonts w:ascii="黑体" w:hAnsi="黑体" w:eastAsia="黑体"/>
          <w:sz w:val="32"/>
        </w:rPr>
        <w:t>十二、其他需说明的事项</w:t>
      </w:r>
    </w:p>
    <w:p w14:paraId="4AD9F316">
      <w:pPr>
        <w:spacing w:line="580" w:lineRule="exact"/>
        <w:ind w:firstLine="640"/>
        <w:jc w:val="both"/>
      </w:pPr>
      <w:r>
        <w:rPr>
          <w:rFonts w:ascii="仿宋_GB2312" w:hAnsi="仿宋_GB2312" w:eastAsia="仿宋_GB2312"/>
          <w:b w:val="0"/>
          <w:sz w:val="32"/>
        </w:rPr>
        <w:t>本部门无其他需说明的事项。</w:t>
      </w:r>
    </w:p>
    <w:p w14:paraId="48A23026">
      <w:r>
        <w:br w:type="page"/>
      </w:r>
    </w:p>
    <w:p w14:paraId="1DCA1940">
      <w:pPr>
        <w:spacing w:line="240" w:lineRule="auto"/>
        <w:jc w:val="center"/>
        <w:outlineLvl w:val="1"/>
      </w:pPr>
      <w:r>
        <w:rPr>
          <w:rFonts w:ascii="黑体" w:hAnsi="黑体" w:eastAsia="黑体"/>
          <w:sz w:val="32"/>
        </w:rPr>
        <w:t>第三部分 专业名词解释</w:t>
      </w:r>
    </w:p>
    <w:p w14:paraId="240A079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CDA333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7A3A3F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FF1EF6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11876A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8E4A3E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96B939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DE57F0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6152A1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6175DB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660E6F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7CD020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7CA69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A423D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F8CD75D">
      <w:r>
        <w:br w:type="page"/>
      </w:r>
    </w:p>
    <w:p w14:paraId="56605CE0">
      <w:pPr>
        <w:spacing w:line="240" w:lineRule="auto"/>
        <w:jc w:val="center"/>
        <w:outlineLvl w:val="1"/>
      </w:pPr>
      <w:r>
        <w:rPr>
          <w:rFonts w:ascii="黑体" w:hAnsi="黑体" w:eastAsia="黑体"/>
          <w:sz w:val="32"/>
        </w:rPr>
        <w:t>第四部分 部门决算报表（见附表）</w:t>
      </w:r>
    </w:p>
    <w:p w14:paraId="63684942">
      <w:pPr>
        <w:spacing w:line="240" w:lineRule="auto"/>
        <w:ind w:firstLine="640"/>
        <w:jc w:val="both"/>
      </w:pPr>
      <w:r>
        <w:rPr>
          <w:rFonts w:ascii="仿宋_GB2312" w:hAnsi="仿宋_GB2312" w:eastAsia="仿宋_GB2312"/>
          <w:b w:val="0"/>
          <w:sz w:val="32"/>
        </w:rPr>
        <w:t>一、《收入支出决算总表》</w:t>
      </w:r>
    </w:p>
    <w:p w14:paraId="11C94E5D">
      <w:pPr>
        <w:spacing w:line="240" w:lineRule="auto"/>
        <w:ind w:firstLine="640"/>
        <w:jc w:val="both"/>
      </w:pPr>
      <w:r>
        <w:rPr>
          <w:rFonts w:ascii="仿宋_GB2312" w:hAnsi="仿宋_GB2312" w:eastAsia="仿宋_GB2312"/>
          <w:b w:val="0"/>
          <w:sz w:val="32"/>
        </w:rPr>
        <w:t>二、《收入决算表》</w:t>
      </w:r>
    </w:p>
    <w:p w14:paraId="69C48AE9">
      <w:pPr>
        <w:spacing w:line="240" w:lineRule="auto"/>
        <w:ind w:firstLine="640"/>
        <w:jc w:val="both"/>
      </w:pPr>
      <w:r>
        <w:rPr>
          <w:rFonts w:ascii="仿宋_GB2312" w:hAnsi="仿宋_GB2312" w:eastAsia="仿宋_GB2312"/>
          <w:b w:val="0"/>
          <w:sz w:val="32"/>
        </w:rPr>
        <w:t>三、《支出决算表》</w:t>
      </w:r>
    </w:p>
    <w:p w14:paraId="660B02F7">
      <w:pPr>
        <w:spacing w:line="240" w:lineRule="auto"/>
        <w:ind w:firstLine="640"/>
        <w:jc w:val="both"/>
      </w:pPr>
      <w:r>
        <w:rPr>
          <w:rFonts w:ascii="仿宋_GB2312" w:hAnsi="仿宋_GB2312" w:eastAsia="仿宋_GB2312"/>
          <w:b w:val="0"/>
          <w:sz w:val="32"/>
        </w:rPr>
        <w:t>四、《财政拨款收入支出决算总表》</w:t>
      </w:r>
    </w:p>
    <w:p w14:paraId="427602D7">
      <w:pPr>
        <w:spacing w:line="240" w:lineRule="auto"/>
        <w:ind w:firstLine="640"/>
        <w:jc w:val="both"/>
      </w:pPr>
      <w:r>
        <w:rPr>
          <w:rFonts w:ascii="仿宋_GB2312" w:hAnsi="仿宋_GB2312" w:eastAsia="仿宋_GB2312"/>
          <w:b w:val="0"/>
          <w:sz w:val="32"/>
        </w:rPr>
        <w:t>五、《一般公共预算财政拨款支出决算表》</w:t>
      </w:r>
    </w:p>
    <w:p w14:paraId="41A7CE1A">
      <w:pPr>
        <w:spacing w:line="240" w:lineRule="auto"/>
        <w:ind w:firstLine="640"/>
        <w:jc w:val="both"/>
      </w:pPr>
      <w:r>
        <w:rPr>
          <w:rFonts w:ascii="仿宋_GB2312" w:hAnsi="仿宋_GB2312" w:eastAsia="仿宋_GB2312"/>
          <w:b w:val="0"/>
          <w:sz w:val="32"/>
        </w:rPr>
        <w:t>六、《一般公共预算财政拨款基本支出决算表》</w:t>
      </w:r>
    </w:p>
    <w:p w14:paraId="3AE41A46">
      <w:pPr>
        <w:spacing w:line="240" w:lineRule="auto"/>
        <w:ind w:firstLine="640"/>
        <w:jc w:val="both"/>
      </w:pPr>
      <w:r>
        <w:rPr>
          <w:rFonts w:ascii="仿宋_GB2312" w:hAnsi="仿宋_GB2312" w:eastAsia="仿宋_GB2312"/>
          <w:b w:val="0"/>
          <w:sz w:val="32"/>
        </w:rPr>
        <w:t>七、《政府性基金预算财政拨款收入支出决算表》</w:t>
      </w:r>
    </w:p>
    <w:p w14:paraId="399549DA">
      <w:pPr>
        <w:spacing w:line="240" w:lineRule="auto"/>
        <w:ind w:firstLine="640"/>
        <w:jc w:val="both"/>
      </w:pPr>
      <w:r>
        <w:rPr>
          <w:rFonts w:ascii="仿宋_GB2312" w:hAnsi="仿宋_GB2312" w:eastAsia="仿宋_GB2312"/>
          <w:b w:val="0"/>
          <w:sz w:val="32"/>
        </w:rPr>
        <w:t>八、《国有资本经营预算财政拨款收入支出决算表》</w:t>
      </w:r>
    </w:p>
    <w:p w14:paraId="7424646B">
      <w:pPr>
        <w:spacing w:line="240" w:lineRule="auto"/>
        <w:ind w:firstLine="640"/>
        <w:jc w:val="both"/>
      </w:pPr>
      <w:r>
        <w:rPr>
          <w:rFonts w:ascii="仿宋_GB2312" w:hAnsi="仿宋_GB2312" w:eastAsia="仿宋_GB2312"/>
          <w:b w:val="0"/>
          <w:sz w:val="32"/>
        </w:rPr>
        <w:t>九、《财政拨款“三公”经费支出决算表》</w:t>
      </w:r>
    </w:p>
    <w:p w14:paraId="0729ECA5">
      <w:pPr>
        <w:spacing w:line="240" w:lineRule="auto"/>
        <w:ind w:firstLine="640"/>
        <w:jc w:val="both"/>
      </w:pPr>
    </w:p>
    <w:p w14:paraId="2F847903">
      <w:pPr>
        <w:spacing w:line="240" w:lineRule="auto"/>
        <w:ind w:firstLine="640"/>
        <w:jc w:val="both"/>
      </w:pPr>
    </w:p>
    <w:p w14:paraId="617D4BD7">
      <w:pPr>
        <w:spacing w:line="240" w:lineRule="auto"/>
        <w:ind w:firstLine="640"/>
        <w:jc w:val="both"/>
      </w:pPr>
    </w:p>
    <w:p w14:paraId="6D2A3F93">
      <w:pPr>
        <w:spacing w:line="240" w:lineRule="auto"/>
        <w:ind w:firstLine="640"/>
        <w:jc w:val="both"/>
      </w:pPr>
    </w:p>
    <w:p w14:paraId="032F32C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D767C5"/>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52550E"/>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5499</Words>
  <Characters>6324</Characters>
  <Lines>0</Lines>
  <Paragraphs>0</Paragraphs>
  <TotalTime>8</TotalTime>
  <ScaleCrop>false</ScaleCrop>
  <LinksUpToDate>false</LinksUpToDate>
  <CharactersWithSpaces>6332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2025-09-03T11:27:09Z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