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237388"/>
    <w:p w14:paraId="5BCBDAB8">
      <w:pPr>
        <w:spacing w:line="570" w:lineRule="exact"/>
        <w:jc w:val="center"/>
        <w:rPr>
          <w:rFonts w:ascii="华文中宋" w:hAnsi="华文中宋" w:eastAsia="华文中宋" w:cs="宋体"/>
          <w:b/>
          <w:kern w:val="0"/>
          <w:sz w:val="52"/>
          <w:szCs w:val="52"/>
        </w:rPr>
      </w:pPr>
    </w:p>
    <w:p w14:paraId="2B08098C">
      <w:pPr>
        <w:spacing w:line="570" w:lineRule="exact"/>
        <w:jc w:val="center"/>
        <w:rPr>
          <w:rFonts w:ascii="华文中宋" w:hAnsi="华文中宋" w:eastAsia="华文中宋" w:cs="宋体"/>
          <w:b/>
          <w:kern w:val="0"/>
          <w:sz w:val="52"/>
          <w:szCs w:val="52"/>
        </w:rPr>
      </w:pPr>
    </w:p>
    <w:p w14:paraId="71B91AFD">
      <w:pPr>
        <w:spacing w:line="570" w:lineRule="exact"/>
        <w:jc w:val="center"/>
        <w:rPr>
          <w:rFonts w:ascii="华文中宋" w:hAnsi="华文中宋" w:eastAsia="华文中宋" w:cs="宋体"/>
          <w:b/>
          <w:kern w:val="0"/>
          <w:sz w:val="52"/>
          <w:szCs w:val="52"/>
        </w:rPr>
      </w:pPr>
    </w:p>
    <w:p w14:paraId="08F3BD0A">
      <w:pPr>
        <w:spacing w:line="570" w:lineRule="exact"/>
        <w:jc w:val="center"/>
        <w:rPr>
          <w:rFonts w:ascii="华文中宋" w:hAnsi="华文中宋" w:eastAsia="华文中宋" w:cs="宋体"/>
          <w:b/>
          <w:kern w:val="0"/>
          <w:sz w:val="52"/>
          <w:szCs w:val="52"/>
        </w:rPr>
      </w:pPr>
    </w:p>
    <w:p w14:paraId="044D8A75">
      <w:pPr>
        <w:spacing w:line="570" w:lineRule="exact"/>
        <w:jc w:val="both"/>
        <w:rPr>
          <w:rFonts w:ascii="华文中宋" w:hAnsi="华文中宋" w:eastAsia="华文中宋" w:cs="宋体"/>
          <w:b/>
          <w:kern w:val="0"/>
          <w:sz w:val="52"/>
          <w:szCs w:val="52"/>
        </w:rPr>
      </w:pPr>
    </w:p>
    <w:p w14:paraId="7E7C8779">
      <w:pPr>
        <w:spacing w:line="570" w:lineRule="exact"/>
        <w:jc w:val="center"/>
        <w:rPr>
          <w:rFonts w:ascii="华文中宋" w:hAnsi="华文中宋" w:eastAsia="华文中宋" w:cs="宋体"/>
          <w:b/>
          <w:kern w:val="0"/>
          <w:sz w:val="52"/>
          <w:szCs w:val="52"/>
        </w:rPr>
      </w:pPr>
    </w:p>
    <w:p w14:paraId="6A245EA5">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14:paraId="456AA25D">
      <w:pPr>
        <w:spacing w:line="570" w:lineRule="exact"/>
        <w:jc w:val="center"/>
        <w:rPr>
          <w:rFonts w:ascii="华文中宋" w:hAnsi="华文中宋" w:eastAsia="华文中宋" w:cs="宋体"/>
          <w:b/>
          <w:kern w:val="0"/>
          <w:sz w:val="52"/>
          <w:szCs w:val="52"/>
        </w:rPr>
      </w:pPr>
    </w:p>
    <w:p w14:paraId="23C708F9">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9"/>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2B9AB4F6">
      <w:pPr>
        <w:spacing w:line="570" w:lineRule="exact"/>
        <w:jc w:val="center"/>
        <w:rPr>
          <w:rFonts w:hAnsi="宋体" w:eastAsia="仿宋_GB2312" w:cs="宋体"/>
          <w:kern w:val="0"/>
          <w:sz w:val="30"/>
          <w:szCs w:val="30"/>
        </w:rPr>
      </w:pPr>
    </w:p>
    <w:p w14:paraId="6B60635F">
      <w:pPr>
        <w:spacing w:line="570" w:lineRule="exact"/>
        <w:jc w:val="center"/>
        <w:rPr>
          <w:rFonts w:hAnsi="宋体" w:eastAsia="仿宋_GB2312" w:cs="宋体"/>
          <w:kern w:val="0"/>
          <w:sz w:val="30"/>
          <w:szCs w:val="30"/>
        </w:rPr>
      </w:pPr>
    </w:p>
    <w:p w14:paraId="58AB9889">
      <w:pPr>
        <w:spacing w:line="570" w:lineRule="exact"/>
        <w:jc w:val="center"/>
        <w:rPr>
          <w:rFonts w:hAnsi="宋体" w:eastAsia="仿宋_GB2312" w:cs="宋体"/>
          <w:kern w:val="0"/>
          <w:sz w:val="30"/>
          <w:szCs w:val="30"/>
        </w:rPr>
      </w:pPr>
    </w:p>
    <w:p w14:paraId="7E0D2E6A">
      <w:pPr>
        <w:spacing w:line="570" w:lineRule="exact"/>
        <w:jc w:val="center"/>
        <w:rPr>
          <w:rFonts w:hAnsi="宋体" w:eastAsia="仿宋_GB2312" w:cs="宋体"/>
          <w:kern w:val="0"/>
          <w:sz w:val="30"/>
          <w:szCs w:val="30"/>
        </w:rPr>
      </w:pPr>
    </w:p>
    <w:p w14:paraId="4DB2BF18">
      <w:pPr>
        <w:spacing w:line="570" w:lineRule="exact"/>
        <w:jc w:val="center"/>
        <w:rPr>
          <w:rFonts w:hAnsi="宋体" w:eastAsia="仿宋_GB2312" w:cs="宋体"/>
          <w:kern w:val="0"/>
          <w:sz w:val="30"/>
          <w:szCs w:val="30"/>
        </w:rPr>
      </w:pPr>
    </w:p>
    <w:p w14:paraId="7E64B5E8">
      <w:pPr>
        <w:spacing w:line="570" w:lineRule="exact"/>
        <w:jc w:val="center"/>
        <w:rPr>
          <w:rFonts w:hAnsi="宋体" w:eastAsia="仿宋_GB2312" w:cs="宋体"/>
          <w:kern w:val="0"/>
          <w:sz w:val="30"/>
          <w:szCs w:val="30"/>
        </w:rPr>
      </w:pPr>
    </w:p>
    <w:p w14:paraId="3416A2D6">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9"/>
          <w:rFonts w:hint="eastAsia" w:ascii="仿宋" w:hAnsi="仿宋" w:eastAsia="仿宋" w:cs="仿宋"/>
          <w:b w:val="0"/>
          <w:bCs w:val="0"/>
          <w:spacing w:val="-4"/>
          <w:sz w:val="32"/>
          <w:szCs w:val="32"/>
        </w:rPr>
        <w:t>2024年自治区畜牧业生产发展项目</w:t>
      </w:r>
    </w:p>
    <w:p w14:paraId="27EA6A60">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9"/>
          <w:rFonts w:hint="eastAsia" w:ascii="仿宋" w:hAnsi="仿宋" w:eastAsia="仿宋" w:cs="仿宋"/>
          <w:b w:val="0"/>
          <w:bCs w:val="0"/>
          <w:spacing w:val="-4"/>
          <w:sz w:val="32"/>
          <w:szCs w:val="32"/>
        </w:rPr>
        <w:t>喀什地区畜牧工作站</w:t>
      </w:r>
      <w:bookmarkStart w:id="0" w:name="_GoBack"/>
      <w:bookmarkEnd w:id="0"/>
    </w:p>
    <w:p w14:paraId="5F297E30">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9"/>
          <w:rFonts w:hint="eastAsia" w:ascii="仿宋" w:hAnsi="仿宋" w:eastAsia="仿宋" w:cs="仿宋"/>
          <w:b w:val="0"/>
          <w:bCs w:val="0"/>
          <w:spacing w:val="-4"/>
          <w:sz w:val="32"/>
          <w:szCs w:val="32"/>
        </w:rPr>
        <w:t>喀什地区畜牧兽医局</w:t>
      </w:r>
    </w:p>
    <w:p w14:paraId="1007B042">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9"/>
          <w:rFonts w:hint="eastAsia" w:ascii="仿宋" w:hAnsi="仿宋" w:eastAsia="仿宋" w:cs="仿宋"/>
          <w:b w:val="0"/>
          <w:bCs w:val="0"/>
          <w:spacing w:val="-4"/>
          <w:sz w:val="32"/>
          <w:szCs w:val="32"/>
        </w:rPr>
        <w:t>司衣提·克热木</w:t>
      </w:r>
    </w:p>
    <w:p w14:paraId="4F1405C7">
      <w:pPr>
        <w:spacing w:line="540" w:lineRule="exact"/>
        <w:ind w:firstLine="360" w:firstLineChars="100"/>
        <w:rPr>
          <w:rStyle w:val="19"/>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9"/>
          <w:rFonts w:hint="eastAsia" w:ascii="仿宋" w:hAnsi="仿宋" w:eastAsia="仿宋" w:cs="仿宋"/>
          <w:b w:val="0"/>
          <w:bCs w:val="0"/>
          <w:spacing w:val="-4"/>
          <w:sz w:val="32"/>
          <w:szCs w:val="32"/>
        </w:rPr>
        <w:t>2025年02月26日</w:t>
      </w:r>
    </w:p>
    <w:p w14:paraId="0B7D9176">
      <w:pPr>
        <w:rPr>
          <w:rStyle w:val="19"/>
          <w:rFonts w:hint="eastAsia" w:ascii="仿宋" w:hAnsi="仿宋" w:eastAsia="仿宋" w:cs="仿宋"/>
          <w:b w:val="0"/>
          <w:bCs w:val="0"/>
          <w:spacing w:val="-4"/>
          <w:sz w:val="32"/>
          <w:szCs w:val="32"/>
        </w:rPr>
      </w:pPr>
      <w:r>
        <w:br w:type="page"/>
      </w:r>
    </w:p>
    <w:p w14:paraId="4E751442">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一、基本情况</w:t>
      </w:r>
    </w:p>
    <w:p w14:paraId="4F539594">
      <w:pPr>
        <w:spacing w:line="570" w:lineRule="exact"/>
        <w:ind w:firstLine="627" w:firstLineChars="200"/>
        <w:rPr>
          <w:rStyle w:val="19"/>
          <w:rFonts w:ascii="方正楷体_GBK" w:hAnsi="方正楷体_GBK" w:eastAsia="方正楷体_GBK" w:cs="方正楷体_GBK"/>
          <w:bCs w:val="0"/>
          <w:spacing w:val="-4"/>
          <w:sz w:val="32"/>
          <w:szCs w:val="32"/>
        </w:rPr>
      </w:pPr>
      <w:r>
        <w:rPr>
          <w:rStyle w:val="19"/>
          <w:rFonts w:hint="eastAsia" w:ascii="楷体" w:hAnsi="楷体" w:eastAsia="楷体" w:cs="楷体"/>
          <w:bCs w:val="0"/>
          <w:spacing w:val="-4"/>
          <w:sz w:val="32"/>
          <w:szCs w:val="32"/>
        </w:rPr>
        <w:t>（一）项目概况。包括项目背景、主要内容及实施情况、资金投入和使用情况等。</w:t>
      </w:r>
    </w:p>
    <w:p w14:paraId="2403573E">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项目背景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旨在评价自治区畜牧业生产发展现代种业提升项目实施前期、过程及效果，评价财政预算资金使用的效率及效益。通过该项目的实施，以坚决打赢种业翻身仗为重点，加快农区高效肉羊新品种选育、西门塔尔牛群体改良、多浪羊新品种培育3个体系积极发挥作用，围绕加大优质种源推广覆盖面，加大培训指导服务力度，带动养殖户增收，以养殖加工企业为龙头，深入推进养殖业提质增效，带动广大养殖户致富，促进乡村振兴和社会经济发展发挥一定作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主要内容及实施情况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建设主要服务于当地畜牧业生产的发展。在合作社和企业的带动和引导下，在各县市加快推进农区高效肉羊新品种选育、西门塔尔牛群体改良、多浪羊新品种培育3个体系，使本地优质牛羊品种养殖逐渐成为喀什畜牧业的重要支柱产业。项目建设可有效带动地方农业经济的发展，为当地农业的多元化、产业化发展注入了新元素，提高了农民的收入。项目的实施对促进当地农民就业，增加农民收入作用突出，成为脱贫攻坚的重要抓手和平台。</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3.项目实施主体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地区畜牧工作站为全额事业单位，纳入2024年部门决算编制范围的有7个办公室：办公室、大畜繁育科、小畜繁育科、家禽产业科、种畜禽监管科、产业体系科、生产供应科。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编制人数40人，其中：事业编制40人。实有在职人数36人，其中：事业在职36人。离退休人员29人，其中：事业退休29人。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资金投入和使用情况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新财农【2023】95号共安排下达资金60万元，为2024年自治区畜牧业生产发展资金，最终确定项目资金总数为60万元。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截至2024年12月31日，实际支出57.24万元，预算执行率95.4%。</w:t>
      </w:r>
    </w:p>
    <w:p w14:paraId="4F47768B">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（二）项目绩效目标。包括总体目标和阶段性目标。</w:t>
      </w:r>
    </w:p>
    <w:p w14:paraId="6DBF14BF">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项目绩效目标包括项目绩效总目标和阶段性目标。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1.项目绩效总目标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总资金60万元，自治区为实施畜禽种业提升计划，促进产学研相结合，推进畜禽种业育繁推一体化发展，发挥农区高效肉羊新品种选育、西门塔尔牛群体改良、多浪羊新品种培育3个体系作用，推广优良种畜禽以及畜牧业实用技术，提高自治区畜禽良种化率和畜产品生产能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2.阶段性目标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推广畜禽良种，购置液氮储藏罐1个和制作冻精设备1套，加快区内主要畜种遗传改良进程，推广优良种畜禽以及畜牧业实用技术，提升种羊种源供应能力和质量，种业提升技术体系项目稳步实施，加大项目指导力度，取得良好的成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实施的前期准备工作：年初项目申报，任务内容审核确认、资金测算，项目绩效目标设置等，与自治区体系组签订畜牧业生产发展现代种业提升任务书。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具体实施工作：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多浪羊工作任务推进情况。多浪羊品种选育提高推进，加强技术服务指导，2024年完成良种登记羊（含多胎）455只，性能测定多浪羊1797只（含羔羊，核心群）。建立多浪羊冻精库，选择纯合子、杂合子、体大型种公羊17只，制作冻精3640剂。组织单位高级职称专家分别在疏勒县、麦盖提县、莎车县、叶城县等12个县开展《种羊鉴定技术培训班》12期，培训技术人员及养殖户共789人次，开展喀什地区多浪羊冻精制作技术培训1期，培训技术骨干、基层技术人员、养殖场技术员62人/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是农区肉羊高效利用推进情况。推进肉羊经济杂交，完成绵羊人工授精经济杂交37.55万只。组织举办自治区、地区级绵羊人工授精技术进村入户现场培训会各1期，培训人员120人次；列入地区农业现场推进会羊人工授精观摩点1个，有力推进了地区我肉羊经济杂交进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是西门塔尔牛群体改良技术推进情况。推广畜禽良种，购置液氮储藏罐1个和制作冻精设备1套，通过询价采购，完成20立方液氮贮藏罐安装，彩钢厂房地面硬化等基础设施建设，提升地区液氮设备保障能力。建立地区冻精供应企业及冻精信息库，加强冻精管理推广，2024年全地区推广优质肉牛冻精共计80万剂，加快提升肉牛改良进程。开展748头西门塔尔牛进行体尺测定并对数据进行分析。示范推广同期发情技术，开展养殖指导服务，邀请自治区肉牛体系专家2名来喀开展肉牛良繁技能提升现场培训1期，组织七色花公司老师赴12县市开展自治区品种改良信息管理平台培训14期，培训基层人员1048人次，地区项目团队专家赴12县市开展肉牛高效繁育、养殖技术培训12期，培训专业技术人员、育种员等832人，不断提升服务质量，推进品种改良社会化服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验收阶段的具体工作：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自治区畜牧业生产发展项目验收邀请体系专家对项目档案资料查阅，按照项目考核指标内容一项一项核对完成情况相关材料，与项目组成员沟通交流项目实施情况及项目意见建议，最后验收组专家对验收通过项目评估并签字确认验收合格。</w:t>
      </w:r>
    </w:p>
    <w:p w14:paraId="59C28890">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二、绩效评价工作开展情况</w:t>
      </w:r>
    </w:p>
    <w:p w14:paraId="6CBF21B8">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（一）绩效评价目的、对象</w:t>
      </w:r>
      <w:r>
        <w:rPr>
          <w:rStyle w:val="19"/>
          <w:rFonts w:hint="eastAsia" w:ascii="楷体" w:hAnsi="楷体" w:eastAsia="楷体" w:cs="楷体"/>
          <w:bCs w:val="0"/>
          <w:spacing w:val="-4"/>
          <w:sz w:val="32"/>
          <w:szCs w:val="32"/>
          <w:lang w:eastAsia="zh-CN"/>
        </w:rPr>
        <w:t>、时间和</w:t>
      </w:r>
      <w:r>
        <w:rPr>
          <w:rStyle w:val="19"/>
          <w:rFonts w:hint="eastAsia" w:ascii="楷体" w:hAnsi="楷体" w:eastAsia="楷体" w:cs="楷体"/>
          <w:bCs w:val="0"/>
          <w:spacing w:val="-4"/>
          <w:sz w:val="32"/>
          <w:szCs w:val="32"/>
        </w:rPr>
        <w:t>范围。</w:t>
      </w:r>
    </w:p>
    <w:p w14:paraId="1217BC39">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绩效评价目的</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喀什地区财政支出绩效评价管理暂行办法》（喀地财预〔2019〕18号〔2018〕189号）等相关政策文件与规定，旨在评价财政项目实施前期、过程及效果，评价财政预算资金使用的效率及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绩效评价对象</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绩效评价遵循财政部《项目支出绩效评价管理办法》（财预〔2020〕10号）和《自治区财政支出绩效评价管理暂行办法》（新财预〔2018〕189号）等政策文件规定，以2024年自治区畜牧业生产发展项目为评价对象，对该项目资金决策、项目实施过程，以及项目实施所带来的产出和效果为主要内容，促进预算单位完成特定工作任务目标而组织开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绩效评价范围</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本次绩效评价对项目进行现场调研，评价小组对项目资金的到位、使用、绩效管理和项目管理等情况进行检查。</w:t>
      </w:r>
    </w:p>
    <w:p w14:paraId="13B8D4DE">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（二）绩效评价原则、评价指标体系（附表说明）、评价方法、评价标准等。</w:t>
      </w:r>
    </w:p>
    <w:p w14:paraId="239DFA1F">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 绩效评价原则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（1）科学公正。绩效评价应当运用科学合理的方法，按照规范的程序，对项目绩效进行客观、公正的反映。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（4）公开透明。绩效评价结果应依法依规公开，并自觉接受社会监督。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 绩效评价指标体系</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2024年自治区畜牧业生产发展项目综合评分表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二级指标   三级指标               得分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决策（15分） 项目立项（5分）   立项依据充分性（3分）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立项程序（2分）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绩效目标（5分）   绩效目标合理性（3分）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绩效指标明确性（2分）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资金投入（5分）   预算编制（3分）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资金分配合理性（2分）         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过程（20分） 资金管理（10分）  资金到位率（3分）  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预算执行率（3分）  2.86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资金使用合规性（4分）  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组织实施（10分）   管理制度健全性（5分）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制度执行（5分）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产出（45分） 产出数量（10分）   实际完成率（10分）  9.36</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产出质量（10分）   质量达标率（10分）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产出时效（10分）   完成及时性（10分）  5</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产出成本（15分）   成本节约率（15分）  12.97</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效益（10分） 项目效益（10分）   实施效益（10分）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满意度（10分） 满意度（10分）    满意度（10分）  10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 xml:space="preserve">                权重分值：100分</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总得分    </w:t>
      </w:r>
      <w:r>
        <w:rPr>
          <w:rStyle w:val="19"/>
          <w:rFonts w:hint="eastAsia" w:ascii="仿宋" w:hAnsi="仿宋" w:eastAsia="仿宋" w:cs="仿宋"/>
          <w:b w:val="0"/>
          <w:bCs w:val="0"/>
          <w:spacing w:val="-4"/>
          <w:sz w:val="32"/>
          <w:szCs w:val="32"/>
        </w:rPr>
        <w:tab/>
      </w:r>
      <w:r>
        <w:rPr>
          <w:rStyle w:val="19"/>
          <w:rFonts w:hint="eastAsia" w:ascii="仿宋" w:hAnsi="仿宋" w:eastAsia="仿宋" w:cs="仿宋"/>
          <w:b w:val="0"/>
          <w:bCs w:val="0"/>
          <w:spacing w:val="-4"/>
          <w:sz w:val="32"/>
          <w:szCs w:val="32"/>
        </w:rPr>
        <w:t xml:space="preserve">              89.25 </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 绩效评价方法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本次评价采用定量与定性评价相结合的比较法和公众评判法，总分由各项指标得分汇总形成。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比较法：是指通过对绩效目标与实施效果、历史与当期情况、不同部门和地区同类支出的比较，综合分析绩效目标实现程度。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公众评判法：是指通过专家评估、公众问卷及抽样调查等对财政支出效果进行评判，评价绩效目标实现程度。</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 绩效评价标准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绩效评价标准通常包括计划标准、行业标准、历史标准等，用于对绩效指标完成情况进行比较、分析、评价。本次评价主要采用了计划标准。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计划标准：指以预先制定的目标、计划、预算、定额等作为评价标准。</w:t>
      </w:r>
    </w:p>
    <w:p w14:paraId="4FC50CCE">
      <w:pPr>
        <w:spacing w:line="570" w:lineRule="exact"/>
        <w:ind w:firstLine="627" w:firstLineChars="200"/>
        <w:rPr>
          <w:rStyle w:val="19"/>
          <w:rFonts w:ascii="楷体" w:hAnsi="楷体" w:eastAsia="楷体" w:cs="楷体"/>
          <w:bCs w:val="0"/>
          <w:spacing w:val="-4"/>
          <w:sz w:val="32"/>
          <w:szCs w:val="32"/>
        </w:rPr>
      </w:pPr>
      <w:r>
        <w:rPr>
          <w:rStyle w:val="19"/>
          <w:rFonts w:hint="eastAsia" w:ascii="楷体" w:hAnsi="楷体" w:eastAsia="楷体" w:cs="楷体"/>
          <w:bCs w:val="0"/>
          <w:spacing w:val="-4"/>
          <w:sz w:val="32"/>
          <w:szCs w:val="32"/>
        </w:rPr>
        <w:t>（三）绩效评价工作过程。</w:t>
      </w:r>
    </w:p>
    <w:p w14:paraId="3E8C547E">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第一阶段：前期准备。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姜峰韬任评价组组长，绩效评价工作职责为负责全盘工作。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付丽、阿力米江任评价组副组长，绩效评价工作职责为对项目实施情况进行档案、资金支出情况调查。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买合木提、热孜亚、马秀珍任评价组成员，绩效评价工作职责为负责资料审核、收集和项目绩效自评填报等工作。</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第二阶段：组织实施。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经评价组通过实地调研、查阅资料等方式，采用综合分析法对项目的决策、管理、绩效进行的综合评价分析。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第三阶段：分析评价。</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首先按照指标体系进行定量、定性分析。其次开展量化打分、综合评价工作，形成初步评价结论。最后归纳整体项目情况与存在问题，撰写部门绩效评价报告。</w:t>
      </w:r>
    </w:p>
    <w:p w14:paraId="4D828A7A">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三、综合评价情况及评价结论</w:t>
      </w:r>
    </w:p>
    <w:p w14:paraId="055D344E">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（一）综合评价情况</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通过实施自治区畜牧业生产发展项目产生加快农区高效肉羊新品种选育、西门塔尔牛群体改良、多浪羊新品种培育3个体系积极发挥作用，推广综合配套技术，推广优质本地牛羊品种，示范带动喀什畜牧养殖，带动养殖户致富等社会效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项目实施主要通过项目决策、项目过程、项目产出以及项目效益等方面进行评价，其中：</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项目决策：该项目主要通过《现代畜牧业种业提升——多浪羊品种选育推广（2020-2025）》等文件立项，项目实施符合畜禽种业提升行动计划要求，项目立项依据充分，立项程序规范。</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项目过程：2024年自治区畜牧业生产发展项目预算安排 60万元，实际支出57.24万元，预算执行率95.4%。项目资金使用合规，项目财务管理制度健全，财务监控到位，所有资金支付均按照国库集中支付制度严格执行，现有项目管理制度执行情况良好。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项目产出：项目实施产生的数量、质量等</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购置安装液氮贮藏罐及附属设施1台、购置制作冻精设备数量1套，制作羊冻精数量3640剂。项目质量指标设备验收合格率100%，资金支付及时率95.4%。</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项目效益：通过实施此项目产生选育多胎、体大新类型的优质牛羊为生产群体，加大优质品种选育、推广政策和资金支持力度，提高品种选育，带动广大养殖户致富，促进乡村振兴和社会经济发展。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（二）综合评价结论</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2024年自治区畜牧业生产发展项目进行客观评价，最终评分结果：评价总分89.25分，绩效等级为“良”。</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2024年自治区畜牧业生产发展项目绩效评价评分汇总表</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一级指标 标准分值 得分 得分率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决策指标    15.00 15 100%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过程指标    20.00 19.86 99.3%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产出指标    45.00 34.39 76.42%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效益指标    20.00 20 100%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           100.00 89.25 89.25%</w:t>
      </w:r>
    </w:p>
    <w:p w14:paraId="470EEAC3">
      <w:pPr>
        <w:spacing w:line="570" w:lineRule="exact"/>
        <w:ind w:firstLine="624" w:firstLineChars="200"/>
        <w:rPr>
          <w:rStyle w:val="19"/>
          <w:rFonts w:ascii="黑体" w:hAnsi="黑体" w:eastAsia="黑体" w:cs="黑体"/>
          <w:b w:val="0"/>
          <w:sz w:val="32"/>
          <w:szCs w:val="32"/>
        </w:rPr>
      </w:pPr>
      <w:r>
        <w:rPr>
          <w:rStyle w:val="19"/>
          <w:rFonts w:hint="eastAsia" w:ascii="黑体" w:hAnsi="黑体" w:eastAsia="黑体" w:cs="黑体"/>
          <w:b w:val="0"/>
          <w:spacing w:val="-4"/>
          <w:sz w:val="32"/>
          <w:szCs w:val="32"/>
        </w:rPr>
        <w:t xml:space="preserve">四、绩效评价指标分析 </w:t>
      </w:r>
    </w:p>
    <w:p w14:paraId="22C3AE7B">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5E05F037">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项目决策类指标包括项目立项、绩效目标和资金投入三方面的内容，由6个三级指标构成，权重分为15分，实际得分15分，得分率为100%。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立项依据充分性：本项目立项符合《现代畜牧业种业提升——多浪羊品种选育推广（2020-2025）》等文件要求，符合行业发展规划和政策要求，结合地区畜牧工作站职责，并组织实施该项目。围绕2024年度工作重点和工作计划制定项目预算，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（2）立项程序规范性：根据决策依据编制工作计划和项目预算，经过与项目负责人进行沟通、筛选确定经费预算计划，上支部会、局党组会研究确定最终预算方案，根据评分标准，该指标不扣分，得2分。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（3）绩效目标合理性：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①该项目已设置年度绩效目标，具体内容为“推广畜禽良种，购置液氮储藏罐1个和制作冻精设备1套，用以加快区内主要畜种遗传改良进程,促进产学研相结合，推进畜禽种业育繁推一体化发展，发挥畜禽品种选育推广体系作用，推广优良种畜禽以及畜牧业实用技术，提高自治区畜禽良种化率和畜产品生产能力，使牛羊核心种源自给率达70%以上”。</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该项目实际工作内容为：一是推广畜禽良种，购置液氮储藏罐1个和制作冻精设备1套，加快区内主要畜种遗传改良进程，推广优良种畜禽以及畜牧业实用技术，提升种羊种源供应能力和质量。二是全地区补贴推广优质种公羊1700余只，以多浪羊、湖羊为主导品种的绵羊良种率达82.22%。三是种业提升技术体系项目稳步实施，稳步推进自治区农区肉羊技术体系等3个种业提升项目的实施，加大项目指导力度，取得良好的成效。绩效目标与实际工作内容一致，两者具有相关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③该项目按照绩效目标完成数量指标、质量指标、时效指标、成本指标，完成了2024年畜禽良种提升推广，达到推广优质本地牛羊品种效益，预期产出效益和效果是否符合正常的业绩水平。</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④该项目批复的预算金额为60万元，《项目支出绩效目标表》中预算金额为60万元，预算确定的项目资金与预算确定的项目投资额相匹配。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⑤本单位制定了项目任务书，明确了总体思路及目标、并对任务进行了详细分解，对目标进行了细化，根据评分标准，该指标不扣分，得3分。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绩效指标明确性：经检查我单位年初设置的《项目支出绩效目标表》，得出如下结论：本项目已将年度绩效目标进行细化为绩效指标体系，共设置一级指标3个，二级指标6个，三级指标11个，定量指标9个，定性指标2个，指标量化率为81.82%，量化率达70.0%以上，将项目绩效目标细化分解为具体的绩效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该《项目绩效目标申报表》中，数量指标指标值为购置安装液氮贮藏罐及附属设施1台、购置制作冻精设备数量1套、制作羊冻精数量3000剂，三级指标的年度指标值与年度绩效目标中任务数基本一致，已设置时效指标“项目资金支付及时率100%”。已设置的绩效目标具备明确性、可衡量性、可实现性、相关性、时限性。根据评分标准，该指标不扣分，得2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（5）预算编制科学性：本项目经过研究测算，资金明细支出内容与项目指导服务、设备购置等内容相匹配，即预算编制较科学且经过论证；</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预算申请内容为购置液氮储藏罐1个和制作冻精设备1套，加快区内主要畜种遗传改良进程,推进畜禽种业育繁推一体化发展。项目实际内容为：购置液氮储藏罐1个和制作冻精设备1套，加快区内主要畜种遗传改良进程，推广优良种畜禽以及畜牧业实用技术，提升种羊种源供应能力和质量。预算申请与《2024年自治区畜牧业生产发展项目实施方案》中涉及的项目内容匹配；</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本项目预算申请资金60万元，我单位在预算申请中严格按照项目实施内容及测算标准进行核算，其中：液氮罐设备及附属配套费用43万元、冻精设备费用8万元、培训差旅费等费用9万元。预算确定资金量与实际工作任务相匹配。本项目预算额度测算依据充分，严格按照标准编制，预算确定资金量与实际工作任务相匹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6）资金分配合理性：本项目实际分配资金以体系项目任务书和《2024年自治区畜牧业生产发展项目实施方案》为依据进行资金分配，预算资金分配依据充分。根据《关于提前下达2024年自治区畜牧业生产发展资金预算的通知》（新财农〔2023〕95号），本项目实际到位资金60万元，资金分配额度合理，与我单位实际需求相适应。资金分配与实际相适应，根据评分标准，该指标不扣分，得2分。</w:t>
      </w:r>
    </w:p>
    <w:p w14:paraId="376C3EE8">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6B2078C2">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项目过程类指标包括资金管理和组织实施两方面的内容，由 5个三级指标构成，权重分为20分，实际得分19.86分，得分率为99.3%。</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资金到位率：本项目预算资金为60万元，其中：财政安排资金60万元，其他资金0万元，实际到位资金60万元，资金到位率=100%；通过分析可知，该项目财政资金足额拨付到位，能够及时足额支付给实施单位。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预算执行率：本项目实际支出资金57.24万元，预算执行率=（实际支出资金/实际到位资金）×100.0%=95.4%；通过分析可知，该项目预算编制较为详细，项目资金支出总体能够按照预算执行，根据评分标准，该指标扣0.14分，得2.86分。偏差原因：项目差旅费、专用设备费结转，结合2024年体系项目开展情况2025年继续实施完成；改进措施：2025年加快执行结转项目，收集票据等资料，及时拨付2024年畜牧生产发展项目资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资金使用合规性：通过检查项目资金申请文件、国库支付凭证等财务资料，得出本项目资金支出符合国家财经法规、《政府会计制度》、《地区畜牧工作站支出管理制度》、《政府集中采购管理制度》，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管理制度健全性：我单位已制定《地区畜牧工作站收支业务管理制度》《地区畜牧工作站政府采购管理规定》等，相关制度均符合行政事业单位内控管理要求，财务和业务管理制度合法、合规、完整，本项目执行符合上述制度规定。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5）制度执行有效性：①该项目的实施符合《地区畜牧工作站收支业务管理制度》《地区畜牧工作站政府采购管理规定》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②经现场查证项目合同书、验收评审表、财务支付凭证等资料齐全并及时归档。</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③该项目是否存在调整，调整手续是否齐全，如未调整，则填“该项目实施过程中不存在调整事项”。</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④该项目实施所需要的项目人员和场地设备均已落实到位，具体涉及内容包括：项目资金支出严格按照自治区、地区以及本单位资金管理办法执行，项目启动实施后，为了加快本项目的实施，成立了2024年自治区畜牧业生产发展项目工作领导小组，由司衣提·克热木任组长，负责项目的组织工作；付丽、阿力米江任副组长，负责项目的实施工作；组员包括：热孜亚、买合木提、艾热提等，主要负责项目监督管理、验收以及资金核拨等工作。根据评分标准，该指标不扣分，得5分。</w:t>
      </w:r>
    </w:p>
    <w:p w14:paraId="40A77EA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1951A17D">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项目产出类指标包括产出数量、产出质量、产出时效、产出成本四方面的内容，由4个三级指标构成，权重分为45分，实际得分34.39分，得分率为76.42%。</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（1）对于“产出数量”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购置安装液氮贮藏罐及附属设施，预期指标值为1台，实际完成值为1台，指标完成率为100%，与预期目标一致，根据评分标准，该指标不扣分，得4分。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购置制作冻精设备数量指标，预期指标值为1套，实际完成值为1套，指标完成率为100%，与预期目标一致，根据评分标准，该指标不扣分，得3分。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制作羊冻精数量指标，预期指标值为3000剂，实际完成值为3640剂，指标完成率为121.33%，与预期目标有差异。根据评分标准，该指标扣0.64分，得2.36分。偏差原因：年初设定制作羊冻精数量指标不精准造成偏差；改进措施：加强项目人员培训，提高项目绩效编制能力。</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合计得9.36分。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（2）对于“产出质量”：</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设备验收合格率指标，预期指标值为100%，实际完成值为100%，指标完成率为100%，与预期目标一致，根据评分标准，该指标不扣分，得10分。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（3）对于“产出时效”：</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资金支付及时率指标，预期指标值为100%，实际完成值为95.4%，指标完成率为95.4%，与预期目标不一致，根据评分标准，该指标扣5分，得0分。偏差原因：项目资金支付及时率指标设定等于100%，实际完成与目标有差异；改进措施：加强项目绩效人员培训，提高项目绩效目标设定精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项目完成时间指标，预期指标值为2024年12月25日前，实际完成值为2024年12月4日，指标完成率为100%，与预期目标一致，根据评分标准，该指标不扣分，得5分。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合计得5分。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（4）对于“产出成本”：</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置制作冻精设备成本指标，预期指标值为小于等于8万元，实际完成值为6.18万元，指标完成率为77.25%，本年支付冻精设备款6.18万元，项目经费在能控制绩效目标范围内，根据评分标准，该指标扣2.84分，得2.16分。偏差原因：购置制作冻精设备成本采购完成实际值较目标值偏低；改进措施：加强项目绩效人员培训，提高项目绩效目标设定精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购置安装液氮贮藏罐及附属设施成本指标，预期指标值为小于等于43万元，实际完成值为39.86万元，指标完成率为92.7%，本年支付液氮贮藏罐及附属设施款39.86万元，项目经费都能控制绩效目标范围内，根据评分标准，该指标扣0.91分，得4.09分。偏差原因：购置安装液氮贮藏罐及附属设施成本采购完成实际值较目标值偏低；改进措施：加强项目绩效人员培训，提高项目绩效目标设定精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项目其他相关支出指标，预期指标值为小于等于9万元，实际完成值为11.2万元，指标完成率为124.44%，本年支付培训费、差旅费等11.2万元，项目经费在控制绩效目标范围内，根据评分标准，该指标扣1.22分，得3.78分。偏差原因：因本项目资金是提前下达，2024年5月与自治区畜牧兽医局确认项目任务，项目资金测算其他成本部分内容变动，变动不大，未进行项目绩效目标调整；改进措施：加强项目绩效人员培训，精准设定项目绩效目标，项目任务方案最终确定后及时更正调整项目绩效目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合计得10.03分。</w:t>
      </w:r>
    </w:p>
    <w:p w14:paraId="2F072DE5">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15D2565E">
      <w:pPr>
        <w:spacing w:line="540" w:lineRule="exact"/>
        <w:ind w:firstLine="567"/>
        <w:rPr>
          <w:rStyle w:val="19"/>
          <w:rFonts w:hint="eastAsia"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（1）对于“社会效益指标”：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加快牛羊品种改良进程指标，该指标预期指标值为加快，实际完成值为基本达成目标，指标完成率为95.4%，与预期指标基本一致，根据评分标准，该指标不扣分，得10分。</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（2）对于“经济效益指标”：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（3）对于“生态效益指标”：</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无</w:t>
      </w:r>
    </w:p>
    <w:p w14:paraId="7ECC9781">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五</w:t>
      </w:r>
      <w:r>
        <w:rPr>
          <w:rFonts w:hint="eastAsia" w:ascii="楷体" w:hAnsi="楷体" w:eastAsia="楷体" w:cs="楷体"/>
          <w:b/>
          <w:spacing w:val="-4"/>
          <w:sz w:val="32"/>
          <w:szCs w:val="32"/>
        </w:rPr>
        <w:t>）满意度指标完成情况分析。</w:t>
      </w:r>
    </w:p>
    <w:p w14:paraId="05A0231C">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对于满意度指标：项目受益对象实施满意度100%，该指标预期指标值为100%，实际完成值为100%，指标完成率为100%，与预期目标一致，根据评分标准，该指标不扣分,得10分。</w:t>
      </w:r>
    </w:p>
    <w:p w14:paraId="06F80E7F">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五、预算执行进度与绩效指标偏差</w:t>
      </w:r>
    </w:p>
    <w:p w14:paraId="7CDF4B44">
      <w:pPr>
        <w:spacing w:line="540" w:lineRule="exact"/>
        <w:ind w:firstLine="567"/>
        <w:rPr>
          <w:rFonts w:ascii="仿宋" w:hAnsi="仿宋" w:eastAsia="仿宋" w:cs="仿宋"/>
          <w:spacing w:val="-4"/>
          <w:sz w:val="32"/>
          <w:szCs w:val="32"/>
        </w:rPr>
      </w:pPr>
      <w:r>
        <w:rPr>
          <w:rStyle w:val="19"/>
          <w:rFonts w:hint="eastAsia" w:ascii="仿宋" w:hAnsi="仿宋" w:eastAsia="仿宋" w:cs="仿宋"/>
          <w:b w:val="0"/>
          <w:bCs w:val="0"/>
          <w:spacing w:val="-4"/>
          <w:sz w:val="32"/>
          <w:szCs w:val="32"/>
        </w:rPr>
        <w:t>2024年自治区畜牧业生产发展项目预算60万元，到位60万元，实际支出57.24万元，预算执行率为95.4%，项目绩效指标总体完成率为100.6%，偏差率为5.2%,偏差原因：项目部分绩效目标设定不精准，如制作羊冻精数量指标偏低，完成率较高；改进措施加强项目工作人员绩效培训，提高绩效目标设置精准。</w:t>
      </w:r>
    </w:p>
    <w:p w14:paraId="137FE42A">
      <w:pPr>
        <w:spacing w:line="570" w:lineRule="exact"/>
        <w:ind w:firstLine="624" w:firstLineChars="200"/>
        <w:rPr>
          <w:rStyle w:val="19"/>
          <w:rFonts w:hint="eastAsia" w:ascii="黑体" w:hAnsi="黑体" w:eastAsia="黑体" w:cs="黑体"/>
          <w:b w:val="0"/>
          <w:spacing w:val="-4"/>
          <w:sz w:val="32"/>
          <w:szCs w:val="32"/>
          <w:lang w:eastAsia="zh-CN"/>
        </w:rPr>
      </w:pPr>
      <w:r>
        <w:rPr>
          <w:rStyle w:val="19"/>
          <w:rFonts w:hint="eastAsia" w:ascii="黑体" w:hAnsi="黑体" w:eastAsia="黑体" w:cs="黑体"/>
          <w:b w:val="0"/>
          <w:spacing w:val="-4"/>
          <w:sz w:val="32"/>
          <w:szCs w:val="32"/>
        </w:rPr>
        <w:t>六、主要经验及做法、存在的问题及原因分析</w:t>
      </w:r>
      <w:r>
        <w:rPr>
          <w:rStyle w:val="19"/>
          <w:rFonts w:hint="eastAsia" w:ascii="黑体" w:hAnsi="黑体" w:eastAsia="黑体" w:cs="黑体"/>
          <w:b w:val="0"/>
          <w:spacing w:val="-4"/>
          <w:sz w:val="32"/>
          <w:szCs w:val="32"/>
          <w:lang w:eastAsia="zh-CN"/>
        </w:rPr>
        <w:t>、下一步改进措施</w:t>
      </w:r>
    </w:p>
    <w:p w14:paraId="17C1AF06">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（一）主要经验及做法</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本项目能够严格按照自治区畜牧业生产发展现代种业提升行动计划（2020-2025年）实施方案执行，项目执行情况较好。二是加强项目组织领导，本项目绩效评价工作，有项目负责人亲自挂帅，评价小组人员具体负责，从项目实施、管理到资金拨付、绩效评价，均能按各自岗位职责执行。三是加强项目组和单位、财务人员沟通协调，项目组负责人及时向站领导汇报项目进度、项目计划实施情况，加强与育种养殖场、良繁中心等的业务沟通，确保项目按期完工。</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（二）存在问题及原因分析</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一是项目管理粗，项目档案收集规整不规范。二是项目绩效编制能力有欠缺，部分项目绩效指标设定不精准。三是项目人员对项目绩效工作不重视，后续效益评价具体措施和方法较少。</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（三）下一步改进措施</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以品种改良、科学养殖、新技术引进推广为重点开展养殖户培训服务，助力养殖增收。一是开展良种鉴定、兽用 B 超应用、人工授精操作以及同期发情等技术技能培训，提高基层技术人员服务能力。二是加快推进牛冷配改良社会化服务，年内完成牛冷配改良30万头以上，信息管理平台应用率达100%。三是严把种羊鉴定固定技术关，完成绵羊经济杂交人工授精30 万只。四是加大种业提升技术体系项目实施力度，积极推行“育种企业+育种户”联合育种模式，加大多浪羊多胎多羔新品系培育和湖羊等多胎羊推广力度。五是提升塔里木鸽保种群体品质，加大肉鸽繁育推广力度，结合各县市实际，指导推广黑鸡养殖生产。</w:t>
      </w:r>
    </w:p>
    <w:p w14:paraId="11C189DD">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七、有关建议</w:t>
      </w:r>
    </w:p>
    <w:p w14:paraId="57A6476C">
      <w:pPr>
        <w:spacing w:line="540" w:lineRule="exact"/>
        <w:ind w:firstLine="567"/>
        <w:rPr>
          <w:rStyle w:val="19"/>
          <w:rFonts w:ascii="仿宋" w:hAnsi="仿宋" w:eastAsia="仿宋" w:cs="仿宋"/>
          <w:b w:val="0"/>
          <w:bCs w:val="0"/>
          <w:spacing w:val="-4"/>
          <w:sz w:val="32"/>
          <w:szCs w:val="32"/>
        </w:rPr>
      </w:pPr>
      <w:r>
        <w:rPr>
          <w:rStyle w:val="19"/>
          <w:rFonts w:hint="eastAsia" w:ascii="仿宋" w:hAnsi="仿宋" w:eastAsia="仿宋" w:cs="仿宋"/>
          <w:b w:val="0"/>
          <w:bCs w:val="0"/>
          <w:spacing w:val="-4"/>
          <w:sz w:val="32"/>
          <w:szCs w:val="32"/>
        </w:rPr>
        <w:t>1.项目实施的程序进一步规范。项目前期做好谋划测算，更加细化实施方案，严格执行资金管理办法和财政资金管理制度，严格按照项目实施方案、招投标管理办法等稳步推进工作，各部门单位根据自己项目的特点进行总结。</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2.项目各项指标和指标值要进一步优化、完善，主要在细化、量化上改进，提高绩效目标设定精准性。</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3.通过绩效管理，发现实施中存在漏洞，以后加强管理，及时掌握与之相关的各类信息，减少成本，使资金效益最大化。</w:t>
      </w:r>
      <w:r>
        <w:rPr>
          <w:rFonts w:hint="eastAsia" w:ascii="仿宋" w:hAnsi="仿宋" w:eastAsia="仿宋" w:cs="仿宋"/>
          <w:b w:val="0"/>
          <w:bCs w:val="0"/>
          <w:spacing w:val="-4"/>
          <w:sz w:val="32"/>
          <w:szCs w:val="32"/>
        </w:rPr>
        <w:br w:type="textWrapping"/>
      </w:r>
      <w:r>
        <w:rPr>
          <w:rStyle w:val="19"/>
          <w:rFonts w:hint="eastAsia" w:ascii="仿宋" w:hAnsi="仿宋" w:eastAsia="仿宋" w:cs="仿宋"/>
          <w:b w:val="0"/>
          <w:bCs w:val="0"/>
          <w:spacing w:val="-4"/>
          <w:sz w:val="32"/>
          <w:szCs w:val="32"/>
        </w:rPr>
        <w:t>评价工作应从项目实施方案源头抓起，评价工作和意识应贯穿项目整个过程。</w:t>
      </w:r>
    </w:p>
    <w:p w14:paraId="4B049F14">
      <w:pPr>
        <w:spacing w:line="570" w:lineRule="exact"/>
        <w:ind w:firstLine="624" w:firstLineChars="200"/>
        <w:rPr>
          <w:rStyle w:val="19"/>
          <w:rFonts w:ascii="黑体" w:hAnsi="黑体" w:eastAsia="黑体" w:cs="黑体"/>
          <w:b w:val="0"/>
          <w:spacing w:val="-4"/>
          <w:sz w:val="32"/>
          <w:szCs w:val="32"/>
        </w:rPr>
      </w:pPr>
      <w:r>
        <w:rPr>
          <w:rStyle w:val="19"/>
          <w:rFonts w:hint="eastAsia" w:ascii="黑体" w:hAnsi="黑体" w:eastAsia="黑体" w:cs="黑体"/>
          <w:b w:val="0"/>
          <w:spacing w:val="-4"/>
          <w:sz w:val="32"/>
          <w:szCs w:val="32"/>
        </w:rPr>
        <w:t>八、其他需要说明的问题</w:t>
      </w:r>
    </w:p>
    <w:p w14:paraId="2502BF23">
      <w:pPr>
        <w:spacing w:line="540" w:lineRule="exact"/>
        <w:ind w:firstLine="567"/>
        <w:rPr>
          <w:rStyle w:val="19"/>
          <w:rFonts w:ascii="仿宋" w:hAnsi="仿宋" w:eastAsia="仿宋"/>
          <w:b w:val="0"/>
          <w:spacing w:val="-4"/>
          <w:sz w:val="32"/>
          <w:szCs w:val="32"/>
        </w:rPr>
      </w:pPr>
      <w:r>
        <w:rPr>
          <w:rStyle w:val="19"/>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7091DCD-37D3-4029-96FD-F57D1AA1CCA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56AC81D8-BB42-4949-B2BB-0E797EB698F5}"/>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embedRegular r:id="rId3" w:fontKey="{B2E2B489-A03C-4173-9234-C26E71BBE08A}"/>
  </w:font>
  <w:font w:name="方正小标宋_GBK">
    <w:panose1 w:val="02000000000000000000"/>
    <w:charset w:val="86"/>
    <w:family w:val="script"/>
    <w:pitch w:val="default"/>
    <w:sig w:usb0="A00002BF" w:usb1="38CF7CFA" w:usb2="00082016" w:usb3="00000000" w:csb0="00040001" w:csb1="00000000"/>
    <w:embedRegular r:id="rId4" w:fontKey="{9871819D-E34A-41E3-8BC7-91E8BD8FEF4E}"/>
  </w:font>
  <w:font w:name="仿宋_GB2312">
    <w:altName w:val="仿宋"/>
    <w:panose1 w:val="00000000000000000000"/>
    <w:charset w:val="86"/>
    <w:family w:val="modern"/>
    <w:pitch w:val="default"/>
    <w:sig w:usb0="00000000" w:usb1="00000000" w:usb2="00000000" w:usb3="00000000" w:csb0="00040000" w:csb1="00000000"/>
    <w:embedRegular r:id="rId5" w:fontKey="{DE59A003-C7B4-4CCC-B84E-DCA850233C05}"/>
  </w:font>
  <w:font w:name="仿宋">
    <w:panose1 w:val="02010609060101010101"/>
    <w:charset w:val="86"/>
    <w:family w:val="modern"/>
    <w:pitch w:val="default"/>
    <w:sig w:usb0="800002BF" w:usb1="38CF7CFA" w:usb2="00000016" w:usb3="00000000" w:csb0="00040001" w:csb1="00000000"/>
    <w:embedRegular r:id="rId6" w:fontKey="{B141024C-BFB9-4F50-892E-10151486C0A4}"/>
  </w:font>
  <w:font w:name="楷体">
    <w:panose1 w:val="02010609060101010101"/>
    <w:charset w:val="86"/>
    <w:family w:val="modern"/>
    <w:pitch w:val="default"/>
    <w:sig w:usb0="800002BF" w:usb1="38CF7CFA" w:usb2="00000016" w:usb3="00000000" w:csb0="00040001" w:csb1="00000000"/>
    <w:embedRegular r:id="rId7" w:fontKey="{55067FAD-1EAF-492C-8423-B0E05A8DC55C}"/>
  </w:font>
  <w:font w:name="方正仿宋_GBK">
    <w:altName w:val="微软雅黑"/>
    <w:panose1 w:val="00000000000000000000"/>
    <w:charset w:val="86"/>
    <w:family w:val="auto"/>
    <w:pitch w:val="default"/>
    <w:sig w:usb0="00000000" w:usb1="00000000" w:usb2="00000000" w:usb3="00000000" w:csb0="00040000" w:csb1="00000000"/>
    <w:embedRegular r:id="rId8" w:fontKey="{5D03AB01-472F-4ED2-B4E2-2793A06CF0FC}"/>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0000000000000000000"/>
    <w:charset w:val="86"/>
    <w:family w:val="auto"/>
    <w:pitch w:val="default"/>
    <w:sig w:usb0="00000000" w:usb1="00000000" w:usb2="00000000" w:usb3="00000000" w:csb0="00040000" w:csb1="00000000"/>
    <w:embedRegular r:id="rId9" w:fontKey="{A6F45BE5-3B8B-45D3-955F-E23DD832B84C}"/>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A10E015">
        <w:pPr>
          <w:pStyle w:val="12"/>
          <w:jc w:val="center"/>
        </w:pPr>
        <w:r>
          <w:fldChar w:fldCharType="begin"/>
        </w:r>
        <w:r>
          <w:instrText xml:space="preserve">PAGE   \* MERGEFORMAT</w:instrText>
        </w:r>
        <w:r>
          <w:fldChar w:fldCharType="separate"/>
        </w:r>
        <w:r>
          <w:rPr>
            <w:lang w:val="zh-CN"/>
          </w:rPr>
          <w:t>1</w:t>
        </w:r>
        <w:r>
          <w:fldChar w:fldCharType="end"/>
        </w:r>
      </w:p>
    </w:sdtContent>
  </w:sdt>
  <w:p w14:paraId="4DBF264A">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c0ZGFmZGVlMTU2YmFlODYzODJmYzUzZGI2NmMwNGEifQ=="/>
  </w:docVars>
  <w:rsids>
    <w:rsidRoot w:val="00000000"/>
    <w:rsid w:val="06896783"/>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unhideWhenUsed/>
    <w:qFormat/>
    <w:uiPriority w:val="99"/>
    <w:rPr>
      <w:sz w:val="18"/>
      <w:szCs w:val="18"/>
    </w:rPr>
  </w:style>
  <w:style w:type="paragraph" w:styleId="12">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2"/>
    <w:qFormat/>
    <w:uiPriority w:val="9"/>
    <w:rPr>
      <w:rFonts w:asciiTheme="majorHAnsi" w:hAnsiTheme="majorHAnsi" w:eastAsiaTheme="majorEastAsia"/>
      <w:b/>
      <w:bCs/>
      <w:kern w:val="32"/>
      <w:sz w:val="32"/>
      <w:szCs w:val="32"/>
    </w:rPr>
  </w:style>
  <w:style w:type="character" w:customStyle="1" w:styleId="22">
    <w:name w:val="标题 2 字符"/>
    <w:basedOn w:val="18"/>
    <w:link w:val="3"/>
    <w:semiHidden/>
    <w:qFormat/>
    <w:uiPriority w:val="9"/>
    <w:rPr>
      <w:rFonts w:asciiTheme="majorHAnsi" w:hAnsiTheme="majorHAnsi" w:eastAsiaTheme="majorEastAsia"/>
      <w:b/>
      <w:bCs/>
      <w:i/>
      <w:iCs/>
      <w:sz w:val="28"/>
      <w:szCs w:val="28"/>
    </w:rPr>
  </w:style>
  <w:style w:type="character" w:customStyle="1" w:styleId="23">
    <w:name w:val="标题 3 字符"/>
    <w:basedOn w:val="18"/>
    <w:link w:val="4"/>
    <w:semiHidden/>
    <w:qFormat/>
    <w:uiPriority w:val="9"/>
    <w:rPr>
      <w:rFonts w:asciiTheme="majorHAnsi" w:hAnsiTheme="majorHAnsi" w:eastAsiaTheme="majorEastAsia"/>
      <w:b/>
      <w:bCs/>
      <w:sz w:val="26"/>
      <w:szCs w:val="26"/>
    </w:rPr>
  </w:style>
  <w:style w:type="character" w:customStyle="1" w:styleId="24">
    <w:name w:val="标题 4 字符"/>
    <w:basedOn w:val="18"/>
    <w:link w:val="5"/>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5"/>
    <w:qFormat/>
    <w:uiPriority w:val="10"/>
    <w:rPr>
      <w:rFonts w:asciiTheme="majorHAnsi" w:hAnsiTheme="majorHAnsi" w:eastAsiaTheme="majorEastAsia"/>
      <w:b/>
      <w:bCs/>
      <w:kern w:val="28"/>
      <w:sz w:val="32"/>
      <w:szCs w:val="32"/>
    </w:rPr>
  </w:style>
  <w:style w:type="character" w:customStyle="1" w:styleId="31">
    <w:name w:val="副标题 字符"/>
    <w:basedOn w:val="18"/>
    <w:link w:val="14"/>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2"/>
    <w:next w:val="1"/>
    <w:semiHidden/>
    <w:unhideWhenUsed/>
    <w:qFormat/>
    <w:uiPriority w:val="39"/>
    <w:pPr>
      <w:outlineLvl w:val="9"/>
    </w:pPr>
    <w:rPr>
      <w:lang w:eastAsia="en-US" w:bidi="en-US"/>
    </w:rPr>
  </w:style>
  <w:style w:type="character" w:customStyle="1" w:styleId="44">
    <w:name w:val="页眉 字符"/>
    <w:basedOn w:val="18"/>
    <w:link w:val="13"/>
    <w:qFormat/>
    <w:uiPriority w:val="99"/>
    <w:rPr>
      <w:rFonts w:ascii="Calibri" w:hAnsi="Calibri" w:eastAsia="宋体"/>
      <w:kern w:val="2"/>
      <w:sz w:val="18"/>
      <w:szCs w:val="18"/>
    </w:rPr>
  </w:style>
  <w:style w:type="character" w:customStyle="1" w:styleId="45">
    <w:name w:val="页脚 字符"/>
    <w:basedOn w:val="18"/>
    <w:link w:val="12"/>
    <w:qFormat/>
    <w:uiPriority w:val="99"/>
    <w:rPr>
      <w:rFonts w:ascii="Calibri" w:hAnsi="Calibri" w:eastAsia="宋体"/>
      <w:kern w:val="2"/>
      <w:sz w:val="18"/>
      <w:szCs w:val="18"/>
    </w:rPr>
  </w:style>
  <w:style w:type="character" w:customStyle="1" w:styleId="46">
    <w:name w:val="批注框文本 字符"/>
    <w:basedOn w:val="18"/>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a22995da-d440-4c19-957f-f64eba8ba6a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20</Pages>
  <Words>10443</Words>
  <Characters>11076</Characters>
  <Lines>5</Lines>
  <Paragraphs>1</Paragraphs>
  <TotalTime>0</TotalTime>
  <ScaleCrop>false</ScaleCrop>
  <LinksUpToDate>false</LinksUpToDate>
  <CharactersWithSpaces>11289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恺_xFF08_预算处_xFF09_</dc:creator>
  <cp:lastModifiedBy>别忘记小婷_</cp:lastModifiedBy>
  <cp:lastPrinted>2018-12-31T10:56:00Z</cp:lastPrinted>
  <dcterms:modified xsi:type="dcterms:W3CDTF">2025-09-03T09:27:45Z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299A846E7742483FADE25949A45A48D3_12</vt:lpwstr>
  </property>
  <property fmtid="{D5CDD505-2E9C-101B-9397-08002B2CF9AE}" pid="4" name="KSOTemplateDocerSaveRecord">
    <vt:lpwstr>eyJoZGlkIjoiODcwM2IwZTUyMTZkNzUwMjBkODQ1YzM3NzM1MTVlMjIiLCJ1c2VySWQiOiIxMDY0NzI0MTYxIn0=</vt:lpwstr>
  </property>
</Properties>
</file>