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喀什地区种业发展中心2024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83A113">
      <w:r>
        <w:br w:type="page"/>
      </w:r>
    </w:p>
    <w:p w14:paraId="799C3B4E">
      <w:pPr>
        <w:spacing w:line="640" w:lineRule="exact"/>
        <w:jc w:val="center"/>
        <w:outlineLvl w:val="1"/>
      </w:pPr>
      <w:r>
        <w:rPr>
          <w:rFonts w:ascii="黑体" w:hAnsi="黑体" w:eastAsia="黑体"/>
          <w:sz w:val="32"/>
        </w:rPr>
        <w:t>第一部分 部门概况</w:t>
      </w:r>
    </w:p>
    <w:p w14:paraId="06DAF82F">
      <w:pPr>
        <w:spacing w:line="640" w:lineRule="exact"/>
        <w:ind w:firstLine="640"/>
        <w:jc w:val="both"/>
        <w:outlineLvl w:val="2"/>
      </w:pPr>
      <w:r>
        <w:rPr>
          <w:rFonts w:ascii="黑体" w:hAnsi="黑体" w:eastAsia="黑体"/>
          <w:sz w:val="32"/>
        </w:rPr>
        <w:t>一、主要职能</w:t>
      </w:r>
    </w:p>
    <w:p w14:paraId="1118712F">
      <w:pPr>
        <w:spacing w:line="580" w:lineRule="exact"/>
        <w:ind w:firstLine="640"/>
        <w:jc w:val="both"/>
      </w:pPr>
      <w:r>
        <w:rPr>
          <w:rFonts w:ascii="仿宋_GB2312" w:hAnsi="仿宋_GB2312" w:eastAsia="仿宋_GB2312"/>
          <w:sz w:val="32"/>
        </w:rPr>
        <w:t>（一）负责全地区农作物用种安全，组织开展农作物品种引进、试验比对、鉴定、示范、展示，筛选优良品种进行推广应用。</w:t>
      </w:r>
    </w:p>
    <w:p w14:paraId="2A3F48FD">
      <w:pPr>
        <w:spacing w:line="580" w:lineRule="exact"/>
        <w:ind w:firstLine="640"/>
        <w:jc w:val="both"/>
      </w:pPr>
      <w:r>
        <w:rPr>
          <w:rFonts w:ascii="仿宋_GB2312" w:hAnsi="仿宋_GB2312" w:eastAsia="仿宋_GB2312"/>
          <w:sz w:val="32"/>
        </w:rPr>
        <w:t>（二）组织开展农作物品种审定前的试验等工作，做好农作物种子产供需预测预警。</w:t>
      </w:r>
    </w:p>
    <w:p w14:paraId="642966C5">
      <w:pPr>
        <w:spacing w:line="580" w:lineRule="exact"/>
        <w:ind w:firstLine="640"/>
        <w:jc w:val="both"/>
      </w:pPr>
      <w:r>
        <w:rPr>
          <w:rFonts w:ascii="仿宋_GB2312" w:hAnsi="仿宋_GB2312" w:eastAsia="仿宋_GB2312"/>
          <w:sz w:val="32"/>
        </w:rPr>
        <w:t>（三）开展农作物种子质量标准、检验、监测、质量认定和品种真实性鉴定工作。</w:t>
      </w:r>
    </w:p>
    <w:p w14:paraId="4F5AD998">
      <w:pPr>
        <w:spacing w:line="580" w:lineRule="exact"/>
        <w:ind w:firstLine="640"/>
        <w:jc w:val="both"/>
      </w:pPr>
      <w:r>
        <w:rPr>
          <w:rFonts w:ascii="仿宋_GB2312" w:hAnsi="仿宋_GB2312" w:eastAsia="仿宋_GB2312"/>
          <w:sz w:val="32"/>
        </w:rPr>
        <w:t>（四）协助做好种子</w:t>
      </w:r>
      <w:r>
        <w:rPr>
          <w:rFonts w:hint="eastAsia" w:ascii="仿宋_GB2312" w:hAnsi="仿宋_GB2312" w:eastAsia="仿宋_GB2312"/>
          <w:sz w:val="32"/>
          <w:lang w:eastAsia="zh-CN"/>
        </w:rPr>
        <w:t>工程技术</w:t>
      </w:r>
      <w:r>
        <w:rPr>
          <w:rFonts w:ascii="仿宋_GB2312" w:hAnsi="仿宋_GB2312" w:eastAsia="仿宋_GB2312"/>
          <w:sz w:val="32"/>
        </w:rPr>
        <w:t>服务工作，协助开展农作物转基因监测工作。</w:t>
      </w:r>
    </w:p>
    <w:p w14:paraId="7388FC24">
      <w:pPr>
        <w:spacing w:line="580" w:lineRule="exact"/>
        <w:ind w:firstLine="640"/>
        <w:jc w:val="both"/>
      </w:pPr>
      <w:r>
        <w:rPr>
          <w:rFonts w:ascii="仿宋_GB2312" w:hAnsi="仿宋_GB2312" w:eastAsia="仿宋_GB2312"/>
          <w:sz w:val="32"/>
        </w:rPr>
        <w:t>（五）负责种子行业信息统计和信息平台建设，以及种业信息的宣传；负责种子专业技术人员技术培训及技术交流。</w:t>
      </w:r>
    </w:p>
    <w:p w14:paraId="69942FF1">
      <w:pPr>
        <w:spacing w:line="580" w:lineRule="exact"/>
        <w:ind w:firstLine="640"/>
        <w:jc w:val="both"/>
      </w:pPr>
      <w:r>
        <w:rPr>
          <w:rFonts w:ascii="仿宋_GB2312" w:hAnsi="仿宋_GB2312" w:eastAsia="仿宋_GB2312"/>
          <w:sz w:val="32"/>
        </w:rPr>
        <w:t>（六）落实国家救灾备荒种子储备任务、制定应急供种预案、规范储备管理、更新及检测储备种子等工作。</w:t>
      </w:r>
    </w:p>
    <w:p w14:paraId="48C6B3EF">
      <w:pPr>
        <w:spacing w:line="580" w:lineRule="exact"/>
        <w:ind w:firstLine="640"/>
        <w:jc w:val="both"/>
      </w:pPr>
      <w:r>
        <w:rPr>
          <w:rFonts w:ascii="仿宋_GB2312" w:hAnsi="仿宋_GB2312" w:eastAsia="仿宋_GB2312"/>
          <w:sz w:val="32"/>
        </w:rPr>
        <w:t>（七）做好全国种业管理与经济运行信息调度系统统计上报</w:t>
      </w:r>
      <w:r>
        <w:rPr>
          <w:rFonts w:hint="eastAsia" w:ascii="仿宋_GB2312" w:hAnsi="仿宋_GB2312" w:eastAsia="仿宋_GB2312"/>
          <w:sz w:val="32"/>
          <w:lang w:eastAsia="zh-CN"/>
        </w:rPr>
        <w:t>工作，为</w:t>
      </w:r>
      <w:r>
        <w:rPr>
          <w:rFonts w:ascii="仿宋_GB2312" w:hAnsi="仿宋_GB2312" w:eastAsia="仿宋_GB2312"/>
          <w:sz w:val="32"/>
        </w:rPr>
        <w:t>种子市场准入体制提供技术</w:t>
      </w:r>
      <w:r>
        <w:rPr>
          <w:rFonts w:hint="eastAsia" w:ascii="仿宋_GB2312" w:hAnsi="仿宋_GB2312" w:eastAsia="仿宋_GB2312"/>
          <w:sz w:val="32"/>
          <w:lang w:eastAsia="zh-CN"/>
        </w:rPr>
        <w:t>服务</w:t>
      </w:r>
      <w:r>
        <w:rPr>
          <w:rFonts w:ascii="仿宋_GB2312" w:hAnsi="仿宋_GB2312" w:eastAsia="仿宋_GB2312"/>
          <w:sz w:val="32"/>
        </w:rPr>
        <w:t>。</w:t>
      </w:r>
    </w:p>
    <w:p w14:paraId="797D34BD">
      <w:pPr>
        <w:spacing w:line="580" w:lineRule="exact"/>
        <w:ind w:firstLine="640"/>
        <w:jc w:val="both"/>
      </w:pPr>
      <w:r>
        <w:rPr>
          <w:rFonts w:ascii="仿宋_GB2312" w:hAnsi="仿宋_GB2312" w:eastAsia="仿宋_GB2312"/>
          <w:sz w:val="32"/>
        </w:rPr>
        <w:t>（八）为种子市场监管、经营体制改革提供技术</w:t>
      </w:r>
      <w:r>
        <w:rPr>
          <w:rFonts w:hint="eastAsia" w:ascii="仿宋_GB2312" w:hAnsi="仿宋_GB2312" w:eastAsia="仿宋_GB2312"/>
          <w:sz w:val="32"/>
          <w:lang w:eastAsia="zh-CN"/>
        </w:rPr>
        <w:t>服务</w:t>
      </w:r>
      <w:r>
        <w:rPr>
          <w:rFonts w:ascii="仿宋_GB2312" w:hAnsi="仿宋_GB2312" w:eastAsia="仿宋_GB2312"/>
          <w:sz w:val="32"/>
        </w:rPr>
        <w:t>。</w:t>
      </w:r>
    </w:p>
    <w:p w14:paraId="729442AB">
      <w:pPr>
        <w:spacing w:line="580" w:lineRule="exact"/>
        <w:ind w:firstLine="640"/>
        <w:jc w:val="both"/>
      </w:pPr>
      <w:r>
        <w:rPr>
          <w:rFonts w:ascii="仿宋_GB2312" w:hAnsi="仿宋_GB2312" w:eastAsia="仿宋_GB2312"/>
          <w:sz w:val="32"/>
        </w:rPr>
        <w:t>（九）为编制全区种业发展规划和种业项目实施监管提供技术</w:t>
      </w:r>
      <w:r>
        <w:rPr>
          <w:rFonts w:hint="eastAsia" w:ascii="仿宋_GB2312" w:hAnsi="仿宋_GB2312" w:eastAsia="仿宋_GB2312"/>
          <w:sz w:val="32"/>
          <w:lang w:eastAsia="zh-CN"/>
        </w:rPr>
        <w:t>服务</w:t>
      </w:r>
      <w:r>
        <w:rPr>
          <w:rFonts w:ascii="仿宋_GB2312" w:hAnsi="仿宋_GB2312" w:eastAsia="仿宋_GB2312"/>
          <w:sz w:val="32"/>
        </w:rPr>
        <w:t>。</w:t>
      </w:r>
    </w:p>
    <w:p w14:paraId="7F2EC9B7">
      <w:pPr>
        <w:spacing w:line="580" w:lineRule="exact"/>
        <w:ind w:firstLine="640"/>
        <w:jc w:val="both"/>
      </w:pPr>
      <w:r>
        <w:rPr>
          <w:rFonts w:ascii="仿宋_GB2312" w:hAnsi="仿宋_GB2312" w:eastAsia="仿宋_GB2312"/>
          <w:sz w:val="32"/>
        </w:rPr>
        <w:t>（十）完成地区农业农村局交办的其他任务。</w:t>
      </w:r>
    </w:p>
    <w:p w14:paraId="4F35BC21">
      <w:pPr>
        <w:spacing w:line="640" w:lineRule="exact"/>
        <w:ind w:firstLine="640"/>
        <w:jc w:val="both"/>
        <w:outlineLvl w:val="2"/>
      </w:pPr>
      <w:r>
        <w:rPr>
          <w:rFonts w:ascii="黑体" w:hAnsi="黑体" w:eastAsia="黑体"/>
          <w:sz w:val="32"/>
        </w:rPr>
        <w:t>二、机构设置及人员情况</w:t>
      </w:r>
    </w:p>
    <w:p w14:paraId="79AFAE5A">
      <w:pPr>
        <w:spacing w:line="580" w:lineRule="exact"/>
        <w:ind w:firstLine="640"/>
        <w:jc w:val="both"/>
      </w:pPr>
      <w:r>
        <w:rPr>
          <w:rFonts w:ascii="仿宋_GB2312" w:hAnsi="仿宋_GB2312" w:eastAsia="仿宋_GB2312"/>
          <w:sz w:val="32"/>
        </w:rPr>
        <w:t>喀什地区种业发展中心2024年度，实有人数30人，其中：在职人员14人，减少1人；离休人员0人，增加0人；退休人员16人,增加1人。</w:t>
      </w:r>
    </w:p>
    <w:p w14:paraId="5316365A">
      <w:pPr>
        <w:spacing w:line="580" w:lineRule="exact"/>
        <w:ind w:firstLine="640"/>
        <w:jc w:val="both"/>
      </w:pPr>
      <w:r>
        <w:rPr>
          <w:rFonts w:ascii="仿宋_GB2312" w:hAnsi="仿宋_GB2312" w:eastAsia="仿宋_GB2312"/>
          <w:sz w:val="32"/>
        </w:rPr>
        <w:t>喀什地区种业发展中心无下属预算单位，下设4个科室，分别是：办公室、良种繁育科、质量技术科、综合信息科。</w:t>
      </w:r>
    </w:p>
    <w:p w14:paraId="12B5B34F">
      <w:r>
        <w:br w:type="page"/>
      </w:r>
    </w:p>
    <w:p w14:paraId="317BA171">
      <w:pPr>
        <w:spacing w:line="240" w:lineRule="auto"/>
        <w:jc w:val="center"/>
        <w:outlineLvl w:val="1"/>
      </w:pPr>
      <w:r>
        <w:rPr>
          <w:rFonts w:ascii="黑体" w:hAnsi="黑体" w:eastAsia="黑体"/>
          <w:sz w:val="32"/>
        </w:rPr>
        <w:t>第二部分 部门决算情况说明</w:t>
      </w:r>
    </w:p>
    <w:p w14:paraId="0975F2B0">
      <w:pPr>
        <w:spacing w:line="640" w:lineRule="exact"/>
        <w:ind w:firstLine="640"/>
        <w:jc w:val="both"/>
        <w:outlineLvl w:val="2"/>
      </w:pPr>
      <w:r>
        <w:rPr>
          <w:rFonts w:ascii="黑体" w:hAnsi="黑体" w:eastAsia="黑体"/>
          <w:sz w:val="32"/>
        </w:rPr>
        <w:t>一、收入支出决算总体情况说明</w:t>
      </w:r>
    </w:p>
    <w:p w14:paraId="07B24945">
      <w:pPr>
        <w:spacing w:line="580" w:lineRule="exact"/>
        <w:ind w:firstLine="640"/>
        <w:jc w:val="both"/>
      </w:pPr>
      <w:r>
        <w:rPr>
          <w:rFonts w:ascii="仿宋_GB2312" w:hAnsi="仿宋_GB2312" w:eastAsia="仿宋_GB2312"/>
          <w:b/>
          <w:sz w:val="32"/>
        </w:rPr>
        <w:t>2024年度收入总计289.11万元，</w:t>
      </w:r>
      <w:r>
        <w:rPr>
          <w:rFonts w:ascii="仿宋_GB2312" w:hAnsi="仿宋_GB2312" w:eastAsia="仿宋_GB2312"/>
          <w:b w:val="0"/>
          <w:sz w:val="32"/>
        </w:rPr>
        <w:t>其中：本年收入合计371.20万元，使用非财政拨款结余（含专用结余）0.00万元，年初结转和结余-82.09万元。</w:t>
      </w:r>
    </w:p>
    <w:p w14:paraId="629904EE">
      <w:pPr>
        <w:spacing w:line="580" w:lineRule="exact"/>
        <w:ind w:firstLine="640"/>
        <w:jc w:val="both"/>
      </w:pPr>
      <w:r>
        <w:rPr>
          <w:rFonts w:ascii="仿宋_GB2312" w:hAnsi="仿宋_GB2312" w:eastAsia="仿宋_GB2312"/>
          <w:b/>
          <w:sz w:val="32"/>
        </w:rPr>
        <w:t>2024年度支出总计289.11万元，</w:t>
      </w:r>
      <w:r>
        <w:rPr>
          <w:rFonts w:ascii="仿宋_GB2312" w:hAnsi="仿宋_GB2312" w:eastAsia="仿宋_GB2312"/>
          <w:b w:val="0"/>
          <w:sz w:val="32"/>
        </w:rPr>
        <w:t>其中：本年支出合计371.20万元，结余分配0.00万元，年末结转和结余-82.09万元。</w:t>
      </w:r>
    </w:p>
    <w:p w14:paraId="55BF6964">
      <w:pPr>
        <w:spacing w:line="580" w:lineRule="exact"/>
        <w:ind w:firstLine="640"/>
        <w:jc w:val="both"/>
      </w:pPr>
      <w:r>
        <w:rPr>
          <w:rFonts w:ascii="仿宋_GB2312" w:hAnsi="仿宋_GB2312" w:eastAsia="仿宋_GB2312"/>
          <w:b w:val="0"/>
          <w:sz w:val="32"/>
        </w:rPr>
        <w:t>收入支出总体与上年相比，增加16.75万元，增长6.15%，主要原因是：1.本年在职人员工资调增，社保、公积金基数调增，人员经费增加。2.本年增加天池英才引进计划项目、聘请法律顾问项目、主要农作物良种繁育体系建设监督监管等项目资金。</w:t>
      </w:r>
    </w:p>
    <w:p w14:paraId="07FF2A3F">
      <w:pPr>
        <w:spacing w:line="640" w:lineRule="exact"/>
        <w:ind w:firstLine="640"/>
        <w:jc w:val="both"/>
        <w:outlineLvl w:val="2"/>
      </w:pPr>
      <w:r>
        <w:rPr>
          <w:rFonts w:ascii="黑体" w:hAnsi="黑体" w:eastAsia="黑体"/>
          <w:sz w:val="32"/>
        </w:rPr>
        <w:t>二、收入决算情况说明</w:t>
      </w:r>
    </w:p>
    <w:p w14:paraId="0D226181">
      <w:pPr>
        <w:spacing w:line="580" w:lineRule="exact"/>
        <w:ind w:firstLine="640"/>
        <w:jc w:val="both"/>
      </w:pPr>
      <w:r>
        <w:rPr>
          <w:rFonts w:ascii="仿宋_GB2312" w:hAnsi="仿宋_GB2312" w:eastAsia="仿宋_GB2312"/>
          <w:b/>
          <w:sz w:val="32"/>
        </w:rPr>
        <w:t>本年收入371.20万元，</w:t>
      </w:r>
      <w:r>
        <w:rPr>
          <w:rFonts w:ascii="仿宋_GB2312" w:hAnsi="仿宋_GB2312" w:eastAsia="仿宋_GB2312"/>
          <w:b w:val="0"/>
          <w:sz w:val="32"/>
        </w:rPr>
        <w:t>其中：财政拨款收入371.20万元，占100.00%；上级补助收入0.00万元，占0.00%；事业收入0.00万元，占0.00%；经营收入0.00万元，占0.00%；附属单位上缴收入0.00万元，占0.00%；其他收入0.00万元，占0.00%。</w:t>
      </w:r>
    </w:p>
    <w:p w14:paraId="1B1626FC">
      <w:pPr>
        <w:spacing w:line="640" w:lineRule="exact"/>
        <w:ind w:firstLine="640"/>
        <w:jc w:val="both"/>
        <w:outlineLvl w:val="2"/>
      </w:pPr>
      <w:r>
        <w:rPr>
          <w:rFonts w:ascii="黑体" w:hAnsi="黑体" w:eastAsia="黑体"/>
          <w:sz w:val="32"/>
        </w:rPr>
        <w:t>三、支出决算情况说明</w:t>
      </w:r>
    </w:p>
    <w:p w14:paraId="54B59F24">
      <w:pPr>
        <w:spacing w:line="580" w:lineRule="exact"/>
        <w:ind w:firstLine="640"/>
        <w:jc w:val="both"/>
      </w:pPr>
      <w:r>
        <w:rPr>
          <w:rFonts w:ascii="仿宋_GB2312" w:hAnsi="仿宋_GB2312" w:eastAsia="仿宋_GB2312"/>
          <w:b/>
          <w:sz w:val="32"/>
        </w:rPr>
        <w:t>本年支出371.20万元，</w:t>
      </w:r>
      <w:r>
        <w:rPr>
          <w:rFonts w:ascii="仿宋_GB2312" w:hAnsi="仿宋_GB2312" w:eastAsia="仿宋_GB2312"/>
          <w:b w:val="0"/>
          <w:sz w:val="32"/>
        </w:rPr>
        <w:t>其中：基本支出336.55万元，占90.67%；项目支出34.65万元，占9.33%；上缴上级支出0.00万元，占0.00%；经营支出0.00万元，占0.00%；对附属单位补助支出0.00万元，占0.00%。</w:t>
      </w:r>
    </w:p>
    <w:p w14:paraId="26863A2D">
      <w:pPr>
        <w:spacing w:line="640" w:lineRule="exact"/>
        <w:ind w:firstLine="640"/>
        <w:jc w:val="both"/>
        <w:outlineLvl w:val="2"/>
      </w:pPr>
      <w:r>
        <w:rPr>
          <w:rFonts w:ascii="黑体" w:hAnsi="黑体" w:eastAsia="黑体"/>
          <w:sz w:val="32"/>
        </w:rPr>
        <w:t>四、财政拨款收入支出决算总体情况说明</w:t>
      </w:r>
    </w:p>
    <w:p w14:paraId="0D45EF68">
      <w:pPr>
        <w:spacing w:line="580" w:lineRule="exact"/>
        <w:ind w:firstLine="640"/>
        <w:jc w:val="both"/>
      </w:pPr>
      <w:r>
        <w:rPr>
          <w:rFonts w:ascii="仿宋_GB2312" w:hAnsi="仿宋_GB2312" w:eastAsia="仿宋_GB2312"/>
          <w:b/>
          <w:sz w:val="32"/>
        </w:rPr>
        <w:t>2024年度财政拨款收入总计371.20万元，</w:t>
      </w:r>
      <w:r>
        <w:rPr>
          <w:rFonts w:ascii="仿宋_GB2312" w:hAnsi="仿宋_GB2312" w:eastAsia="仿宋_GB2312"/>
          <w:b w:val="0"/>
          <w:sz w:val="32"/>
        </w:rPr>
        <w:t>其中：年初财政拨款结转和结余0.00万元，本年财政拨款收入371.20万元。</w:t>
      </w:r>
      <w:r>
        <w:rPr>
          <w:rFonts w:ascii="仿宋_GB2312" w:hAnsi="仿宋_GB2312" w:eastAsia="仿宋_GB2312"/>
          <w:b/>
          <w:sz w:val="32"/>
        </w:rPr>
        <w:t>财政拨款支出总计371.20万元，</w:t>
      </w:r>
      <w:r>
        <w:rPr>
          <w:rFonts w:ascii="仿宋_GB2312" w:hAnsi="仿宋_GB2312" w:eastAsia="仿宋_GB2312"/>
          <w:b w:val="0"/>
          <w:sz w:val="32"/>
        </w:rPr>
        <w:t>其中：年末财政拨款结转和结余0.00万元，本年财政拨款支出371.20万元。</w:t>
      </w:r>
    </w:p>
    <w:p w14:paraId="3D954B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16.75万元，增长4.73%，主要原因是：1.本年在职人员工资调增，社保、公积金基数调增，人员经费增加。2.本年增加天池英才引进计划项目、聘请法律顾问项目、主要农作物良种繁育体系建设监督监管等项目资金。</w:t>
      </w:r>
      <w:r>
        <w:rPr>
          <w:rFonts w:ascii="仿宋_GB2312" w:hAnsi="仿宋_GB2312" w:eastAsia="仿宋_GB2312"/>
          <w:b/>
          <w:sz w:val="32"/>
        </w:rPr>
        <w:t>与年初预算相比，</w:t>
      </w:r>
      <w:r>
        <w:rPr>
          <w:rFonts w:ascii="仿宋_GB2312" w:hAnsi="仿宋_GB2312" w:eastAsia="仿宋_GB2312"/>
          <w:b w:val="0"/>
          <w:sz w:val="32"/>
        </w:rPr>
        <w:t>年初预算数334.18万元，决算数371.20万元，预决算差异率11.08%，主要原因是：年中追加2024年为民办实事项目、天池英才引进计划项目；年中追加人员工资，在职转退休1人做实职业年金，导致预决算存在差异。</w:t>
      </w:r>
    </w:p>
    <w:p w14:paraId="69A0ADE8">
      <w:pPr>
        <w:spacing w:line="640" w:lineRule="exact"/>
        <w:ind w:firstLine="640"/>
        <w:jc w:val="both"/>
        <w:outlineLvl w:val="2"/>
      </w:pPr>
      <w:r>
        <w:rPr>
          <w:rFonts w:ascii="黑体" w:hAnsi="黑体" w:eastAsia="黑体"/>
          <w:sz w:val="32"/>
        </w:rPr>
        <w:t>五、一般公共预算财政拨款支出决算情况说明</w:t>
      </w:r>
    </w:p>
    <w:p w14:paraId="5BA3B5C7">
      <w:pPr>
        <w:spacing w:line="640" w:lineRule="exact"/>
        <w:ind w:firstLine="640"/>
        <w:jc w:val="both"/>
        <w:outlineLvl w:val="3"/>
      </w:pPr>
      <w:r>
        <w:rPr>
          <w:rFonts w:ascii="楷体_GB2312" w:hAnsi="楷体_GB2312" w:eastAsia="楷体_GB2312"/>
          <w:b/>
          <w:sz w:val="32"/>
        </w:rPr>
        <w:t>（一）一般公共预算财政拨款支出决算总体情况</w:t>
      </w:r>
    </w:p>
    <w:p w14:paraId="0D7F9C30">
      <w:pPr>
        <w:spacing w:line="580" w:lineRule="exact"/>
        <w:ind w:firstLine="640"/>
        <w:jc w:val="both"/>
      </w:pPr>
      <w:r>
        <w:rPr>
          <w:rFonts w:ascii="仿宋_GB2312" w:hAnsi="仿宋_GB2312" w:eastAsia="仿宋_GB2312"/>
          <w:b/>
          <w:sz w:val="32"/>
        </w:rPr>
        <w:t>2024年度一般公共预算财政拨款支出371.20万元，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16.75万元，增长4.73%，主要原因是：1.本年在职人员工资调增，社保、公积金基数调增，人员经费增加。2.本年增加天池英才引进计划项目、聘请法律顾问项目、主要农作物良种繁育体系建设监督监管等项目资金。</w:t>
      </w:r>
      <w:r>
        <w:rPr>
          <w:rFonts w:ascii="仿宋_GB2312" w:hAnsi="仿宋_GB2312" w:eastAsia="仿宋_GB2312"/>
          <w:b/>
          <w:sz w:val="32"/>
        </w:rPr>
        <w:t>与年初预算相比,</w:t>
      </w:r>
      <w:r>
        <w:rPr>
          <w:rFonts w:ascii="仿宋_GB2312" w:hAnsi="仿宋_GB2312" w:eastAsia="仿宋_GB2312"/>
          <w:b w:val="0"/>
          <w:sz w:val="32"/>
        </w:rPr>
        <w:t>年初预算数334.18万元，决算数371.20万元，预决算差异率11.08%，主要原因是：年中追加2024年为民办实事项目、天池英才引进计划项目；年中追加人员工资，在职转退休1人做实职业年金，导致预决算存在差异。</w:t>
      </w:r>
    </w:p>
    <w:p w14:paraId="75C41F1E">
      <w:pPr>
        <w:spacing w:line="640" w:lineRule="exact"/>
        <w:ind w:firstLine="640"/>
        <w:jc w:val="both"/>
        <w:outlineLvl w:val="3"/>
      </w:pPr>
      <w:r>
        <w:rPr>
          <w:rFonts w:ascii="楷体_GB2312" w:hAnsi="楷体_GB2312" w:eastAsia="楷体_GB2312"/>
          <w:b/>
          <w:sz w:val="32"/>
        </w:rPr>
        <w:t>（二）一般公共预算财政拨款支出决算结构情况</w:t>
      </w:r>
    </w:p>
    <w:p w14:paraId="0FA76A97">
      <w:pPr>
        <w:spacing w:line="580" w:lineRule="exact"/>
        <w:ind w:firstLine="640"/>
        <w:jc w:val="both"/>
      </w:pPr>
      <w:r>
        <w:rPr>
          <w:rFonts w:ascii="仿宋_GB2312" w:hAnsi="仿宋_GB2312" w:eastAsia="仿宋_GB2312"/>
          <w:b w:val="0"/>
          <w:sz w:val="32"/>
        </w:rPr>
        <w:t>1.一般公共服务支出(类)2.20万元,占0.59%。</w:t>
      </w:r>
    </w:p>
    <w:p w14:paraId="4E91AA64">
      <w:pPr>
        <w:spacing w:line="580" w:lineRule="exact"/>
        <w:ind w:firstLine="640"/>
        <w:jc w:val="both"/>
      </w:pPr>
      <w:r>
        <w:rPr>
          <w:rFonts w:ascii="仿宋_GB2312" w:hAnsi="仿宋_GB2312" w:eastAsia="仿宋_GB2312"/>
          <w:b w:val="0"/>
          <w:sz w:val="32"/>
        </w:rPr>
        <w:t>2.科学技术支出(类)20.00万元,占5.39%。</w:t>
      </w:r>
    </w:p>
    <w:p w14:paraId="55874047">
      <w:pPr>
        <w:spacing w:line="580" w:lineRule="exact"/>
        <w:ind w:firstLine="640"/>
        <w:jc w:val="both"/>
      </w:pPr>
      <w:r>
        <w:rPr>
          <w:rFonts w:ascii="仿宋_GB2312" w:hAnsi="仿宋_GB2312" w:eastAsia="仿宋_GB2312"/>
          <w:b w:val="0"/>
          <w:sz w:val="32"/>
        </w:rPr>
        <w:t>3.社会保障和就业支出(类)57.43万元,占15.47%。</w:t>
      </w:r>
    </w:p>
    <w:p w14:paraId="25905B61">
      <w:pPr>
        <w:spacing w:line="580" w:lineRule="exact"/>
        <w:ind w:firstLine="640"/>
        <w:jc w:val="both"/>
      </w:pPr>
      <w:r>
        <w:rPr>
          <w:rFonts w:ascii="仿宋_GB2312" w:hAnsi="仿宋_GB2312" w:eastAsia="仿宋_GB2312"/>
          <w:b w:val="0"/>
          <w:sz w:val="32"/>
        </w:rPr>
        <w:t>4.卫生健康支出(类)15.10万元,占4.07%。</w:t>
      </w:r>
    </w:p>
    <w:p w14:paraId="401394AD">
      <w:pPr>
        <w:spacing w:line="580" w:lineRule="exact"/>
        <w:ind w:firstLine="640"/>
        <w:jc w:val="both"/>
      </w:pPr>
      <w:r>
        <w:rPr>
          <w:rFonts w:ascii="仿宋_GB2312" w:hAnsi="仿宋_GB2312" w:eastAsia="仿宋_GB2312"/>
          <w:b w:val="0"/>
          <w:sz w:val="32"/>
        </w:rPr>
        <w:t>5.农林水支出(类)253.15万元,占68.20%。</w:t>
      </w:r>
    </w:p>
    <w:p w14:paraId="1363D225">
      <w:pPr>
        <w:spacing w:line="580" w:lineRule="exact"/>
        <w:ind w:firstLine="640"/>
        <w:jc w:val="both"/>
      </w:pPr>
      <w:r>
        <w:rPr>
          <w:rFonts w:ascii="仿宋_GB2312" w:hAnsi="仿宋_GB2312" w:eastAsia="仿宋_GB2312"/>
          <w:b w:val="0"/>
          <w:sz w:val="32"/>
        </w:rPr>
        <w:t>6.住房保障支出(类)23.33万元,占6.29%。</w:t>
      </w:r>
    </w:p>
    <w:p w14:paraId="6E129F21">
      <w:pPr>
        <w:spacing w:line="640" w:lineRule="exact"/>
        <w:ind w:firstLine="640"/>
        <w:jc w:val="both"/>
        <w:outlineLvl w:val="3"/>
      </w:pPr>
      <w:r>
        <w:rPr>
          <w:rFonts w:ascii="楷体_GB2312" w:hAnsi="楷体_GB2312" w:eastAsia="楷体_GB2312"/>
          <w:b/>
          <w:sz w:val="32"/>
        </w:rPr>
        <w:t>（三）一般公共预算财政拨款支出决算具体情况</w:t>
      </w:r>
    </w:p>
    <w:p w14:paraId="4866455B">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1.一般公共服务支出(类)统战事务(款)宗教事务(项):支出决算数为2.20万元，比上年决算增加1.71万元，增长348.98%,主要原因是：本年度增</w:t>
      </w:r>
      <w:r>
        <w:rPr>
          <w:rFonts w:hint="eastAsia" w:ascii="仿宋_GB2312" w:hAnsi="仿宋_GB2312" w:eastAsia="仿宋_GB2312"/>
          <w:b w:val="0"/>
          <w:sz w:val="32"/>
          <w:lang w:val="en-US" w:eastAsia="zh-CN"/>
        </w:rPr>
        <w:t>加</w:t>
      </w:r>
      <w:r>
        <w:rPr>
          <w:rFonts w:ascii="仿宋_GB2312" w:hAnsi="仿宋_GB2312" w:eastAsia="仿宋_GB2312"/>
          <w:b w:val="0"/>
          <w:sz w:val="32"/>
        </w:rPr>
        <w:t>工作人员生活补助，导致经费较上年增加。</w:t>
      </w:r>
    </w:p>
    <w:p w14:paraId="2109A101">
      <w:pPr>
        <w:spacing w:line="580" w:lineRule="exact"/>
        <w:ind w:firstLine="640"/>
        <w:jc w:val="both"/>
      </w:pPr>
      <w:r>
        <w:rPr>
          <w:rFonts w:ascii="仿宋_GB2312" w:hAnsi="仿宋_GB2312" w:eastAsia="仿宋_GB2312"/>
          <w:b w:val="0"/>
          <w:sz w:val="32"/>
        </w:rPr>
        <w:t>2.科学技术支出(类)基础研究(款)科技人才队伍建设(项):支出决算数为20.00万元，比上年决算增加20.00万元，增长100.00%,主要原因是：本年增加天池英才引进计划项目。</w:t>
      </w:r>
    </w:p>
    <w:p w14:paraId="4EE9262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21.80万元，比上年决算增加5.48万元，增长33.58%,主要原因是：本年增加退休人员基础绩效奖及在职转退休1人，导致退休费支出增加。</w:t>
      </w:r>
    </w:p>
    <w:p w14:paraId="65CE6E7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27.45万元，比上年决算增加4.07万元，增长17.41%,主要原因是：本年在职人员工资基数调增，养老缴费基数上涨，相应支出增加。</w:t>
      </w:r>
    </w:p>
    <w:p w14:paraId="433CAA6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5.社会保障和就业支出(类)行政事业单位养老支出(款)机关事业单位职业年金缴费支出(项):支出决算数为8.18万元，比上年决算增加8.18万元，增长100.00%,主要原因是：本年新增退休人员，职业年金缴费支出增加。</w:t>
      </w:r>
    </w:p>
    <w:p w14:paraId="46ED9432">
      <w:pPr>
        <w:spacing w:line="580" w:lineRule="exact"/>
        <w:ind w:firstLine="640"/>
        <w:jc w:val="both"/>
      </w:pPr>
      <w:r>
        <w:rPr>
          <w:rFonts w:ascii="仿宋_GB2312" w:hAnsi="仿宋_GB2312" w:eastAsia="仿宋_GB2312"/>
          <w:b w:val="0"/>
          <w:sz w:val="32"/>
        </w:rPr>
        <w:t>6.卫生健康支出(类)行政事业单位医疗(款)行政单位医疗(项):支出决算数为11.66万元，比上年决算增加1.65万元，增长16.48%,主要原因是：本年在职人员工资基数调增，医疗缴费基数上涨，相应支出增加。</w:t>
      </w:r>
    </w:p>
    <w:p w14:paraId="0545118F">
      <w:pPr>
        <w:spacing w:line="580" w:lineRule="exact"/>
        <w:ind w:firstLine="640"/>
        <w:jc w:val="both"/>
      </w:pPr>
      <w:r>
        <w:rPr>
          <w:rFonts w:ascii="仿宋_GB2312" w:hAnsi="仿宋_GB2312" w:eastAsia="仿宋_GB2312"/>
          <w:b w:val="0"/>
          <w:sz w:val="32"/>
        </w:rPr>
        <w:t>7.卫生健康支出(类)行政事业单位医疗(款)公务员医疗补助(项):支出决算数为3.43万元，比上年决算增加0.73万元，增长27.04%,主要原因是：本年在职人员工资基数调增，公务员医疗缴费基数上涨，相应支出增加。</w:t>
      </w:r>
    </w:p>
    <w:p w14:paraId="70A5EAC5">
      <w:pPr>
        <w:spacing w:line="580" w:lineRule="exact"/>
        <w:ind w:firstLine="640"/>
        <w:jc w:val="both"/>
      </w:pPr>
      <w:r>
        <w:rPr>
          <w:rFonts w:ascii="仿宋_GB2312" w:hAnsi="仿宋_GB2312" w:eastAsia="仿宋_GB2312"/>
          <w:b w:val="0"/>
          <w:sz w:val="32"/>
        </w:rPr>
        <w:t>8.农林水支出(类)农业农村(款)行政运行(项):支出决算数为238.50万元，比上年决算增加13.57万元，增长6.03%,主要原因是：本年在职人员工资调增，导致相关人员经费较上年有所增加。</w:t>
      </w:r>
    </w:p>
    <w:p w14:paraId="18AC923A">
      <w:pPr>
        <w:spacing w:line="580" w:lineRule="exact"/>
        <w:ind w:firstLine="640"/>
        <w:jc w:val="both"/>
      </w:pPr>
      <w:r>
        <w:rPr>
          <w:rFonts w:ascii="仿宋_GB2312" w:hAnsi="仿宋_GB2312" w:eastAsia="仿宋_GB2312"/>
          <w:b w:val="0"/>
          <w:sz w:val="32"/>
        </w:rPr>
        <w:t>9.农林水支出(类)农业农村(款)一般行政管理事务(项):支出决算数为14.65万元，比上年决算减少41.15万元，下降73.75%,主要原因是：本年减少</w:t>
      </w:r>
      <w:bookmarkStart w:id="0" w:name="_GoBack"/>
      <w:r>
        <w:rPr>
          <w:rFonts w:ascii="仿宋_GB2312" w:hAnsi="仿宋_GB2312" w:eastAsia="仿宋_GB2312"/>
          <w:b w:val="0"/>
          <w:sz w:val="32"/>
        </w:rPr>
        <w:t>2023</w:t>
      </w:r>
      <w:bookmarkEnd w:id="0"/>
      <w:r>
        <w:rPr>
          <w:rFonts w:ascii="仿宋_GB2312" w:hAnsi="仿宋_GB2312" w:eastAsia="仿宋_GB2312"/>
          <w:b w:val="0"/>
          <w:sz w:val="32"/>
        </w:rPr>
        <w:t>年自治区人才发展基金第一批重大人才计划项目资金。导致经费较上年减少。</w:t>
      </w:r>
    </w:p>
    <w:p w14:paraId="230EC552">
      <w:pPr>
        <w:spacing w:line="580" w:lineRule="exact"/>
        <w:ind w:firstLine="640"/>
        <w:jc w:val="both"/>
      </w:pPr>
      <w:r>
        <w:rPr>
          <w:rFonts w:ascii="仿宋_GB2312" w:hAnsi="仿宋_GB2312" w:eastAsia="仿宋_GB2312"/>
          <w:b w:val="0"/>
          <w:sz w:val="32"/>
        </w:rPr>
        <w:t>10.住房保障支出(类)住房改革支出(款)住房公积金(项):支出决算数为23.33万元，比上年决算增加2.51万元，增长12.06%,主要原因是：本年在职人员工资基数调增，公积金缴费基数上涨，相应支出增加。</w:t>
      </w:r>
    </w:p>
    <w:p w14:paraId="6DD802C6">
      <w:pPr>
        <w:spacing w:line="640" w:lineRule="exact"/>
        <w:ind w:firstLine="640"/>
        <w:jc w:val="both"/>
        <w:outlineLvl w:val="2"/>
      </w:pPr>
      <w:r>
        <w:rPr>
          <w:rFonts w:ascii="黑体" w:hAnsi="黑体" w:eastAsia="黑体"/>
          <w:sz w:val="32"/>
        </w:rPr>
        <w:t>六、一般公共预算财政拨款基本支出决算情况说明</w:t>
      </w:r>
    </w:p>
    <w:p w14:paraId="4C7F050A">
      <w:pPr>
        <w:spacing w:line="580" w:lineRule="exact"/>
        <w:ind w:firstLine="640"/>
        <w:jc w:val="both"/>
      </w:pPr>
      <w:r>
        <w:rPr>
          <w:rFonts w:ascii="仿宋_GB2312" w:hAnsi="仿宋_GB2312" w:eastAsia="仿宋_GB2312"/>
          <w:b w:val="0"/>
          <w:sz w:val="32"/>
        </w:rPr>
        <w:t>2024年度一般公共预算财政拨款基本支出336.55万元，其中：</w:t>
      </w:r>
      <w:r>
        <w:rPr>
          <w:rFonts w:ascii="仿宋_GB2312" w:hAnsi="仿宋_GB2312" w:eastAsia="仿宋_GB2312"/>
          <w:b/>
          <w:sz w:val="32"/>
        </w:rPr>
        <w:t>人员经费321.30万元，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其他对个人和家庭的补助。</w:t>
      </w:r>
    </w:p>
    <w:p w14:paraId="64455D10">
      <w:pPr>
        <w:spacing w:line="580" w:lineRule="exact"/>
        <w:ind w:firstLine="640"/>
        <w:jc w:val="both"/>
      </w:pPr>
      <w:r>
        <w:rPr>
          <w:rFonts w:ascii="仿宋_GB2312" w:hAnsi="仿宋_GB2312" w:eastAsia="仿宋_GB2312"/>
          <w:b/>
          <w:sz w:val="32"/>
        </w:rPr>
        <w:t>公用经费15.25万元，</w:t>
      </w:r>
      <w:r>
        <w:rPr>
          <w:rFonts w:ascii="仿宋_GB2312" w:hAnsi="仿宋_GB2312" w:eastAsia="仿宋_GB2312"/>
          <w:b w:val="0"/>
          <w:sz w:val="32"/>
        </w:rPr>
        <w:t>包括：办公费、水费、电费、邮电费、差旅费、专用材料费、劳务费、工会经费、其他交通费用、其他商品和服务支出。</w:t>
      </w:r>
    </w:p>
    <w:p w14:paraId="16F61FD7">
      <w:pPr>
        <w:spacing w:line="640" w:lineRule="exact"/>
        <w:ind w:firstLine="640"/>
        <w:jc w:val="both"/>
        <w:outlineLvl w:val="2"/>
      </w:pPr>
      <w:r>
        <w:rPr>
          <w:rFonts w:ascii="黑体" w:hAnsi="黑体" w:eastAsia="黑体"/>
          <w:sz w:val="32"/>
        </w:rPr>
        <w:t>七、政府性基金预算财政拨款收入支出决算情况说明</w:t>
      </w:r>
    </w:p>
    <w:p w14:paraId="40784715">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638F5FD">
      <w:pPr>
        <w:spacing w:line="640" w:lineRule="exact"/>
        <w:ind w:firstLine="640"/>
        <w:jc w:val="both"/>
        <w:outlineLvl w:val="2"/>
      </w:pPr>
      <w:r>
        <w:rPr>
          <w:rFonts w:ascii="黑体" w:hAnsi="黑体" w:eastAsia="黑体"/>
          <w:sz w:val="32"/>
        </w:rPr>
        <w:t>八、国有资本经营预算财政拨款收入支出决算情况说明</w:t>
      </w:r>
    </w:p>
    <w:p w14:paraId="666FF60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F0D4934">
      <w:pPr>
        <w:spacing w:line="640" w:lineRule="exact"/>
        <w:ind w:firstLine="640"/>
        <w:jc w:val="both"/>
        <w:outlineLvl w:val="2"/>
      </w:pPr>
      <w:r>
        <w:rPr>
          <w:rFonts w:ascii="黑体" w:hAnsi="黑体" w:eastAsia="黑体"/>
          <w:sz w:val="32"/>
        </w:rPr>
        <w:t>九、财政拨款“三公”经费支出决算情况说明</w:t>
      </w:r>
    </w:p>
    <w:p w14:paraId="3122F01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4756519">
      <w:pPr>
        <w:spacing w:line="580" w:lineRule="exact"/>
        <w:ind w:firstLine="640"/>
        <w:jc w:val="both"/>
      </w:pPr>
      <w:r>
        <w:rPr>
          <w:rFonts w:ascii="仿宋_GB2312" w:hAnsi="仿宋_GB2312" w:eastAsia="仿宋_GB2312"/>
          <w:b/>
          <w:sz w:val="32"/>
        </w:rPr>
        <w:t>具体情况如下：</w:t>
      </w:r>
    </w:p>
    <w:p w14:paraId="06B8FC8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457286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4F3367F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CD26E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F2327E2">
      <w:pPr>
        <w:spacing w:line="640" w:lineRule="exact"/>
        <w:ind w:firstLine="640"/>
        <w:jc w:val="both"/>
        <w:outlineLvl w:val="2"/>
      </w:pPr>
      <w:r>
        <w:rPr>
          <w:rFonts w:ascii="黑体" w:hAnsi="黑体" w:eastAsia="黑体"/>
          <w:sz w:val="32"/>
        </w:rPr>
        <w:t>十、其他重要事项的情况说明</w:t>
      </w:r>
    </w:p>
    <w:p w14:paraId="7A46BA9E">
      <w:pPr>
        <w:spacing w:line="640" w:lineRule="exact"/>
        <w:ind w:firstLine="640"/>
        <w:jc w:val="both"/>
        <w:outlineLvl w:val="3"/>
      </w:pPr>
      <w:r>
        <w:rPr>
          <w:rFonts w:ascii="楷体_GB2312" w:hAnsi="楷体_GB2312" w:eastAsia="楷体_GB2312"/>
          <w:b/>
          <w:sz w:val="32"/>
        </w:rPr>
        <w:t>（一）机关运行经费及公用经费支出情况</w:t>
      </w:r>
    </w:p>
    <w:p w14:paraId="1A3E65AA">
      <w:pPr>
        <w:spacing w:line="580" w:lineRule="exact"/>
        <w:ind w:firstLine="640"/>
        <w:jc w:val="both"/>
      </w:pPr>
      <w:r>
        <w:rPr>
          <w:rFonts w:ascii="仿宋_GB2312" w:hAnsi="仿宋_GB2312" w:eastAsia="仿宋_GB2312"/>
          <w:b w:val="0"/>
          <w:sz w:val="32"/>
        </w:rPr>
        <w:t>2024年度喀什地区种业发展中心（行政单位和参照公务员法管理事业单位）机关运行经费支出15.25万元，比上年增加5.91万元，增长63.28%，主要原因是：本年业务需要，办公费、差旅费增加，导致机关运行经费增加。</w:t>
      </w:r>
    </w:p>
    <w:p w14:paraId="181E0997">
      <w:pPr>
        <w:spacing w:line="640" w:lineRule="exact"/>
        <w:ind w:firstLine="640"/>
        <w:jc w:val="both"/>
        <w:outlineLvl w:val="3"/>
      </w:pPr>
      <w:r>
        <w:rPr>
          <w:rFonts w:ascii="楷体_GB2312" w:hAnsi="楷体_GB2312" w:eastAsia="楷体_GB2312"/>
          <w:b/>
          <w:sz w:val="32"/>
        </w:rPr>
        <w:t>（二）政府采购情况</w:t>
      </w:r>
    </w:p>
    <w:p w14:paraId="2E828C5B">
      <w:pPr>
        <w:spacing w:line="580" w:lineRule="exact"/>
        <w:ind w:firstLine="640"/>
        <w:jc w:val="both"/>
      </w:pPr>
      <w:r>
        <w:rPr>
          <w:rFonts w:ascii="仿宋_GB2312" w:hAnsi="仿宋_GB2312" w:eastAsia="仿宋_GB2312"/>
          <w:b w:val="0"/>
          <w:sz w:val="32"/>
        </w:rPr>
        <w:t>2024年度政府采购支出总额11.87万元，其中：政府采购货物支出10.33万元、政府采购工程支出0.00万元、政府采购服务支出1.54万元。</w:t>
      </w:r>
    </w:p>
    <w:p w14:paraId="4F6A1C6D">
      <w:pPr>
        <w:spacing w:line="580" w:lineRule="exact"/>
        <w:ind w:firstLine="640"/>
        <w:jc w:val="both"/>
      </w:pPr>
      <w:r>
        <w:rPr>
          <w:rFonts w:ascii="仿宋_GB2312" w:hAnsi="仿宋_GB2312" w:eastAsia="仿宋_GB2312"/>
          <w:b w:val="0"/>
          <w:sz w:val="32"/>
        </w:rPr>
        <w:t>授予中小企业合同金额11.87万元，占政府采购支出总额的100.00%，其中：授予小微企业合同金额11.87万元，占政府采购支出总额的100.00%。</w:t>
      </w:r>
    </w:p>
    <w:p w14:paraId="7F2CC3E1">
      <w:pPr>
        <w:spacing w:line="640" w:lineRule="exact"/>
        <w:ind w:firstLine="640"/>
        <w:jc w:val="both"/>
        <w:outlineLvl w:val="3"/>
      </w:pPr>
      <w:r>
        <w:rPr>
          <w:rFonts w:ascii="楷体_GB2312" w:hAnsi="楷体_GB2312" w:eastAsia="楷体_GB2312"/>
          <w:b/>
          <w:sz w:val="32"/>
        </w:rPr>
        <w:t>（三）国有资产占用情况说明</w:t>
      </w:r>
    </w:p>
    <w:p w14:paraId="5467B0F0">
      <w:pPr>
        <w:spacing w:line="580" w:lineRule="exact"/>
        <w:ind w:firstLine="640"/>
        <w:jc w:val="both"/>
      </w:pPr>
      <w:r>
        <w:rPr>
          <w:rFonts w:ascii="仿宋_GB2312" w:hAnsi="仿宋_GB2312" w:eastAsia="仿宋_GB2312"/>
          <w:b w:val="0"/>
          <w:sz w:val="32"/>
        </w:rPr>
        <w:t>截至2024年12月31日，房屋6,315.78平方米，价值348.79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1台（套）。</w:t>
      </w:r>
    </w:p>
    <w:p w14:paraId="150AA5C1">
      <w:pPr>
        <w:spacing w:line="640" w:lineRule="exact"/>
        <w:ind w:firstLine="640"/>
        <w:jc w:val="both"/>
        <w:outlineLvl w:val="2"/>
      </w:pPr>
      <w:r>
        <w:rPr>
          <w:rFonts w:ascii="黑体" w:hAnsi="黑体" w:eastAsia="黑体"/>
          <w:sz w:val="32"/>
        </w:rPr>
        <w:t>十一、预算绩效的情况说明</w:t>
      </w:r>
    </w:p>
    <w:p w14:paraId="3121F00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374.85万元，实际执行总额371.20万元；预算绩效评价项目3个，全年预算数29.00万元，全年执行数28.46万元。预算绩效管理取得的成效：一是单位进一步提高预算绩效管理认识，强化以“绩效为中心、对支出结果负责、对社会公众负责”的理念。二是在绩效目标编制方面，针对绩效目标设置指向不清、预算和目标匹配不足，数量目标和质量目标量化不细，效益目标编制不完整等方面加以了改善。三是加强预算绩效动态监督管理，及时跟踪项目进度，对项目实施中存在的具体问题采取纠偏措施。发现的问题及原因：一是今后的工作中将进一步细化工作，严格按照预算开支，从源头压缩开支，确保决算的正确性。二是对于绩效方面，做到绩效工作由专人负责，同时加强相关人员对绩效知识的培训；如遇到与实际情况有偏差的情况，需及时调整绩效目标。下一步改进措施：一是今后的工作中将进一步细化工作，严格按照预算开支，从源头压缩开支，确保决算的正确性。二是对于绩效方面，做到绩效工作由专人负责，同时加强相关人员对绩效知识的培训；如遇到与实际情况有偏差的情况，需及时调整绩效目标。具体附部门整体支出绩效自评表，项目支出绩效自评表和部门评价报告。</w:t>
      </w:r>
    </w:p>
    <w:p w14:paraId="739D0AE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08106C">
        <w:tblPrEx>
          <w:tblCellMar>
            <w:top w:w="0" w:type="dxa"/>
            <w:left w:w="108" w:type="dxa"/>
            <w:bottom w:w="0" w:type="dxa"/>
            <w:right w:w="108" w:type="dxa"/>
          </w:tblCellMar>
        </w:tblPrEx>
        <w:tc>
          <w:tcPr>
            <w:tcW w:w="8847" w:type="dxa"/>
            <w:gridSpan w:val="9"/>
            <w:vAlign w:val="center"/>
          </w:tcPr>
          <w:p w14:paraId="4670D39C">
            <w:pPr>
              <w:jc w:val="center"/>
            </w:pPr>
            <w:r>
              <w:rPr>
                <w:rFonts w:ascii="宋体" w:hAnsi="宋体" w:eastAsia="宋体"/>
                <w:sz w:val="24"/>
              </w:rPr>
              <w:t>部门整体支出绩效自评表</w:t>
            </w:r>
          </w:p>
        </w:tc>
      </w:tr>
      <w:tr w14:paraId="11E82102">
        <w:tblPrEx>
          <w:tblCellMar>
            <w:top w:w="0" w:type="dxa"/>
            <w:left w:w="108" w:type="dxa"/>
            <w:bottom w:w="0" w:type="dxa"/>
            <w:right w:w="108" w:type="dxa"/>
          </w:tblCellMar>
        </w:tblPrEx>
        <w:tc>
          <w:tcPr>
            <w:tcW w:w="8847" w:type="dxa"/>
            <w:gridSpan w:val="9"/>
            <w:vAlign w:val="center"/>
          </w:tcPr>
          <w:p w14:paraId="55A28480">
            <w:pPr>
              <w:jc w:val="center"/>
            </w:pPr>
            <w:r>
              <w:rPr>
                <w:rFonts w:ascii="宋体" w:hAnsi="宋体" w:eastAsia="宋体"/>
                <w:sz w:val="24"/>
              </w:rPr>
              <w:t>（2024年度）</w:t>
            </w:r>
          </w:p>
        </w:tc>
      </w:tr>
      <w:tr w14:paraId="107A23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A4FC3">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9368CA">
            <w:pPr>
              <w:jc w:val="center"/>
            </w:pPr>
            <w:r>
              <w:rPr>
                <w:rFonts w:ascii="宋体" w:hAnsi="宋体" w:eastAsia="宋体"/>
                <w:sz w:val="16"/>
              </w:rPr>
              <w:t>喀什地区种业发展中心</w:t>
            </w:r>
          </w:p>
        </w:tc>
      </w:tr>
      <w:tr w14:paraId="358308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0464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E5CF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EBD7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129B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B173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4F22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C96F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0743">
            <w:pPr>
              <w:jc w:val="center"/>
            </w:pPr>
            <w:r>
              <w:rPr>
                <w:rFonts w:ascii="宋体" w:hAnsi="宋体" w:eastAsia="宋体"/>
                <w:sz w:val="16"/>
              </w:rPr>
              <w:t>得分</w:t>
            </w:r>
          </w:p>
        </w:tc>
      </w:tr>
      <w:tr w14:paraId="76024B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D3D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F8F1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E3495">
            <w:pPr>
              <w:jc w:val="center"/>
            </w:pPr>
            <w:r>
              <w:rPr>
                <w:rFonts w:ascii="宋体" w:hAnsi="宋体" w:eastAsia="宋体"/>
                <w:sz w:val="16"/>
              </w:rPr>
              <w:t>334.18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9D6DA">
            <w:pPr>
              <w:jc w:val="center"/>
            </w:pPr>
            <w:r>
              <w:rPr>
                <w:rFonts w:ascii="宋体" w:hAnsi="宋体" w:eastAsia="宋体"/>
                <w:sz w:val="16"/>
              </w:rPr>
              <w:t>374.85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C4422">
            <w:pPr>
              <w:jc w:val="center"/>
            </w:pPr>
            <w:r>
              <w:rPr>
                <w:rFonts w:ascii="宋体" w:hAnsi="宋体" w:eastAsia="宋体"/>
                <w:sz w:val="16"/>
              </w:rPr>
              <w:t>371.20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E68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E7983">
            <w:pPr>
              <w:jc w:val="center"/>
            </w:pPr>
            <w:r>
              <w:rPr>
                <w:rFonts w:ascii="宋体" w:hAnsi="宋体" w:eastAsia="宋体"/>
                <w:sz w:val="16"/>
              </w:rPr>
              <w:t>99.03%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56B6">
            <w:pPr>
              <w:jc w:val="center"/>
            </w:pPr>
            <w:r>
              <w:rPr>
                <w:rFonts w:ascii="宋体" w:hAnsi="宋体" w:eastAsia="宋体"/>
                <w:sz w:val="16"/>
              </w:rPr>
              <w:t>9.9</w:t>
            </w:r>
          </w:p>
        </w:tc>
      </w:tr>
      <w:tr w14:paraId="5F261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5D6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A500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15B5F">
            <w:pPr>
              <w:jc w:val="center"/>
            </w:pPr>
            <w:r>
              <w:rPr>
                <w:rFonts w:ascii="宋体" w:hAnsi="宋体" w:eastAsia="宋体"/>
                <w:sz w:val="16"/>
              </w:rPr>
              <w:t>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A4D0E">
            <w:pPr>
              <w:jc w:val="center"/>
            </w:pPr>
            <w:r>
              <w:rPr>
                <w:rFonts w:ascii="宋体" w:hAnsi="宋体" w:eastAsia="宋体"/>
                <w:sz w:val="16"/>
              </w:rPr>
              <w:t>46.37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18AF2">
            <w:pPr>
              <w:jc w:val="center"/>
            </w:pPr>
            <w:r>
              <w:rPr>
                <w:rFonts w:ascii="宋体" w:hAnsi="宋体" w:eastAsia="宋体"/>
                <w:sz w:val="16"/>
              </w:rPr>
              <w:t>43.26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908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667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C3743">
            <w:pPr>
              <w:jc w:val="center"/>
            </w:pPr>
            <w:r>
              <w:rPr>
                <w:rFonts w:ascii="宋体" w:hAnsi="宋体" w:eastAsia="宋体"/>
                <w:sz w:val="16"/>
              </w:rPr>
              <w:t>—</w:t>
            </w:r>
          </w:p>
        </w:tc>
      </w:tr>
      <w:tr w14:paraId="3A8783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97E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CB94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7CFA1">
            <w:pPr>
              <w:jc w:val="center"/>
            </w:pPr>
            <w:r>
              <w:rPr>
                <w:rFonts w:ascii="宋体" w:hAnsi="宋体" w:eastAsia="宋体"/>
                <w:sz w:val="16"/>
              </w:rPr>
              <w:t>329.56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AAD9E">
            <w:pPr>
              <w:jc w:val="center"/>
            </w:pPr>
            <w:r>
              <w:rPr>
                <w:rFonts w:ascii="宋体" w:hAnsi="宋体" w:eastAsia="宋体"/>
                <w:sz w:val="16"/>
              </w:rPr>
              <w:t>328.48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C3134">
            <w:pPr>
              <w:jc w:val="center"/>
            </w:pPr>
            <w:r>
              <w:rPr>
                <w:rFonts w:ascii="宋体" w:hAnsi="宋体" w:eastAsia="宋体"/>
                <w:sz w:val="16"/>
              </w:rPr>
              <w:t>327.94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139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F93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20EA">
            <w:pPr>
              <w:jc w:val="center"/>
            </w:pPr>
            <w:r>
              <w:rPr>
                <w:rFonts w:ascii="宋体" w:hAnsi="宋体" w:eastAsia="宋体"/>
                <w:sz w:val="16"/>
              </w:rPr>
              <w:t>—</w:t>
            </w:r>
          </w:p>
        </w:tc>
      </w:tr>
      <w:tr w14:paraId="03C669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800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B77D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B5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226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85D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0C6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526E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8B6C">
            <w:pPr>
              <w:jc w:val="center"/>
            </w:pPr>
            <w:r>
              <w:rPr>
                <w:rFonts w:ascii="宋体" w:hAnsi="宋体" w:eastAsia="宋体"/>
                <w:sz w:val="16"/>
              </w:rPr>
              <w:t>—</w:t>
            </w:r>
          </w:p>
        </w:tc>
      </w:tr>
      <w:tr w14:paraId="487D34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72D9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30804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CF259">
            <w:pPr>
              <w:jc w:val="center"/>
            </w:pPr>
            <w:r>
              <w:rPr>
                <w:rFonts w:ascii="宋体" w:hAnsi="宋体" w:eastAsia="宋体"/>
                <w:sz w:val="16"/>
              </w:rPr>
              <w:t>实际完成情况</w:t>
            </w:r>
          </w:p>
        </w:tc>
      </w:tr>
      <w:tr w14:paraId="684160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70E0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28CEF2">
            <w:pPr>
              <w:jc w:val="both"/>
            </w:pPr>
            <w:r>
              <w:rPr>
                <w:rFonts w:ascii="宋体" w:hAnsi="宋体" w:eastAsia="宋体"/>
                <w:sz w:val="16"/>
              </w:rPr>
              <w:t>通过主要农作物良繁体系建设监督监管，提高主要农作物（小麦、玉米、棉花）种子质量，加大打击侵犯品种权和制售假劣种子力度，强化供种保障能力，提高主要农作物单产，促进种子生产发展，确保国家粮食安全。实现全地区良种覆盖率达到98%以上。喀什地区种子田面积2024年达50万亩。生产的种子能够满足本地区用种需求，为确保用种质量，加大种子市场监管和种子基地检查力度，分别在春季、夏季和秋季农业生产用种旺季加强种子市场的检查力度，保证市场监管次数不少于3次、基地检查次数不少于4次，防止假冒伪劣种子进入市场。加强喀什地区种子专业技术人员培训，举办两次培训会,不断提高种业技术人员业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7C898">
            <w:pPr>
              <w:jc w:val="both"/>
            </w:pPr>
            <w:r>
              <w:rPr>
                <w:rFonts w:ascii="宋体" w:hAnsi="宋体" w:eastAsia="宋体"/>
                <w:sz w:val="16"/>
              </w:rPr>
              <w:t>完成主要农作物良繁体系建设监督监管，提高主要农作物（小麦、玉米子质量，加大打击侵犯品种权和制售假劣种子力度，强化供种保障能力，完成全地区良种覆盖率达到98%以上。建设小麦、玉米等制种基地50万亩以上</w:t>
            </w:r>
            <w:r>
              <w:rPr>
                <w:rFonts w:hint="eastAsia" w:ascii="宋体" w:hAnsi="宋体"/>
                <w:sz w:val="16"/>
                <w:lang w:eastAsia="zh-CN"/>
              </w:rPr>
              <w:t>）</w:t>
            </w:r>
            <w:r>
              <w:rPr>
                <w:rFonts w:ascii="宋体" w:hAnsi="宋体" w:eastAsia="宋体"/>
                <w:sz w:val="16"/>
              </w:rPr>
              <w:t>守好粮食安全底线。加大种子市场监管和种子基地检查力度，分别在春季、夏季和秋季农业生产用种旺季加强种子市场的检查力度，完成市场监管次数3次、基地检查次数4次，防止假冒伪劣种子进入市场。加强喀什地区种子专业技术人员培训，举办两次培训会,不断提高种业技术人员业务水平。完成全地区良种覆盖率达到98%以上。</w:t>
            </w:r>
          </w:p>
        </w:tc>
      </w:tr>
      <w:tr w14:paraId="2EE97F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97CA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7AC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9A6B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33D0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EB8F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B2D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FB20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59B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D9FA2">
            <w:pPr>
              <w:jc w:val="center"/>
            </w:pPr>
            <w:r>
              <w:rPr>
                <w:rFonts w:ascii="宋体" w:hAnsi="宋体" w:eastAsia="宋体"/>
                <w:sz w:val="16"/>
              </w:rPr>
              <w:t>得分</w:t>
            </w:r>
          </w:p>
        </w:tc>
      </w:tr>
      <w:tr w14:paraId="428CA6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6D18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85E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E4D88">
            <w:pPr>
              <w:jc w:val="center"/>
            </w:pPr>
            <w:r>
              <w:rPr>
                <w:rFonts w:ascii="宋体" w:hAnsi="宋体" w:eastAsia="宋体"/>
                <w:sz w:val="16"/>
              </w:rPr>
              <w:t>基地检查次数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515FE">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AFD24">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70D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B0F0">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E38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C10E3">
            <w:pPr>
              <w:jc w:val="center"/>
            </w:pPr>
            <w:r>
              <w:rPr>
                <w:rFonts w:ascii="宋体" w:hAnsi="宋体" w:eastAsia="宋体"/>
                <w:sz w:val="16"/>
              </w:rPr>
              <w:t>10</w:t>
            </w:r>
          </w:p>
        </w:tc>
      </w:tr>
      <w:tr w14:paraId="6A0DA4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AC7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177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B409">
            <w:pPr>
              <w:jc w:val="center"/>
            </w:pPr>
            <w:r>
              <w:rPr>
                <w:rFonts w:ascii="宋体" w:hAnsi="宋体" w:eastAsia="宋体"/>
                <w:sz w:val="16"/>
              </w:rPr>
              <w:t>市场监管次数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2B2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9DD9">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230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058A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5E1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90E46">
            <w:pPr>
              <w:jc w:val="center"/>
            </w:pPr>
            <w:r>
              <w:rPr>
                <w:rFonts w:ascii="宋体" w:hAnsi="宋体" w:eastAsia="宋体"/>
                <w:sz w:val="16"/>
              </w:rPr>
              <w:t>20</w:t>
            </w:r>
          </w:p>
        </w:tc>
      </w:tr>
      <w:tr w14:paraId="636105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DDC6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86DF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564C0">
            <w:pPr>
              <w:jc w:val="center"/>
            </w:pPr>
            <w:r>
              <w:rPr>
                <w:rFonts w:ascii="宋体" w:hAnsi="宋体" w:eastAsia="宋体"/>
                <w:sz w:val="16"/>
              </w:rPr>
              <w:t>种子田面积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4C0B7">
            <w:pPr>
              <w:jc w:val="center"/>
            </w:pPr>
            <w:r>
              <w:rPr>
                <w:rFonts w:ascii="宋体" w:hAnsi="宋体" w:eastAsia="宋体"/>
                <w:sz w:val="16"/>
              </w:rPr>
              <w:t>=50万亩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31162">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A4C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1D6F3">
            <w:pPr>
              <w:jc w:val="center"/>
            </w:pPr>
            <w:r>
              <w:rPr>
                <w:rFonts w:ascii="宋体" w:hAnsi="宋体" w:eastAsia="宋体"/>
                <w:sz w:val="16"/>
              </w:rPr>
              <w:t>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F4E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A79D7">
            <w:pPr>
              <w:jc w:val="center"/>
            </w:pPr>
            <w:r>
              <w:rPr>
                <w:rFonts w:ascii="宋体" w:hAnsi="宋体" w:eastAsia="宋体"/>
                <w:sz w:val="16"/>
              </w:rPr>
              <w:t>10</w:t>
            </w:r>
          </w:p>
        </w:tc>
      </w:tr>
      <w:tr w14:paraId="73A0EF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1D4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2DC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5BECE">
            <w:pPr>
              <w:jc w:val="center"/>
            </w:pPr>
            <w:r>
              <w:rPr>
                <w:rFonts w:ascii="宋体" w:hAnsi="宋体" w:eastAsia="宋体"/>
                <w:sz w:val="16"/>
              </w:rPr>
              <w:t>小麦种子本地化生产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8A2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48F39">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6D2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26B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BE6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5A279">
            <w:pPr>
              <w:jc w:val="center"/>
            </w:pPr>
            <w:r>
              <w:rPr>
                <w:rFonts w:ascii="宋体" w:hAnsi="宋体" w:eastAsia="宋体"/>
                <w:sz w:val="16"/>
              </w:rPr>
              <w:t>20</w:t>
            </w:r>
          </w:p>
        </w:tc>
      </w:tr>
      <w:tr w14:paraId="2BD80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244C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DFD7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43203">
            <w:pPr>
              <w:jc w:val="center"/>
            </w:pPr>
            <w:r>
              <w:rPr>
                <w:rFonts w:ascii="宋体" w:hAnsi="宋体" w:eastAsia="宋体"/>
                <w:sz w:val="16"/>
              </w:rPr>
              <w:t>良种覆盖率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6429">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39FB5">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A7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51752">
            <w:pPr>
              <w:jc w:val="center"/>
            </w:pPr>
            <w:r>
              <w:rPr>
                <w:rFonts w:ascii="宋体" w:hAnsi="宋体" w:eastAsia="宋体"/>
                <w:sz w:val="16"/>
              </w:rPr>
              <w:t>99.64%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14B5">
            <w:pPr>
              <w:jc w:val="center"/>
            </w:pPr>
            <w:r>
              <w:rPr>
                <w:rFonts w:ascii="宋体" w:hAnsi="宋体" w:eastAsia="宋体"/>
                <w:sz w:val="16"/>
              </w:rPr>
              <w:t>100.67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79C46">
            <w:pPr>
              <w:jc w:val="center"/>
            </w:pPr>
            <w:r>
              <w:rPr>
                <w:rFonts w:ascii="宋体" w:hAnsi="宋体" w:eastAsia="宋体"/>
                <w:sz w:val="16"/>
              </w:rPr>
              <w:t>20</w:t>
            </w:r>
          </w:p>
        </w:tc>
      </w:tr>
      <w:tr w14:paraId="755318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2EC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894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6DFC">
            <w:pPr>
              <w:jc w:val="center"/>
            </w:pPr>
            <w:r>
              <w:rPr>
                <w:rFonts w:ascii="宋体" w:hAnsi="宋体" w:eastAsia="宋体"/>
                <w:sz w:val="16"/>
              </w:rPr>
              <w:t>种子专业技术人员培训次数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ADA8E">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A9B17">
            <w:pPr>
              <w:jc w:val="center"/>
            </w:pPr>
            <w:r>
              <w:rPr>
                <w:rFonts w:ascii="宋体" w:hAnsi="宋体" w:eastAsia="宋体"/>
                <w:sz w:val="16"/>
              </w:rPr>
              <w:t>2024年度主要农作物良种繁育体系建设监督监管项目实施方案、喀什地区种业发展中心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BF0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23AB6">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C65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B2732">
            <w:pPr>
              <w:jc w:val="center"/>
            </w:pPr>
            <w:r>
              <w:rPr>
                <w:rFonts w:ascii="宋体" w:hAnsi="宋体" w:eastAsia="宋体"/>
                <w:sz w:val="16"/>
              </w:rPr>
              <w:t>10</w:t>
            </w:r>
          </w:p>
        </w:tc>
      </w:tr>
    </w:tbl>
    <w:p w14:paraId="3D1728CD">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51"/>
        <w:gridCol w:w="481"/>
        <w:gridCol w:w="194"/>
        <w:gridCol w:w="438"/>
        <w:gridCol w:w="632"/>
        <w:gridCol w:w="632"/>
        <w:gridCol w:w="632"/>
        <w:gridCol w:w="632"/>
        <w:gridCol w:w="776"/>
        <w:gridCol w:w="632"/>
        <w:gridCol w:w="632"/>
        <w:gridCol w:w="632"/>
      </w:tblGrid>
      <w:tr w14:paraId="56157210">
        <w:tblPrEx>
          <w:tblCellMar>
            <w:top w:w="0" w:type="dxa"/>
            <w:left w:w="108" w:type="dxa"/>
            <w:bottom w:w="0" w:type="dxa"/>
            <w:right w:w="108" w:type="dxa"/>
          </w:tblCellMar>
        </w:tblPrEx>
        <w:tc>
          <w:tcPr>
            <w:tcW w:w="8992" w:type="dxa"/>
            <w:gridSpan w:val="16"/>
            <w:vAlign w:val="center"/>
          </w:tcPr>
          <w:p w14:paraId="1FD0A4D8">
            <w:pPr>
              <w:jc w:val="center"/>
            </w:pPr>
            <w:r>
              <w:rPr>
                <w:rFonts w:ascii="宋体" w:hAnsi="宋体" w:eastAsia="宋体"/>
                <w:sz w:val="24"/>
              </w:rPr>
              <w:t>项目支出绩效自评表</w:t>
            </w:r>
          </w:p>
        </w:tc>
      </w:tr>
      <w:tr w14:paraId="3DF49A3A">
        <w:tblPrEx>
          <w:tblCellMar>
            <w:top w:w="0" w:type="dxa"/>
            <w:left w:w="108" w:type="dxa"/>
            <w:bottom w:w="0" w:type="dxa"/>
            <w:right w:w="108" w:type="dxa"/>
          </w:tblCellMar>
        </w:tblPrEx>
        <w:tc>
          <w:tcPr>
            <w:tcW w:w="8992" w:type="dxa"/>
            <w:gridSpan w:val="16"/>
            <w:vAlign w:val="center"/>
          </w:tcPr>
          <w:p w14:paraId="7D97A911">
            <w:pPr>
              <w:jc w:val="center"/>
            </w:pPr>
            <w:r>
              <w:rPr>
                <w:rFonts w:ascii="宋体" w:hAnsi="宋体" w:eastAsia="宋体"/>
                <w:sz w:val="24"/>
              </w:rPr>
              <w:t>(2024年度)</w:t>
            </w:r>
          </w:p>
        </w:tc>
      </w:tr>
      <w:tr w14:paraId="04AB0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D4C9">
            <w:pPr>
              <w:jc w:val="center"/>
            </w:pPr>
            <w:r>
              <w:rPr>
                <w:rFonts w:ascii="宋体" w:hAnsi="宋体" w:eastAsia="宋体"/>
                <w:sz w:val="16"/>
              </w:rPr>
              <w:t>项目名称</w:t>
            </w:r>
          </w:p>
        </w:tc>
        <w:tc>
          <w:tcPr>
            <w:tcW w:w="8360"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07680795">
            <w:pPr>
              <w:jc w:val="center"/>
            </w:pPr>
            <w:r>
              <w:rPr>
                <w:rFonts w:ascii="宋体" w:hAnsi="宋体" w:eastAsia="宋体"/>
                <w:sz w:val="16"/>
              </w:rPr>
              <w:t>主要农作物良种繁育体系建设监督监管项目</w:t>
            </w:r>
          </w:p>
        </w:tc>
      </w:tr>
      <w:tr w14:paraId="47439B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44AE">
            <w:pPr>
              <w:jc w:val="center"/>
            </w:pPr>
            <w:r>
              <w:rPr>
                <w:rFonts w:ascii="宋体" w:hAnsi="宋体" w:eastAsia="宋体"/>
                <w:sz w:val="16"/>
              </w:rPr>
              <w:t>主管部门</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C16A891">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94B7">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1D0B27">
            <w:pPr>
              <w:jc w:val="center"/>
            </w:pPr>
            <w:r>
              <w:rPr>
                <w:rFonts w:ascii="宋体" w:hAnsi="宋体" w:eastAsia="宋体"/>
                <w:sz w:val="16"/>
              </w:rPr>
              <w:t>喀什地区种业发展中心</w:t>
            </w:r>
          </w:p>
        </w:tc>
      </w:tr>
      <w:tr w14:paraId="6F905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9D6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6D3DC">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6E4038">
            <w:pPr>
              <w:jc w:val="center"/>
            </w:pPr>
            <w:r>
              <w:rPr>
                <w:rFonts w:ascii="宋体" w:hAnsi="宋体" w:eastAsia="宋体"/>
                <w:sz w:val="16"/>
              </w:rPr>
              <w:t>年初预算数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BD88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81D6">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316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4E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D67D">
            <w:pPr>
              <w:jc w:val="center"/>
            </w:pPr>
            <w:r>
              <w:rPr>
                <w:rFonts w:ascii="宋体" w:hAnsi="宋体" w:eastAsia="宋体"/>
                <w:sz w:val="16"/>
              </w:rPr>
              <w:t>得分</w:t>
            </w:r>
          </w:p>
        </w:tc>
      </w:tr>
      <w:tr w14:paraId="65E2E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C97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77FFF">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CE6FA1">
            <w:pPr>
              <w:jc w:val="center"/>
            </w:pPr>
            <w:r>
              <w:rPr>
                <w:rFonts w:ascii="宋体" w:hAnsi="宋体" w:eastAsia="宋体"/>
                <w:sz w:val="16"/>
              </w:rPr>
              <w:t>7.00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3E101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DFA0E">
            <w:pPr>
              <w:jc w:val="center"/>
            </w:pPr>
            <w:r>
              <w:rPr>
                <w:rFonts w:ascii="宋体" w:hAnsi="宋体" w:eastAsia="宋体"/>
                <w:sz w:val="16"/>
              </w:rPr>
              <w:t>6.46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19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AA62">
            <w:pPr>
              <w:jc w:val="center"/>
            </w:pPr>
            <w:r>
              <w:rPr>
                <w:rFonts w:ascii="宋体" w:hAnsi="宋体" w:eastAsia="宋体"/>
                <w:sz w:val="16"/>
              </w:rPr>
              <w:t>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426E">
            <w:pPr>
              <w:jc w:val="center"/>
            </w:pPr>
            <w:r>
              <w:rPr>
                <w:rFonts w:hint="eastAsia" w:ascii="宋体" w:hAnsi="宋体"/>
                <w:sz w:val="16"/>
                <w:lang w:val="en-US" w:eastAsia="zh-CN"/>
              </w:rPr>
              <w:t>9.2</w:t>
            </w:r>
            <w:r>
              <w:rPr>
                <w:rFonts w:ascii="宋体" w:hAnsi="宋体" w:eastAsia="宋体"/>
                <w:sz w:val="16"/>
              </w:rPr>
              <w:t>分</w:t>
            </w:r>
          </w:p>
        </w:tc>
      </w:tr>
      <w:tr w14:paraId="059B6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DC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40490">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9F1170">
            <w:pPr>
              <w:jc w:val="center"/>
            </w:pPr>
            <w:r>
              <w:rPr>
                <w:rFonts w:ascii="宋体" w:hAnsi="宋体" w:eastAsia="宋体"/>
                <w:sz w:val="16"/>
              </w:rPr>
              <w:t>7.00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7E01C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74083">
            <w:pPr>
              <w:jc w:val="center"/>
            </w:pPr>
            <w:r>
              <w:rPr>
                <w:rFonts w:ascii="宋体" w:hAnsi="宋体" w:eastAsia="宋体"/>
                <w:sz w:val="16"/>
              </w:rPr>
              <w:t>6.46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E16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DF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2C26">
            <w:pPr>
              <w:jc w:val="center"/>
            </w:pPr>
            <w:r>
              <w:rPr>
                <w:rFonts w:ascii="宋体" w:hAnsi="宋体" w:eastAsia="宋体"/>
                <w:sz w:val="16"/>
              </w:rPr>
              <w:t>—</w:t>
            </w:r>
          </w:p>
        </w:tc>
      </w:tr>
      <w:tr w14:paraId="0D2CF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5A6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6CCF">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342041">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9034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9927B">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6BB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53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2E02">
            <w:pPr>
              <w:jc w:val="center"/>
            </w:pPr>
            <w:r>
              <w:rPr>
                <w:rFonts w:ascii="宋体" w:hAnsi="宋体" w:eastAsia="宋体"/>
                <w:sz w:val="16"/>
              </w:rPr>
              <w:t>—</w:t>
            </w:r>
          </w:p>
        </w:tc>
      </w:tr>
      <w:tr w14:paraId="0169F6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8A764">
            <w:pPr>
              <w:jc w:val="center"/>
            </w:pPr>
            <w:r>
              <w:rPr>
                <w:rFonts w:ascii="宋体" w:hAnsi="宋体" w:eastAsia="宋体"/>
                <w:sz w:val="16"/>
              </w:rPr>
              <w:t>三、目标完成情况</w:t>
            </w:r>
          </w:p>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FE9B2AB">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0FCB21">
            <w:pPr>
              <w:jc w:val="center"/>
            </w:pPr>
            <w:r>
              <w:rPr>
                <w:rFonts w:ascii="宋体" w:hAnsi="宋体" w:eastAsia="宋体"/>
                <w:sz w:val="16"/>
              </w:rPr>
              <w:t>实际完成情况</w:t>
            </w:r>
          </w:p>
        </w:tc>
      </w:tr>
      <w:tr w14:paraId="0A647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A9467"/>
        </w:tc>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364801B">
            <w:pPr>
              <w:jc w:val="both"/>
            </w:pPr>
            <w:r>
              <w:rPr>
                <w:rFonts w:ascii="宋体" w:hAnsi="宋体" w:eastAsia="宋体"/>
                <w:sz w:val="16"/>
              </w:rPr>
              <w:t>通过主要农作物良繁体系建设监督监管，提高主要农作物（小麦、玉米、棉花）种子质量，加大打击侵犯品种权和制售假劣种子力度，强化供种保障能力，提高主要农作物单产，促进种子生产发展，确保国家粮食安全。实现全地区良种覆盖率达到98%以上。2024年，从疆内外引进小麦、玉米、棉花等主要农作物品种30个以上，在喀什地区不同气候条件进行试验示范点，观察新品种丰产性、抗逆性、适应性，筛选出适宜喀什地区种植的优良品种3-4个，逐步实现大面积推广。通过种业技术人员培训，不断提高业务水平，打造一支视野开阔、业务精湛、理念先进、经验丰富的种子专业技术人员队伍，为打好“种业翻身仗”提供人员保障。</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66CEC">
            <w:pPr>
              <w:jc w:val="both"/>
            </w:pPr>
            <w:r>
              <w:rPr>
                <w:rFonts w:ascii="宋体" w:hAnsi="宋体" w:eastAsia="宋体"/>
                <w:sz w:val="16"/>
              </w:rPr>
              <w:t>该项目实际已完成：基地检查4次，市场监管3次。一是指导检查喀什地区主要农作物（小麦、玉米、棉花）种子生产企业规范建立良种繁育基地，完善良种繁育体系。二是指导种子生产企业做好小麦种子提纯复壮工作，加强小麦原种生产质量控制，提高原种质量。三是指导企业做好良种繁育，重点落实繁育品种、繁育面积和繁育地点，保证良种供种率，确保粮食安全。四是通过主要农作物良种繁育体系监督检查，产出纯度、净度、发芽率、水分等四个指标达到国家标准的良种，确保全地区良种覆盖率达到98%以上。</w:t>
            </w:r>
          </w:p>
        </w:tc>
      </w:tr>
      <w:tr w14:paraId="265F20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750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0A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FB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9B38">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1B38">
            <w:pPr>
              <w:jc w:val="center"/>
            </w:pPr>
            <w:r>
              <w:rPr>
                <w:rFonts w:ascii="宋体" w:hAnsi="宋体" w:eastAsia="宋体"/>
                <w:sz w:val="16"/>
              </w:rPr>
              <w:t>年度指标值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0AF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F8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F4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E8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BC1A">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D4C0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C4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C3A3">
            <w:pPr>
              <w:jc w:val="center"/>
            </w:pPr>
            <w:r>
              <w:rPr>
                <w:rFonts w:ascii="宋体" w:hAnsi="宋体" w:eastAsia="宋体"/>
                <w:sz w:val="16"/>
              </w:rPr>
              <w:t>偏差原因分析及改进措施</w:t>
            </w:r>
          </w:p>
        </w:tc>
      </w:tr>
      <w:tr w14:paraId="0F5472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2E7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338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1C0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D6F3">
            <w:pPr>
              <w:jc w:val="center"/>
            </w:pPr>
            <w:r>
              <w:rPr>
                <w:rFonts w:ascii="宋体" w:hAnsi="宋体" w:eastAsia="宋体"/>
                <w:sz w:val="16"/>
              </w:rPr>
              <w:t>基地检查次数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A3445">
            <w:pPr>
              <w:jc w:val="center"/>
            </w:pPr>
            <w:r>
              <w:rPr>
                <w:rFonts w:ascii="宋体" w:hAnsi="宋体" w:eastAsia="宋体"/>
                <w:sz w:val="16"/>
              </w:rPr>
              <w:t>&gt;=4次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3A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762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0B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3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FC13">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12E52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DD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62A6B">
            <w:pPr>
              <w:jc w:val="center"/>
            </w:pPr>
          </w:p>
        </w:tc>
      </w:tr>
      <w:tr w14:paraId="67611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6E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F8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F5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362F">
            <w:pPr>
              <w:jc w:val="center"/>
            </w:pPr>
            <w:r>
              <w:rPr>
                <w:rFonts w:ascii="宋体" w:hAnsi="宋体" w:eastAsia="宋体"/>
                <w:sz w:val="16"/>
              </w:rPr>
              <w:t>市场监管次数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8CA8">
            <w:pPr>
              <w:jc w:val="center"/>
            </w:pPr>
            <w:r>
              <w:rPr>
                <w:rFonts w:ascii="宋体" w:hAnsi="宋体" w:eastAsia="宋体"/>
                <w:sz w:val="16"/>
              </w:rPr>
              <w:t>&gt;=3次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1F2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22B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6A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9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FD4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B930C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9A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5956C">
            <w:pPr>
              <w:jc w:val="center"/>
            </w:pPr>
          </w:p>
        </w:tc>
      </w:tr>
      <w:tr w14:paraId="522CF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66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BDD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26092">
            <w:pPr>
              <w:jc w:val="center"/>
            </w:pPr>
            <w:r>
              <w:rPr>
                <w:rFonts w:ascii="宋体" w:hAnsi="宋体" w:eastAsia="宋体"/>
                <w:sz w:val="16"/>
              </w:rPr>
              <w:t>质量指标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A33C">
            <w:pPr>
              <w:jc w:val="center"/>
            </w:pPr>
            <w:r>
              <w:rPr>
                <w:rFonts w:ascii="宋体" w:hAnsi="宋体" w:eastAsia="宋体"/>
                <w:sz w:val="16"/>
              </w:rPr>
              <w:t>小麦种子本地化生产</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B42BB">
            <w:pPr>
              <w:jc w:val="center"/>
            </w:pPr>
            <w:r>
              <w:rPr>
                <w:rFonts w:ascii="宋体" w:hAnsi="宋体" w:eastAsia="宋体"/>
                <w:sz w:val="16"/>
              </w:rPr>
              <w:t>=100%</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1406064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7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BC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6C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A72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D2DA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C0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FDBA9">
            <w:pPr>
              <w:jc w:val="center"/>
            </w:pPr>
          </w:p>
        </w:tc>
      </w:tr>
      <w:tr w14:paraId="1A9C0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2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C8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9D8E"/>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F495F">
            <w:pPr>
              <w:jc w:val="center"/>
            </w:pPr>
            <w:r>
              <w:rPr>
                <w:rFonts w:ascii="宋体" w:hAnsi="宋体" w:eastAsia="宋体"/>
                <w:sz w:val="16"/>
              </w:rPr>
              <w:t>良种覆盖率</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93AE">
            <w:pPr>
              <w:jc w:val="center"/>
            </w:pPr>
            <w:r>
              <w:rPr>
                <w:rFonts w:ascii="宋体" w:hAnsi="宋体" w:eastAsia="宋体"/>
                <w:sz w:val="16"/>
              </w:rPr>
              <w:t>=100%</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259930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9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D2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AE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AA4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F62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2F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E0581">
            <w:pPr>
              <w:jc w:val="center"/>
            </w:pPr>
          </w:p>
        </w:tc>
      </w:tr>
      <w:tr w14:paraId="1FA30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F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64A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6128">
            <w:pPr>
              <w:jc w:val="center"/>
            </w:pPr>
            <w:r>
              <w:rPr>
                <w:rFonts w:ascii="宋体" w:hAnsi="宋体" w:eastAsia="宋体"/>
                <w:sz w:val="16"/>
              </w:rPr>
              <w:t>时效指标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27B5">
            <w:pPr>
              <w:jc w:val="center"/>
            </w:pPr>
            <w:r>
              <w:rPr>
                <w:rFonts w:ascii="宋体" w:hAnsi="宋体" w:eastAsia="宋体"/>
                <w:sz w:val="16"/>
              </w:rPr>
              <w:t>项目完成时间</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C4556">
            <w:pPr>
              <w:jc w:val="center"/>
            </w:pPr>
            <w:r>
              <w:rPr>
                <w:rFonts w:ascii="宋体" w:hAnsi="宋体" w:eastAsia="宋体"/>
                <w:sz w:val="16"/>
              </w:rPr>
              <w:t>=2024年12月25日前</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73DE9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F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3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E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76B2">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66438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3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109A">
            <w:pPr>
              <w:jc w:val="center"/>
            </w:pPr>
          </w:p>
        </w:tc>
      </w:tr>
      <w:tr w14:paraId="1DA59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F72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97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B6ED3"/>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1E27E">
            <w:pPr>
              <w:jc w:val="center"/>
            </w:pPr>
            <w:r>
              <w:rPr>
                <w:rFonts w:ascii="宋体" w:hAnsi="宋体" w:eastAsia="宋体"/>
                <w:sz w:val="16"/>
              </w:rPr>
              <w:t>资金支付及时率</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DBB0">
            <w:pPr>
              <w:jc w:val="center"/>
            </w:pPr>
            <w:r>
              <w:rPr>
                <w:rFonts w:ascii="宋体" w:hAnsi="宋体" w:eastAsia="宋体"/>
                <w:sz w:val="16"/>
              </w:rPr>
              <w:t>=100%</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766053C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E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C4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06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360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84F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A7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DCA2">
            <w:pPr>
              <w:jc w:val="center"/>
            </w:pPr>
            <w:r>
              <w:rPr>
                <w:rFonts w:ascii="宋体" w:hAnsi="宋体" w:eastAsia="宋体"/>
                <w:sz w:val="16"/>
              </w:rPr>
              <w:t>因人员变动，措施：2025年按照项目进度及时支付</w:t>
            </w:r>
          </w:p>
        </w:tc>
      </w:tr>
      <w:tr w14:paraId="2FAAA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68C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E67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665D2">
            <w:pPr>
              <w:jc w:val="center"/>
            </w:pPr>
            <w:r>
              <w:rPr>
                <w:rFonts w:ascii="宋体" w:hAnsi="宋体" w:eastAsia="宋体"/>
                <w:sz w:val="16"/>
              </w:rPr>
              <w:t>经济成本指标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75FD">
            <w:pPr>
              <w:jc w:val="center"/>
            </w:pPr>
            <w:r>
              <w:rPr>
                <w:rFonts w:ascii="宋体" w:hAnsi="宋体" w:eastAsia="宋体"/>
                <w:sz w:val="16"/>
              </w:rPr>
              <w:t>差旅费</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B13E">
            <w:pPr>
              <w:jc w:val="center"/>
            </w:pPr>
            <w:r>
              <w:rPr>
                <w:rFonts w:ascii="宋体" w:hAnsi="宋体" w:eastAsia="宋体"/>
                <w:sz w:val="16"/>
              </w:rPr>
              <w:t>&lt;=4万元</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487FD0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2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20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B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120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207132">
            <w:pPr>
              <w:jc w:val="center"/>
            </w:pPr>
            <w:r>
              <w:rPr>
                <w:rFonts w:ascii="宋体" w:hAnsi="宋体" w:eastAsia="宋体"/>
                <w:sz w:val="16"/>
              </w:rPr>
              <w:t>=3.4583万元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7CEE">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A62F5">
            <w:pPr>
              <w:jc w:val="center"/>
            </w:pPr>
            <w:r>
              <w:rPr>
                <w:rFonts w:ascii="宋体" w:hAnsi="宋体" w:eastAsia="宋体"/>
                <w:sz w:val="16"/>
              </w:rPr>
              <w:t>因单位人事变动，单位主要负责人调整，且业务工作人员在党校培训，出差频率降低</w:t>
            </w:r>
          </w:p>
        </w:tc>
      </w:tr>
      <w:tr w14:paraId="5424B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F1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2C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F555"/>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2A70">
            <w:pPr>
              <w:jc w:val="center"/>
            </w:pPr>
            <w:r>
              <w:rPr>
                <w:rFonts w:ascii="宋体" w:hAnsi="宋体" w:eastAsia="宋体"/>
                <w:sz w:val="16"/>
              </w:rPr>
              <w:t>其他交通费</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CFCC3">
            <w:pPr>
              <w:jc w:val="center"/>
            </w:pPr>
            <w:r>
              <w:rPr>
                <w:rFonts w:ascii="宋体" w:hAnsi="宋体" w:eastAsia="宋体"/>
                <w:sz w:val="16"/>
              </w:rPr>
              <w:t>&lt;=1万元</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5F0AD2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9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AD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6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F528">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958BC0">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74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8F3A">
            <w:pPr>
              <w:jc w:val="center"/>
            </w:pPr>
          </w:p>
        </w:tc>
      </w:tr>
      <w:tr w14:paraId="41737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35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87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A0789"/>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3DD9">
            <w:pPr>
              <w:jc w:val="center"/>
            </w:pPr>
            <w:r>
              <w:rPr>
                <w:rFonts w:ascii="宋体" w:hAnsi="宋体" w:eastAsia="宋体"/>
                <w:sz w:val="16"/>
              </w:rPr>
              <w:t>专用材料费</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BDE5">
            <w:pPr>
              <w:jc w:val="center"/>
            </w:pPr>
            <w:r>
              <w:rPr>
                <w:rFonts w:ascii="宋体" w:hAnsi="宋体" w:eastAsia="宋体"/>
                <w:sz w:val="16"/>
              </w:rPr>
              <w:t>&lt;=2万元</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05DCDA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09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89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4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2513">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D7B0C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D59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7527A">
            <w:pPr>
              <w:jc w:val="center"/>
            </w:pPr>
          </w:p>
        </w:tc>
      </w:tr>
      <w:tr w14:paraId="1939F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762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B96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D901">
            <w:pPr>
              <w:jc w:val="center"/>
            </w:pPr>
            <w:r>
              <w:rPr>
                <w:rFonts w:ascii="宋体" w:hAnsi="宋体" w:eastAsia="宋体"/>
                <w:sz w:val="16"/>
              </w:rPr>
              <w:t>经济效益指标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E648">
            <w:pPr>
              <w:jc w:val="center"/>
            </w:pPr>
            <w:r>
              <w:rPr>
                <w:rFonts w:ascii="宋体" w:hAnsi="宋体" w:eastAsia="宋体"/>
                <w:sz w:val="16"/>
              </w:rPr>
              <w:t>粮食作物单产提高</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15809">
            <w:pPr>
              <w:jc w:val="center"/>
            </w:pPr>
            <w:r>
              <w:rPr>
                <w:rFonts w:ascii="宋体" w:hAnsi="宋体" w:eastAsia="宋体"/>
                <w:sz w:val="16"/>
              </w:rPr>
              <w:t>&gt;=3%</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73F464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22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B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B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AA7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5CD1E4">
            <w:pPr>
              <w:jc w:val="center"/>
            </w:pPr>
            <w:r>
              <w:rPr>
                <w:rFonts w:ascii="宋体" w:hAnsi="宋体" w:eastAsia="宋体"/>
                <w:sz w:val="16"/>
              </w:rPr>
              <w:t>=2.4%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64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1D572">
            <w:pPr>
              <w:jc w:val="center"/>
            </w:pPr>
            <w:r>
              <w:rPr>
                <w:rFonts w:ascii="宋体" w:hAnsi="宋体" w:eastAsia="宋体"/>
                <w:sz w:val="16"/>
              </w:rPr>
              <w:t>因天气原因影响粮食单产比去年略有下降，措施：2025年预算指标做到精准设置</w:t>
            </w:r>
          </w:p>
        </w:tc>
      </w:tr>
      <w:tr w14:paraId="7A6F2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89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9C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5FD7">
            <w:pPr>
              <w:jc w:val="center"/>
            </w:pPr>
            <w:r>
              <w:rPr>
                <w:rFonts w:ascii="宋体" w:hAnsi="宋体" w:eastAsia="宋体"/>
                <w:sz w:val="16"/>
              </w:rPr>
              <w:t>社会效益指标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FBED9">
            <w:pPr>
              <w:jc w:val="center"/>
            </w:pPr>
            <w:r>
              <w:rPr>
                <w:rFonts w:ascii="宋体" w:hAnsi="宋体" w:eastAsia="宋体"/>
                <w:sz w:val="16"/>
              </w:rPr>
              <w:t>确保种子市场安全</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6586B">
            <w:pPr>
              <w:jc w:val="center"/>
            </w:pPr>
            <w:r>
              <w:rPr>
                <w:rFonts w:ascii="宋体" w:hAnsi="宋体" w:eastAsia="宋体"/>
                <w:sz w:val="16"/>
              </w:rPr>
              <w:t>=100%</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60F476C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5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BF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34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CD6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8A1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6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0DE8">
            <w:pPr>
              <w:jc w:val="center"/>
            </w:pPr>
          </w:p>
        </w:tc>
      </w:tr>
      <w:tr w14:paraId="684A0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EE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F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9C39">
            <w:pPr>
              <w:jc w:val="center"/>
            </w:pPr>
            <w:r>
              <w:rPr>
                <w:rFonts w:ascii="宋体" w:hAnsi="宋体" w:eastAsia="宋体"/>
                <w:sz w:val="16"/>
              </w:rPr>
              <w:t>满意度指标</w:t>
            </w:r>
          </w:p>
        </w:tc>
        <w:tc>
          <w:tcPr>
            <w:tcW w:w="7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208C">
            <w:pPr>
              <w:jc w:val="center"/>
            </w:pPr>
            <w:r>
              <w:rPr>
                <w:rFonts w:ascii="宋体" w:hAnsi="宋体" w:eastAsia="宋体"/>
                <w:sz w:val="16"/>
              </w:rPr>
              <w:t>种植户满意度</w:t>
            </w:r>
          </w:p>
        </w:tc>
        <w:tc>
          <w:tcPr>
            <w:tcW w:w="6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28CC">
            <w:pPr>
              <w:jc w:val="center"/>
            </w:pPr>
            <w:r>
              <w:rPr>
                <w:rFonts w:ascii="宋体" w:hAnsi="宋体" w:eastAsia="宋体"/>
                <w:sz w:val="16"/>
              </w:rPr>
              <w:t>=100%</w:t>
            </w:r>
          </w:p>
        </w:tc>
        <w:tc>
          <w:tcPr>
            <w:tcW w:w="438" w:type="dxa"/>
            <w:tcBorders>
              <w:top w:val="single" w:color="auto" w:sz="10" w:space="0"/>
              <w:left w:val="single" w:color="auto" w:sz="10" w:space="0"/>
              <w:bottom w:val="single" w:color="auto" w:sz="10" w:space="0"/>
              <w:right w:val="single" w:color="auto" w:sz="10" w:space="0"/>
              <w:insideV w:val="single" w:sz="10" w:space="0"/>
            </w:tcBorders>
            <w:vAlign w:val="center"/>
          </w:tcPr>
          <w:p w14:paraId="1A35B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4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5D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82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16C5">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2A2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10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20BE7">
            <w:pPr>
              <w:jc w:val="center"/>
            </w:pPr>
          </w:p>
        </w:tc>
      </w:tr>
      <w:tr w14:paraId="344F671A">
        <w:tblPrEx>
          <w:tblCellMar>
            <w:top w:w="0" w:type="dxa"/>
            <w:left w:w="108" w:type="dxa"/>
            <w:bottom w:w="0" w:type="dxa"/>
            <w:right w:w="108" w:type="dxa"/>
          </w:tblCellMar>
        </w:tblPrEx>
        <w:tc>
          <w:tcPr>
            <w:tcW w:w="442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F28DB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5110">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6E9BDD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5E8E">
            <w:pPr>
              <w:jc w:val="center"/>
            </w:pPr>
            <w:r>
              <w:rPr>
                <w:rFonts w:ascii="宋体" w:hAnsi="宋体" w:eastAsia="宋体"/>
                <w:sz w:val="16"/>
              </w:rPr>
              <w:t>80.36分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D926EB"/>
        </w:tc>
      </w:tr>
    </w:tbl>
    <w:p w14:paraId="558588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DC179D1">
        <w:tc>
          <w:tcPr>
            <w:tcW w:w="8848" w:type="dxa"/>
            <w:gridSpan w:val="14"/>
            <w:vAlign w:val="center"/>
          </w:tcPr>
          <w:p w14:paraId="71891624">
            <w:pPr>
              <w:jc w:val="center"/>
            </w:pPr>
            <w:r>
              <w:rPr>
                <w:rFonts w:ascii="宋体" w:hAnsi="宋体" w:eastAsia="宋体"/>
                <w:sz w:val="24"/>
              </w:rPr>
              <w:t>项目支出绩效自评表</w:t>
            </w:r>
          </w:p>
        </w:tc>
      </w:tr>
      <w:tr w14:paraId="163BDCB1">
        <w:tblPrEx>
          <w:tblCellMar>
            <w:top w:w="0" w:type="dxa"/>
            <w:left w:w="108" w:type="dxa"/>
            <w:bottom w:w="0" w:type="dxa"/>
            <w:right w:w="108" w:type="dxa"/>
          </w:tblCellMar>
        </w:tblPrEx>
        <w:tc>
          <w:tcPr>
            <w:tcW w:w="8848" w:type="dxa"/>
            <w:gridSpan w:val="14"/>
            <w:vAlign w:val="center"/>
          </w:tcPr>
          <w:p w14:paraId="6690E494">
            <w:pPr>
              <w:jc w:val="center"/>
            </w:pPr>
            <w:r>
              <w:rPr>
                <w:rFonts w:ascii="宋体" w:hAnsi="宋体" w:eastAsia="宋体"/>
                <w:sz w:val="24"/>
              </w:rPr>
              <w:t>(2024年度)</w:t>
            </w:r>
          </w:p>
        </w:tc>
      </w:tr>
      <w:tr w14:paraId="4A64BF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12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E7E352">
            <w:pPr>
              <w:jc w:val="center"/>
            </w:pPr>
            <w:r>
              <w:rPr>
                <w:rFonts w:ascii="宋体" w:hAnsi="宋体" w:eastAsia="宋体"/>
                <w:sz w:val="16"/>
              </w:rPr>
              <w:t>天池英才引进计划项目</w:t>
            </w:r>
          </w:p>
        </w:tc>
      </w:tr>
      <w:tr w14:paraId="4F563F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98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A2304">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90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952041">
            <w:pPr>
              <w:jc w:val="center"/>
            </w:pPr>
            <w:r>
              <w:rPr>
                <w:rFonts w:ascii="宋体" w:hAnsi="宋体" w:eastAsia="宋体"/>
                <w:sz w:val="16"/>
              </w:rPr>
              <w:t>喀什地区种业发展中心</w:t>
            </w:r>
          </w:p>
        </w:tc>
      </w:tr>
      <w:tr w14:paraId="1811F3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2AA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67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A82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AD4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BC8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A4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FD8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F64F">
            <w:pPr>
              <w:jc w:val="center"/>
            </w:pPr>
            <w:r>
              <w:rPr>
                <w:rFonts w:ascii="宋体" w:hAnsi="宋体" w:eastAsia="宋体"/>
                <w:sz w:val="16"/>
              </w:rPr>
              <w:t>得分</w:t>
            </w:r>
          </w:p>
        </w:tc>
      </w:tr>
      <w:tr w14:paraId="6A473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01D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190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59FE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6344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D7B5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047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B4A6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8CBE">
            <w:pPr>
              <w:jc w:val="center"/>
            </w:pPr>
            <w:r>
              <w:rPr>
                <w:rFonts w:ascii="宋体" w:hAnsi="宋体" w:eastAsia="宋体"/>
                <w:sz w:val="16"/>
              </w:rPr>
              <w:t>10.00分</w:t>
            </w:r>
          </w:p>
        </w:tc>
      </w:tr>
      <w:tr w14:paraId="15904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04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29D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B566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1322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07F6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4C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6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14F">
            <w:pPr>
              <w:jc w:val="center"/>
            </w:pPr>
            <w:r>
              <w:rPr>
                <w:rFonts w:ascii="宋体" w:hAnsi="宋体" w:eastAsia="宋体"/>
                <w:sz w:val="16"/>
              </w:rPr>
              <w:t>—</w:t>
            </w:r>
          </w:p>
        </w:tc>
      </w:tr>
      <w:tr w14:paraId="17F45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8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6F5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E4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3D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D7B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71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897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5B57">
            <w:pPr>
              <w:jc w:val="center"/>
            </w:pPr>
            <w:r>
              <w:rPr>
                <w:rFonts w:ascii="宋体" w:hAnsi="宋体" w:eastAsia="宋体"/>
                <w:sz w:val="16"/>
              </w:rPr>
              <w:t>—</w:t>
            </w:r>
          </w:p>
        </w:tc>
      </w:tr>
      <w:tr w14:paraId="087560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CCC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2B5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742057">
            <w:pPr>
              <w:jc w:val="center"/>
            </w:pPr>
            <w:r>
              <w:rPr>
                <w:rFonts w:ascii="宋体" w:hAnsi="宋体" w:eastAsia="宋体"/>
                <w:sz w:val="16"/>
              </w:rPr>
              <w:t>实际完成情况</w:t>
            </w:r>
          </w:p>
        </w:tc>
      </w:tr>
      <w:tr w14:paraId="619B3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B9A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911C8">
            <w:pPr>
              <w:jc w:val="both"/>
            </w:pPr>
            <w:r>
              <w:rPr>
                <w:rFonts w:ascii="宋体" w:hAnsi="宋体" w:eastAsia="宋体"/>
                <w:sz w:val="16"/>
              </w:rPr>
              <w:t>项目预算金额20万元，用于引进一名特聘专家，在棉花生产季节关键生育阶段在疆服务，服务时间不少于120天，了解喀什地区盐碱地分布状况及盐碱地盐碱程度和盐碱地作物种植表现；收集、整理和纯化已有耐盐碱材料；开展小规模的耐盐碱试验；推进当地棉花生产稳步提升，筛选出适宜喀什地区种植的棉花新品种新技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DC814">
            <w:pPr>
              <w:jc w:val="both"/>
            </w:pPr>
            <w:r>
              <w:rPr>
                <w:rFonts w:ascii="宋体" w:hAnsi="宋体" w:eastAsia="宋体"/>
                <w:sz w:val="16"/>
              </w:rPr>
              <w:t>引进一名特聘专家，服务天数超过120天。完成喀什地区主产棉县盐碱地分布状况、土壤盐碱程度以及棉花种植表现报告1份，分析盐碱化程度，实现盐碱化地块的利用程度，筛选出耐盐碱新品种1种，提高土地利用率，实现农民增收，项目执行金额20万元。</w:t>
            </w:r>
            <w:r>
              <w:rPr>
                <w:rFonts w:ascii="宋体" w:hAnsi="宋体" w:eastAsia="宋体"/>
                <w:sz w:val="16"/>
              </w:rPr>
              <w:br w:type="textWrapping"/>
            </w:r>
          </w:p>
        </w:tc>
      </w:tr>
      <w:tr w14:paraId="5FDB82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CDE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97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FE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71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6A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8D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50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3C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DF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64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2B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70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3A13">
            <w:pPr>
              <w:jc w:val="center"/>
            </w:pPr>
            <w:r>
              <w:rPr>
                <w:rFonts w:ascii="宋体" w:hAnsi="宋体" w:eastAsia="宋体"/>
                <w:sz w:val="16"/>
              </w:rPr>
              <w:t>偏差原因分析及改进措施</w:t>
            </w:r>
          </w:p>
        </w:tc>
      </w:tr>
      <w:tr w14:paraId="23BD8D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F55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154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1D9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FAF1">
            <w:pPr>
              <w:jc w:val="center"/>
            </w:pPr>
            <w:r>
              <w:rPr>
                <w:rFonts w:ascii="宋体" w:hAnsi="宋体" w:eastAsia="宋体"/>
                <w:sz w:val="16"/>
              </w:rPr>
              <w:t>引进特聘专家数量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A1F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9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86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91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B1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B2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8D1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FF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191D">
            <w:pPr>
              <w:jc w:val="center"/>
            </w:pPr>
          </w:p>
        </w:tc>
      </w:tr>
      <w:tr w14:paraId="2D172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21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73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FF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E038">
            <w:pPr>
              <w:jc w:val="center"/>
            </w:pPr>
            <w:r>
              <w:rPr>
                <w:rFonts w:ascii="宋体" w:hAnsi="宋体" w:eastAsia="宋体"/>
                <w:sz w:val="16"/>
              </w:rPr>
              <w:t>特聘专家服务天数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57D3">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1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51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51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C4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8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B704">
            <w:pPr>
              <w:jc w:val="center"/>
            </w:pPr>
            <w:r>
              <w:rPr>
                <w:rFonts w:ascii="宋体" w:hAnsi="宋体" w:eastAsia="宋体"/>
                <w:sz w:val="16"/>
              </w:rPr>
              <w:t>=121天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0F97">
            <w:pPr>
              <w:jc w:val="center"/>
            </w:pPr>
            <w:r>
              <w:rPr>
                <w:rFonts w:ascii="宋体" w:hAnsi="宋体" w:eastAsia="宋体"/>
                <w:sz w:val="16"/>
              </w:rPr>
              <w:t>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DF48A">
            <w:pPr>
              <w:jc w:val="center"/>
            </w:pPr>
          </w:p>
        </w:tc>
      </w:tr>
      <w:tr w14:paraId="0946E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75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12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A2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D72">
            <w:pPr>
              <w:jc w:val="center"/>
            </w:pPr>
            <w:r>
              <w:rPr>
                <w:rFonts w:ascii="宋体" w:hAnsi="宋体" w:eastAsia="宋体"/>
                <w:sz w:val="16"/>
              </w:rPr>
              <w:t>特聘专家服务及时率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B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1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B0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8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B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0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B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6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9335C">
            <w:pPr>
              <w:jc w:val="center"/>
            </w:pPr>
          </w:p>
        </w:tc>
      </w:tr>
      <w:tr w14:paraId="3F43C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F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28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33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3A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8A7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5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24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B4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D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FB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0940">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1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98B06">
            <w:pPr>
              <w:jc w:val="center"/>
            </w:pPr>
          </w:p>
        </w:tc>
      </w:tr>
      <w:tr w14:paraId="7AEDB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3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25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B4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C35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D53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5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4E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0F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8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C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67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94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1991">
            <w:pPr>
              <w:jc w:val="center"/>
            </w:pPr>
          </w:p>
        </w:tc>
      </w:tr>
      <w:tr w14:paraId="474C3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E7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35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BF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9212">
            <w:pPr>
              <w:jc w:val="center"/>
            </w:pPr>
            <w:r>
              <w:rPr>
                <w:rFonts w:ascii="宋体" w:hAnsi="宋体" w:eastAsia="宋体"/>
                <w:sz w:val="16"/>
              </w:rPr>
              <w:t>增加优质耐盐碱品种推广面积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1135">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4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2B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4F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00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27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EB39">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23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CCEF4">
            <w:pPr>
              <w:jc w:val="center"/>
            </w:pPr>
          </w:p>
        </w:tc>
      </w:tr>
      <w:tr w14:paraId="022DE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E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A6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CD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F759">
            <w:pPr>
              <w:jc w:val="center"/>
            </w:pPr>
            <w:r>
              <w:rPr>
                <w:rFonts w:ascii="宋体" w:hAnsi="宋体" w:eastAsia="宋体"/>
                <w:sz w:val="16"/>
              </w:rPr>
              <w:t>对特聘专家服务满意度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D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D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D5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D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03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3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7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B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A29D5">
            <w:pPr>
              <w:jc w:val="center"/>
            </w:pPr>
          </w:p>
        </w:tc>
      </w:tr>
      <w:tr w14:paraId="146080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7A9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A3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665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4AEB">
            <w:pPr>
              <w:jc w:val="center"/>
            </w:pPr>
            <w:r>
              <w:rPr>
                <w:rFonts w:ascii="宋体" w:hAnsi="宋体" w:eastAsia="宋体"/>
                <w:sz w:val="16"/>
              </w:rPr>
              <w:t>99.92分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A58203"/>
        </w:tc>
      </w:tr>
    </w:tbl>
    <w:p w14:paraId="5DDC53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A7095CB">
        <w:tblPrEx>
          <w:tblCellMar>
            <w:top w:w="0" w:type="dxa"/>
            <w:left w:w="108" w:type="dxa"/>
            <w:bottom w:w="0" w:type="dxa"/>
            <w:right w:w="108" w:type="dxa"/>
          </w:tblCellMar>
        </w:tblPrEx>
        <w:tc>
          <w:tcPr>
            <w:tcW w:w="8848" w:type="dxa"/>
            <w:gridSpan w:val="14"/>
            <w:vAlign w:val="center"/>
          </w:tcPr>
          <w:p w14:paraId="38DBB5D8">
            <w:pPr>
              <w:jc w:val="center"/>
            </w:pPr>
            <w:r>
              <w:rPr>
                <w:rFonts w:ascii="宋体" w:hAnsi="宋体" w:eastAsia="宋体"/>
                <w:sz w:val="24"/>
              </w:rPr>
              <w:t>项目支出绩效自评表</w:t>
            </w:r>
          </w:p>
        </w:tc>
      </w:tr>
      <w:tr w14:paraId="15E91CE3">
        <w:tblPrEx>
          <w:tblCellMar>
            <w:top w:w="0" w:type="dxa"/>
            <w:left w:w="108" w:type="dxa"/>
            <w:bottom w:w="0" w:type="dxa"/>
            <w:right w:w="108" w:type="dxa"/>
          </w:tblCellMar>
        </w:tblPrEx>
        <w:tc>
          <w:tcPr>
            <w:tcW w:w="8848" w:type="dxa"/>
            <w:gridSpan w:val="14"/>
            <w:vAlign w:val="center"/>
          </w:tcPr>
          <w:p w14:paraId="68E32952">
            <w:pPr>
              <w:jc w:val="center"/>
            </w:pPr>
            <w:r>
              <w:rPr>
                <w:rFonts w:ascii="宋体" w:hAnsi="宋体" w:eastAsia="宋体"/>
                <w:sz w:val="24"/>
              </w:rPr>
              <w:t>(2024年度)</w:t>
            </w:r>
          </w:p>
        </w:tc>
      </w:tr>
      <w:tr w14:paraId="0961BB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35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E697A5">
            <w:pPr>
              <w:jc w:val="center"/>
            </w:pPr>
            <w:r>
              <w:rPr>
                <w:rFonts w:ascii="宋体" w:hAnsi="宋体" w:eastAsia="宋体"/>
                <w:sz w:val="16"/>
              </w:rPr>
              <w:t>聘请法律顾问项目</w:t>
            </w:r>
          </w:p>
        </w:tc>
      </w:tr>
      <w:tr w14:paraId="1439D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C3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021608">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DA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49DF3B">
            <w:pPr>
              <w:jc w:val="center"/>
            </w:pPr>
            <w:r>
              <w:rPr>
                <w:rFonts w:ascii="宋体" w:hAnsi="宋体" w:eastAsia="宋体"/>
                <w:sz w:val="16"/>
              </w:rPr>
              <w:t>喀什地区种业发展中心</w:t>
            </w:r>
          </w:p>
        </w:tc>
      </w:tr>
      <w:tr w14:paraId="12CA30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D23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522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D2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B2A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F6C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5DD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8B1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5881">
            <w:pPr>
              <w:jc w:val="center"/>
            </w:pPr>
            <w:r>
              <w:rPr>
                <w:rFonts w:ascii="宋体" w:hAnsi="宋体" w:eastAsia="宋体"/>
                <w:sz w:val="16"/>
              </w:rPr>
              <w:t>得分</w:t>
            </w:r>
          </w:p>
        </w:tc>
      </w:tr>
      <w:tr w14:paraId="278CE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68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4E9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B93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4D8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A929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C24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63E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D87C">
            <w:pPr>
              <w:jc w:val="center"/>
            </w:pPr>
            <w:r>
              <w:rPr>
                <w:rFonts w:ascii="宋体" w:hAnsi="宋体" w:eastAsia="宋体"/>
                <w:sz w:val="16"/>
              </w:rPr>
              <w:t>10.00分</w:t>
            </w:r>
          </w:p>
        </w:tc>
      </w:tr>
      <w:tr w14:paraId="3FA41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87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81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6F88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EECC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957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42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66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3EC3">
            <w:pPr>
              <w:jc w:val="center"/>
            </w:pPr>
            <w:r>
              <w:rPr>
                <w:rFonts w:ascii="宋体" w:hAnsi="宋体" w:eastAsia="宋体"/>
                <w:sz w:val="16"/>
              </w:rPr>
              <w:t>—</w:t>
            </w:r>
          </w:p>
        </w:tc>
      </w:tr>
      <w:tr w14:paraId="56B02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DB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9E0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3D4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6C6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C5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74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D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79E7">
            <w:pPr>
              <w:jc w:val="center"/>
            </w:pPr>
            <w:r>
              <w:rPr>
                <w:rFonts w:ascii="宋体" w:hAnsi="宋体" w:eastAsia="宋体"/>
                <w:sz w:val="16"/>
              </w:rPr>
              <w:t>—</w:t>
            </w:r>
          </w:p>
        </w:tc>
      </w:tr>
      <w:tr w14:paraId="2990D4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5F8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B15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61FB1">
            <w:pPr>
              <w:jc w:val="center"/>
            </w:pPr>
            <w:r>
              <w:rPr>
                <w:rFonts w:ascii="宋体" w:hAnsi="宋体" w:eastAsia="宋体"/>
                <w:sz w:val="16"/>
              </w:rPr>
              <w:t>实际完成情况</w:t>
            </w:r>
          </w:p>
        </w:tc>
      </w:tr>
      <w:tr w14:paraId="7FB33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721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A41DA">
            <w:pPr>
              <w:jc w:val="both"/>
            </w:pPr>
            <w:r>
              <w:rPr>
                <w:rFonts w:ascii="宋体" w:hAnsi="宋体" w:eastAsia="宋体"/>
                <w:sz w:val="16"/>
              </w:rPr>
              <w:t>项目预算金额2万元，用于聘请一名法律顾问，参与地区农业农村局相关法律事务，强化法治建设，提升干部职工依法行政能力。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2C738F">
            <w:pPr>
              <w:jc w:val="both"/>
            </w:pPr>
            <w:r>
              <w:rPr>
                <w:rFonts w:ascii="宋体" w:hAnsi="宋体" w:eastAsia="宋体"/>
                <w:sz w:val="16"/>
              </w:rPr>
              <w:t>与新疆元正盛业（喀什）律师事务所签订法律顾问服务合同，法律顾问1人，法律顾问项目已完成100%，有效提升了地区农业农村依法行政能力水平</w:t>
            </w:r>
            <w:r>
              <w:rPr>
                <w:rFonts w:hint="eastAsia" w:ascii="宋体" w:hAnsi="宋体"/>
                <w:sz w:val="16"/>
                <w:lang w:eastAsia="zh-CN"/>
              </w:rPr>
              <w:t>。</w:t>
            </w:r>
          </w:p>
        </w:tc>
      </w:tr>
      <w:tr w14:paraId="7F7AEC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21A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A5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FE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E8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4F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68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7F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08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22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AE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98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BD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FDCEC">
            <w:pPr>
              <w:jc w:val="center"/>
            </w:pPr>
            <w:r>
              <w:rPr>
                <w:rFonts w:ascii="宋体" w:hAnsi="宋体" w:eastAsia="宋体"/>
                <w:sz w:val="16"/>
              </w:rPr>
              <w:t>偏差原因分析及改进措施</w:t>
            </w:r>
          </w:p>
        </w:tc>
      </w:tr>
      <w:tr w14:paraId="3AA9C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61F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449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A7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8858">
            <w:pPr>
              <w:jc w:val="center"/>
            </w:pPr>
            <w:r>
              <w:rPr>
                <w:rFonts w:ascii="宋体" w:hAnsi="宋体" w:eastAsia="宋体"/>
                <w:sz w:val="16"/>
              </w:rPr>
              <w:t>聘请法律顾问数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59F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5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DE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E4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EC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8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206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1B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4A05">
            <w:pPr>
              <w:jc w:val="center"/>
            </w:pPr>
          </w:p>
        </w:tc>
      </w:tr>
      <w:tr w14:paraId="24327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95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6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9D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AEB4">
            <w:pPr>
              <w:jc w:val="center"/>
            </w:pPr>
            <w:r>
              <w:rPr>
                <w:rFonts w:ascii="宋体" w:hAnsi="宋体" w:eastAsia="宋体"/>
                <w:sz w:val="16"/>
              </w:rPr>
              <w:t>法律</w:t>
            </w:r>
            <w:r>
              <w:rPr>
                <w:rFonts w:hint="eastAsia" w:ascii="宋体" w:hAnsi="宋体"/>
                <w:sz w:val="16"/>
                <w:lang w:eastAsia="zh-CN"/>
              </w:rPr>
              <w:t>咨询服务</w:t>
            </w:r>
            <w:r>
              <w:rPr>
                <w:rFonts w:ascii="宋体" w:hAnsi="宋体" w:eastAsia="宋体"/>
                <w:sz w:val="16"/>
              </w:rPr>
              <w:t>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C48B">
            <w:pPr>
              <w:jc w:val="center"/>
            </w:pPr>
            <w:r>
              <w:rPr>
                <w:rFonts w:ascii="宋体" w:hAnsi="宋体" w:eastAsia="宋体"/>
                <w:sz w:val="16"/>
              </w:rPr>
              <w:t>&gt;=60天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4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E4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A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A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1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D712">
            <w:pPr>
              <w:jc w:val="center"/>
            </w:pPr>
            <w:r>
              <w:rPr>
                <w:rFonts w:ascii="宋体" w:hAnsi="宋体" w:eastAsia="宋体"/>
                <w:sz w:val="16"/>
              </w:rPr>
              <w:t>=65天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107C">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FE76B">
            <w:pPr>
              <w:jc w:val="center"/>
            </w:pPr>
            <w:r>
              <w:rPr>
                <w:rFonts w:ascii="宋体" w:hAnsi="宋体" w:eastAsia="宋体"/>
                <w:sz w:val="16"/>
              </w:rPr>
              <w:t>该指标值年初设置较低，实际完成较好。改进措施：以历史数据为依据，加强后期指标值精准性</w:t>
            </w:r>
          </w:p>
        </w:tc>
      </w:tr>
      <w:tr w14:paraId="1DC3E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4C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A34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D1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F350">
            <w:pPr>
              <w:jc w:val="center"/>
            </w:pPr>
            <w:r>
              <w:rPr>
                <w:rFonts w:ascii="宋体" w:hAnsi="宋体" w:eastAsia="宋体"/>
                <w:sz w:val="16"/>
              </w:rPr>
              <w:t>法律咨询及时率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3A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4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3C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8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7F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1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06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2872">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2064">
            <w:pPr>
              <w:jc w:val="center"/>
            </w:pPr>
            <w:r>
              <w:rPr>
                <w:rFonts w:ascii="宋体" w:hAnsi="宋体" w:eastAsia="宋体"/>
                <w:sz w:val="16"/>
              </w:rPr>
              <w:t>同地区农业农村局一同实施此项目，在年初设置目标时不敢门槛太高。实际及时率完成较好。改进措施：精准设置目标</w:t>
            </w:r>
            <w:r>
              <w:rPr>
                <w:rFonts w:hint="eastAsia" w:ascii="宋体" w:hAnsi="宋体"/>
                <w:sz w:val="16"/>
                <w:lang w:eastAsia="zh-CN"/>
              </w:rPr>
              <w:t>。</w:t>
            </w:r>
          </w:p>
        </w:tc>
      </w:tr>
      <w:tr w14:paraId="2ECCA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4C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0A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4F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F3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D6A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A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41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6F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D8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43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133F">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2E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2B149">
            <w:pPr>
              <w:jc w:val="center"/>
            </w:pPr>
          </w:p>
        </w:tc>
      </w:tr>
      <w:tr w14:paraId="0FB14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CC4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51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4A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1F2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E01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AE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43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CA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33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FE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F3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C6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CA6B9">
            <w:pPr>
              <w:jc w:val="center"/>
            </w:pPr>
          </w:p>
        </w:tc>
      </w:tr>
      <w:tr w14:paraId="7B3A5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49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39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FC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C52E">
            <w:pPr>
              <w:jc w:val="center"/>
            </w:pPr>
            <w:r>
              <w:rPr>
                <w:rFonts w:ascii="宋体" w:hAnsi="宋体" w:eastAsia="宋体"/>
                <w:sz w:val="16"/>
              </w:rPr>
              <w:t>促进单位行政业务办件能力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38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2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2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F0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16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AC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63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CA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910F1">
            <w:pPr>
              <w:jc w:val="center"/>
            </w:pPr>
          </w:p>
        </w:tc>
      </w:tr>
      <w:tr w14:paraId="6518D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3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7B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7B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F310">
            <w:pPr>
              <w:jc w:val="center"/>
            </w:pPr>
            <w:r>
              <w:rPr>
                <w:rFonts w:ascii="宋体" w:hAnsi="宋体" w:eastAsia="宋体"/>
                <w:sz w:val="16"/>
              </w:rPr>
              <w:t>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D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9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8D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6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82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9A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2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60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30B1">
            <w:pPr>
              <w:jc w:val="center"/>
            </w:pPr>
          </w:p>
        </w:tc>
      </w:tr>
      <w:tr w14:paraId="142AFC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859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F6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6A7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F3DB">
            <w:pPr>
              <w:jc w:val="center"/>
            </w:pPr>
            <w:r>
              <w:rPr>
                <w:rFonts w:ascii="宋体" w:hAnsi="宋体" w:eastAsia="宋体"/>
                <w:sz w:val="16"/>
              </w:rPr>
              <w:t>98.64分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BE9FBD"/>
        </w:tc>
      </w:tr>
    </w:tbl>
    <w:p w14:paraId="6ADC1112">
      <w:r>
        <w:br w:type="page"/>
      </w:r>
    </w:p>
    <w:p w14:paraId="768ED40F">
      <w:pPr>
        <w:spacing w:line="640" w:lineRule="exact"/>
        <w:ind w:firstLine="640"/>
        <w:jc w:val="both"/>
        <w:outlineLvl w:val="2"/>
      </w:pPr>
      <w:r>
        <w:rPr>
          <w:rFonts w:ascii="黑体" w:hAnsi="黑体" w:eastAsia="黑体"/>
          <w:sz w:val="32"/>
        </w:rPr>
        <w:t>十二、其他需说明的事项</w:t>
      </w:r>
    </w:p>
    <w:p w14:paraId="044BB36A">
      <w:pPr>
        <w:spacing w:line="580" w:lineRule="exact"/>
        <w:ind w:firstLine="640"/>
        <w:jc w:val="both"/>
      </w:pPr>
      <w:r>
        <w:rPr>
          <w:rFonts w:ascii="仿宋_GB2312" w:hAnsi="仿宋_GB2312" w:eastAsia="仿宋_GB2312"/>
          <w:b w:val="0"/>
          <w:sz w:val="32"/>
        </w:rPr>
        <w:t>本部门无其他需说明的事项。</w:t>
      </w:r>
    </w:p>
    <w:p w14:paraId="5C8EE34A">
      <w:r>
        <w:br w:type="page"/>
      </w:r>
    </w:p>
    <w:p w14:paraId="27D83FD1">
      <w:pPr>
        <w:spacing w:line="240" w:lineRule="auto"/>
        <w:jc w:val="center"/>
        <w:outlineLvl w:val="1"/>
      </w:pPr>
      <w:r>
        <w:rPr>
          <w:rFonts w:ascii="黑体" w:hAnsi="黑体" w:eastAsia="黑体"/>
          <w:sz w:val="32"/>
        </w:rPr>
        <w:t>第三部分 专业名词解释</w:t>
      </w:r>
    </w:p>
    <w:p w14:paraId="27ECEF7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6F35D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3BC4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374E8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45D0F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BDC04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E6D42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1AD67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BEF88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FE0E6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AFF25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5718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4C000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EBCE9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53FE10">
      <w:r>
        <w:br w:type="page"/>
      </w:r>
    </w:p>
    <w:p w14:paraId="6389259C">
      <w:pPr>
        <w:spacing w:line="240" w:lineRule="auto"/>
        <w:jc w:val="center"/>
        <w:outlineLvl w:val="1"/>
      </w:pPr>
      <w:r>
        <w:rPr>
          <w:rFonts w:ascii="黑体" w:hAnsi="黑体" w:eastAsia="黑体"/>
          <w:sz w:val="32"/>
        </w:rPr>
        <w:t>第四部分 部门决算报表（见附表）</w:t>
      </w:r>
    </w:p>
    <w:p w14:paraId="7A3C17F1">
      <w:pPr>
        <w:spacing w:line="240" w:lineRule="auto"/>
        <w:ind w:firstLine="640"/>
        <w:jc w:val="both"/>
      </w:pPr>
      <w:r>
        <w:rPr>
          <w:rFonts w:ascii="仿宋_GB2312" w:hAnsi="仿宋_GB2312" w:eastAsia="仿宋_GB2312"/>
          <w:b w:val="0"/>
          <w:sz w:val="32"/>
        </w:rPr>
        <w:t>一、《收入支出决算总表》</w:t>
      </w:r>
    </w:p>
    <w:p w14:paraId="4545E4F0">
      <w:pPr>
        <w:spacing w:line="240" w:lineRule="auto"/>
        <w:ind w:firstLine="640"/>
        <w:jc w:val="both"/>
      </w:pPr>
      <w:r>
        <w:rPr>
          <w:rFonts w:ascii="仿宋_GB2312" w:hAnsi="仿宋_GB2312" w:eastAsia="仿宋_GB2312"/>
          <w:b w:val="0"/>
          <w:sz w:val="32"/>
        </w:rPr>
        <w:t>二、《收入决算表》</w:t>
      </w:r>
    </w:p>
    <w:p w14:paraId="77883258">
      <w:pPr>
        <w:spacing w:line="240" w:lineRule="auto"/>
        <w:ind w:firstLine="640"/>
        <w:jc w:val="both"/>
      </w:pPr>
      <w:r>
        <w:rPr>
          <w:rFonts w:ascii="仿宋_GB2312" w:hAnsi="仿宋_GB2312" w:eastAsia="仿宋_GB2312"/>
          <w:b w:val="0"/>
          <w:sz w:val="32"/>
        </w:rPr>
        <w:t>三、《支出决算表》</w:t>
      </w:r>
    </w:p>
    <w:p w14:paraId="0683E4D0">
      <w:pPr>
        <w:spacing w:line="240" w:lineRule="auto"/>
        <w:ind w:firstLine="640"/>
        <w:jc w:val="both"/>
      </w:pPr>
      <w:r>
        <w:rPr>
          <w:rFonts w:ascii="仿宋_GB2312" w:hAnsi="仿宋_GB2312" w:eastAsia="仿宋_GB2312"/>
          <w:b w:val="0"/>
          <w:sz w:val="32"/>
        </w:rPr>
        <w:t>四、《财政拨款收入支出决算总表》</w:t>
      </w:r>
    </w:p>
    <w:p w14:paraId="322DB931">
      <w:pPr>
        <w:spacing w:line="240" w:lineRule="auto"/>
        <w:ind w:firstLine="640"/>
        <w:jc w:val="both"/>
      </w:pPr>
      <w:r>
        <w:rPr>
          <w:rFonts w:ascii="仿宋_GB2312" w:hAnsi="仿宋_GB2312" w:eastAsia="仿宋_GB2312"/>
          <w:b w:val="0"/>
          <w:sz w:val="32"/>
        </w:rPr>
        <w:t>五、《一般公共预算财政拨款支出决算表》</w:t>
      </w:r>
    </w:p>
    <w:p w14:paraId="1C9FB09D">
      <w:pPr>
        <w:spacing w:line="240" w:lineRule="auto"/>
        <w:ind w:firstLine="640"/>
        <w:jc w:val="both"/>
      </w:pPr>
      <w:r>
        <w:rPr>
          <w:rFonts w:ascii="仿宋_GB2312" w:hAnsi="仿宋_GB2312" w:eastAsia="仿宋_GB2312"/>
          <w:b w:val="0"/>
          <w:sz w:val="32"/>
        </w:rPr>
        <w:t>六、《一般公共预算财政拨款基本支出决算表》</w:t>
      </w:r>
    </w:p>
    <w:p w14:paraId="6C933CE1">
      <w:pPr>
        <w:spacing w:line="240" w:lineRule="auto"/>
        <w:ind w:firstLine="640"/>
        <w:jc w:val="both"/>
      </w:pPr>
      <w:r>
        <w:rPr>
          <w:rFonts w:ascii="仿宋_GB2312" w:hAnsi="仿宋_GB2312" w:eastAsia="仿宋_GB2312"/>
          <w:b w:val="0"/>
          <w:sz w:val="32"/>
        </w:rPr>
        <w:t>七、《政府性基金预算财政拨款收入支出决算表》</w:t>
      </w:r>
    </w:p>
    <w:p w14:paraId="2024D998">
      <w:pPr>
        <w:spacing w:line="240" w:lineRule="auto"/>
        <w:ind w:firstLine="640"/>
        <w:jc w:val="both"/>
      </w:pPr>
      <w:r>
        <w:rPr>
          <w:rFonts w:ascii="仿宋_GB2312" w:hAnsi="仿宋_GB2312" w:eastAsia="仿宋_GB2312"/>
          <w:b w:val="0"/>
          <w:sz w:val="32"/>
        </w:rPr>
        <w:t>八、《国有资本经营预算财政拨款收入支出决算表》</w:t>
      </w:r>
    </w:p>
    <w:p w14:paraId="1ABF5C3B">
      <w:pPr>
        <w:spacing w:line="240" w:lineRule="auto"/>
        <w:ind w:firstLine="640"/>
        <w:jc w:val="both"/>
      </w:pPr>
      <w:r>
        <w:rPr>
          <w:rFonts w:ascii="仿宋_GB2312" w:hAnsi="仿宋_GB2312" w:eastAsia="仿宋_GB2312"/>
          <w:b w:val="0"/>
          <w:sz w:val="32"/>
        </w:rPr>
        <w:t>九、《财政拨款“三公”经费支出决算表》</w:t>
      </w:r>
    </w:p>
    <w:p w14:paraId="172EAF0F">
      <w:pPr>
        <w:spacing w:line="240" w:lineRule="auto"/>
        <w:ind w:firstLine="640"/>
        <w:jc w:val="both"/>
      </w:pPr>
    </w:p>
    <w:p w14:paraId="17B1FA07">
      <w:pPr>
        <w:spacing w:line="240" w:lineRule="auto"/>
        <w:ind w:firstLine="640"/>
        <w:jc w:val="both"/>
      </w:pPr>
    </w:p>
    <w:p w14:paraId="356CBF64">
      <w:pPr>
        <w:spacing w:line="240" w:lineRule="auto"/>
        <w:ind w:firstLine="640"/>
        <w:jc w:val="both"/>
      </w:pPr>
    </w:p>
    <w:p w14:paraId="70BF245A">
      <w:pPr>
        <w:spacing w:line="240" w:lineRule="auto"/>
        <w:ind w:firstLine="640"/>
        <w:jc w:val="both"/>
      </w:pPr>
    </w:p>
    <w:p w14:paraId="128BC52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4FD275-0499-401C-9C14-D971EEA250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549151D-5823-4DD9-97D6-A64E2757DAC4}"/>
  </w:font>
  <w:font w:name="仿宋_GB2312">
    <w:altName w:val="仿宋"/>
    <w:panose1 w:val="02010609030101010101"/>
    <w:charset w:val="86"/>
    <w:family w:val="modern"/>
    <w:pitch w:val="default"/>
    <w:sig w:usb0="00000000" w:usb1="00000000" w:usb2="00000000" w:usb3="00000000" w:csb0="00040000" w:csb1="00000000"/>
    <w:embedRegular r:id="rId3" w:fontKey="{120C68EF-E3C0-4B6D-9A98-0E2E9950D074}"/>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90B762D1-3867-42E3-B8ED-DFF74DDB1BE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E97C8F"/>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767F37"/>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5167</Words>
  <Characters>5900</Characters>
  <Lines>0</Lines>
  <Paragraphs>0</Paragraphs>
  <TotalTime>4</TotalTime>
  <ScaleCrop>false</ScaleCrop>
  <LinksUpToDate>false</LinksUpToDate>
  <CharactersWithSpaces>5908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2025-09-03T12:00:39Z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