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喀什地区莫莫克水利枢纽工程建设管理局2024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1BA0EC1">
      <w:r>
        <w:br w:type="page"/>
      </w:r>
    </w:p>
    <w:p w14:paraId="27747F79">
      <w:pPr>
        <w:spacing w:line="640" w:lineRule="exact"/>
        <w:jc w:val="center"/>
        <w:outlineLvl w:val="1"/>
      </w:pPr>
      <w:r>
        <w:rPr>
          <w:rFonts w:ascii="黑体" w:hAnsi="黑体" w:eastAsia="黑体"/>
          <w:sz w:val="32"/>
        </w:rPr>
        <w:t>第一部分 部门概况</w:t>
      </w:r>
    </w:p>
    <w:p w14:paraId="2264ED5E">
      <w:pPr>
        <w:spacing w:line="640" w:lineRule="exact"/>
        <w:ind w:firstLine="640"/>
        <w:jc w:val="both"/>
        <w:outlineLvl w:val="2"/>
      </w:pPr>
      <w:r>
        <w:rPr>
          <w:rFonts w:ascii="黑体" w:hAnsi="黑体" w:eastAsia="黑体"/>
          <w:sz w:val="32"/>
        </w:rPr>
        <w:t>一、主要职能</w:t>
      </w:r>
    </w:p>
    <w:p w14:paraId="54A9AB9D">
      <w:pPr>
        <w:spacing w:line="580" w:lineRule="exact"/>
        <w:ind w:firstLine="640"/>
        <w:jc w:val="both"/>
      </w:pPr>
      <w:r>
        <w:rPr>
          <w:rFonts w:ascii="仿宋_GB2312" w:hAnsi="仿宋_GB2312" w:eastAsia="仿宋_GB2312"/>
          <w:sz w:val="32"/>
        </w:rPr>
        <w:t>贯彻执行国家和自治区有关水利工程建设管理的法律、</w:t>
      </w:r>
      <w:r>
        <w:rPr>
          <w:rFonts w:hint="eastAsia" w:ascii="仿宋_GB2312" w:hAnsi="仿宋_GB2312" w:eastAsia="仿宋_GB2312"/>
          <w:sz w:val="32"/>
          <w:lang w:eastAsia="zh-CN"/>
        </w:rPr>
        <w:t>法规</w:t>
      </w:r>
      <w:r>
        <w:rPr>
          <w:rFonts w:ascii="仿宋_GB2312" w:hAnsi="仿宋_GB2312" w:eastAsia="仿宋_GB2312"/>
          <w:sz w:val="32"/>
        </w:rPr>
        <w:t>，落实项目法人制、招标投标制、工程</w:t>
      </w:r>
      <w:r>
        <w:rPr>
          <w:rFonts w:hint="eastAsia" w:ascii="仿宋_GB2312" w:hAnsi="仿宋_GB2312" w:eastAsia="仿宋_GB2312"/>
          <w:sz w:val="32"/>
          <w:lang w:eastAsia="zh-CN"/>
        </w:rPr>
        <w:t>监理制</w:t>
      </w:r>
      <w:r>
        <w:rPr>
          <w:rFonts w:ascii="仿宋_GB2312" w:hAnsi="仿宋_GB2312" w:eastAsia="仿宋_GB2312"/>
          <w:sz w:val="32"/>
        </w:rPr>
        <w:t>、合同管理制等管理制度，负责莫莫克水利枢纽工程建设的前期工作</w:t>
      </w:r>
      <w:r>
        <w:rPr>
          <w:rFonts w:hint="eastAsia" w:ascii="仿宋_GB2312" w:hAnsi="仿宋_GB2312" w:eastAsia="仿宋_GB2312"/>
          <w:sz w:val="32"/>
          <w:lang w:eastAsia="zh-CN"/>
        </w:rPr>
        <w:t>、</w:t>
      </w:r>
      <w:r>
        <w:rPr>
          <w:rFonts w:ascii="仿宋_GB2312" w:hAnsi="仿宋_GB2312" w:eastAsia="仿宋_GB2312"/>
          <w:sz w:val="32"/>
        </w:rPr>
        <w:t>工程验收、工程维护和水库运行管理工作；负责莫莫克水利枢纽工程国有资产管理、安全运行调度、生态供水、灌溉管理、防洪抗旱和发电工作，以及水库生产经营和水电费的收取工作；组织实施水利工程建设、管理和运营维护中新技术</w:t>
      </w:r>
      <w:r>
        <w:rPr>
          <w:rFonts w:hint="eastAsia" w:ascii="仿宋_GB2312" w:hAnsi="仿宋_GB2312" w:eastAsia="仿宋_GB2312"/>
          <w:sz w:val="32"/>
          <w:lang w:eastAsia="zh-CN"/>
        </w:rPr>
        <w:t>、新</w:t>
      </w:r>
      <w:r>
        <w:rPr>
          <w:rFonts w:ascii="仿宋_GB2312" w:hAnsi="仿宋_GB2312" w:eastAsia="仿宋_GB2312"/>
          <w:sz w:val="32"/>
        </w:rPr>
        <w:t>材料</w:t>
      </w:r>
      <w:r>
        <w:rPr>
          <w:rFonts w:hint="eastAsia" w:ascii="仿宋_GB2312" w:hAnsi="仿宋_GB2312" w:eastAsia="仿宋_GB2312"/>
          <w:sz w:val="32"/>
          <w:lang w:eastAsia="zh-CN"/>
        </w:rPr>
        <w:t>、</w:t>
      </w:r>
      <w:r>
        <w:rPr>
          <w:rFonts w:ascii="仿宋_GB2312" w:hAnsi="仿宋_GB2312" w:eastAsia="仿宋_GB2312"/>
          <w:sz w:val="32"/>
        </w:rPr>
        <w:t>新机制</w:t>
      </w:r>
      <w:r>
        <w:rPr>
          <w:rFonts w:hint="eastAsia" w:ascii="仿宋_GB2312" w:hAnsi="仿宋_GB2312" w:eastAsia="仿宋_GB2312"/>
          <w:sz w:val="32"/>
          <w:lang w:eastAsia="zh-CN"/>
        </w:rPr>
        <w:t>、新</w:t>
      </w:r>
      <w:r>
        <w:rPr>
          <w:rFonts w:ascii="仿宋_GB2312" w:hAnsi="仿宋_GB2312" w:eastAsia="仿宋_GB2312"/>
          <w:sz w:val="32"/>
        </w:rPr>
        <w:t>办法的总结推广和应用；承担工程建设和运行管理的资料档案整理工作。</w:t>
      </w:r>
    </w:p>
    <w:p w14:paraId="1A4C23CE">
      <w:pPr>
        <w:spacing w:line="640" w:lineRule="exact"/>
        <w:ind w:firstLine="640"/>
        <w:jc w:val="both"/>
        <w:outlineLvl w:val="2"/>
      </w:pPr>
      <w:r>
        <w:rPr>
          <w:rFonts w:ascii="黑体" w:hAnsi="黑体" w:eastAsia="黑体"/>
          <w:sz w:val="32"/>
        </w:rPr>
        <w:t>二、机构设置及人员情况</w:t>
      </w:r>
    </w:p>
    <w:p w14:paraId="39F1E3D6">
      <w:pPr>
        <w:spacing w:line="580" w:lineRule="exact"/>
        <w:ind w:firstLine="640"/>
        <w:jc w:val="both"/>
      </w:pPr>
      <w:r>
        <w:rPr>
          <w:rFonts w:ascii="仿宋_GB2312" w:hAnsi="仿宋_GB2312" w:eastAsia="仿宋_GB2312"/>
          <w:sz w:val="32"/>
        </w:rPr>
        <w:t>喀什地区莫莫克水利枢纽工程建设管理局2024年度，实有人数29人，其中：在职人员29人，减少1人；离休人员0人，增加0人；退休人员0人,增加0人。</w:t>
      </w:r>
    </w:p>
    <w:p w14:paraId="089AF0A5">
      <w:pPr>
        <w:spacing w:line="580" w:lineRule="exact"/>
        <w:ind w:firstLine="640"/>
        <w:jc w:val="both"/>
      </w:pPr>
      <w:r>
        <w:rPr>
          <w:rFonts w:ascii="仿宋_GB2312" w:hAnsi="仿宋_GB2312" w:eastAsia="仿宋_GB2312"/>
          <w:sz w:val="32"/>
        </w:rPr>
        <w:t>喀什地区莫莫克水利枢纽工程建设管理局无下属预算单位，下设5个科室，分别是：综合办公室、计划财务科、建设管理科、安全生产科、信息中心。</w:t>
      </w:r>
    </w:p>
    <w:p w14:paraId="68B5178D">
      <w:r>
        <w:br w:type="page"/>
      </w:r>
    </w:p>
    <w:p w14:paraId="1AAB5B85">
      <w:pPr>
        <w:spacing w:line="240" w:lineRule="auto"/>
        <w:jc w:val="center"/>
        <w:outlineLvl w:val="1"/>
      </w:pPr>
      <w:r>
        <w:rPr>
          <w:rFonts w:ascii="黑体" w:hAnsi="黑体" w:eastAsia="黑体"/>
          <w:sz w:val="32"/>
        </w:rPr>
        <w:t>第二部分 部门决算情况说明</w:t>
      </w:r>
    </w:p>
    <w:p w14:paraId="345EDCA2">
      <w:pPr>
        <w:spacing w:line="640" w:lineRule="exact"/>
        <w:ind w:firstLine="640"/>
        <w:jc w:val="both"/>
        <w:outlineLvl w:val="2"/>
      </w:pPr>
      <w:r>
        <w:rPr>
          <w:rFonts w:ascii="黑体" w:hAnsi="黑体" w:eastAsia="黑体"/>
          <w:sz w:val="32"/>
        </w:rPr>
        <w:t>一、收入支出决算总体情况说明</w:t>
      </w:r>
    </w:p>
    <w:p w14:paraId="182B7129">
      <w:pPr>
        <w:spacing w:line="580" w:lineRule="exact"/>
        <w:ind w:firstLine="640"/>
        <w:jc w:val="both"/>
      </w:pPr>
      <w:r>
        <w:rPr>
          <w:rFonts w:ascii="仿宋_GB2312" w:hAnsi="仿宋_GB2312" w:eastAsia="仿宋_GB2312"/>
          <w:b/>
          <w:sz w:val="32"/>
        </w:rPr>
        <w:t>2024年度收入总计5,049.63万元，</w:t>
      </w:r>
      <w:r>
        <w:rPr>
          <w:rFonts w:ascii="仿宋_GB2312" w:hAnsi="仿宋_GB2312" w:eastAsia="仿宋_GB2312"/>
          <w:b w:val="0"/>
          <w:sz w:val="32"/>
        </w:rPr>
        <w:t>其中：本年收入合计5,049.63万元，使用非财政拨款结余（含专用结余）0.00万元，年初结转和结余0.00万元。</w:t>
      </w:r>
    </w:p>
    <w:p w14:paraId="41767E4A">
      <w:pPr>
        <w:spacing w:line="580" w:lineRule="exact"/>
        <w:ind w:firstLine="640"/>
        <w:jc w:val="both"/>
      </w:pPr>
      <w:r>
        <w:rPr>
          <w:rFonts w:ascii="仿宋_GB2312" w:hAnsi="仿宋_GB2312" w:eastAsia="仿宋_GB2312"/>
          <w:b/>
          <w:sz w:val="32"/>
        </w:rPr>
        <w:t>2024年度支出总计5,049.63万元，</w:t>
      </w:r>
      <w:r>
        <w:rPr>
          <w:rFonts w:ascii="仿宋_GB2312" w:hAnsi="仿宋_GB2312" w:eastAsia="仿宋_GB2312"/>
          <w:b w:val="0"/>
          <w:sz w:val="32"/>
        </w:rPr>
        <w:t>其中：本年支出合计5,049.63万元，结余分配0.00万元，年末结转和结余0.00万元。</w:t>
      </w:r>
    </w:p>
    <w:p w14:paraId="7DE4648E">
      <w:pPr>
        <w:spacing w:line="580" w:lineRule="exact"/>
        <w:ind w:firstLine="640"/>
        <w:jc w:val="both"/>
      </w:pPr>
      <w:r>
        <w:rPr>
          <w:rFonts w:ascii="仿宋_GB2312" w:hAnsi="仿宋_GB2312" w:eastAsia="仿宋_GB2312"/>
          <w:b w:val="0"/>
          <w:sz w:val="32"/>
        </w:rPr>
        <w:t>收入支出总体与上年相比，减少9,786.85万元，下降65.96%，主要原因是：本年减少新疆提孜那甫河莫莫克水利枢纽工程项目，导致经费较上年减少。</w:t>
      </w:r>
    </w:p>
    <w:p w14:paraId="1DFE779D">
      <w:pPr>
        <w:spacing w:line="640" w:lineRule="exact"/>
        <w:ind w:firstLine="640"/>
        <w:jc w:val="both"/>
        <w:outlineLvl w:val="2"/>
      </w:pPr>
      <w:r>
        <w:rPr>
          <w:rFonts w:ascii="黑体" w:hAnsi="黑体" w:eastAsia="黑体"/>
          <w:sz w:val="32"/>
        </w:rPr>
        <w:t>二、收入决算情况说明</w:t>
      </w:r>
    </w:p>
    <w:p w14:paraId="617749E8">
      <w:pPr>
        <w:spacing w:line="580" w:lineRule="exact"/>
        <w:ind w:firstLine="640"/>
        <w:jc w:val="both"/>
      </w:pPr>
      <w:r>
        <w:rPr>
          <w:rFonts w:ascii="仿宋_GB2312" w:hAnsi="仿宋_GB2312" w:eastAsia="仿宋_GB2312"/>
          <w:b/>
          <w:sz w:val="32"/>
        </w:rPr>
        <w:t>本年收入5,049.63万元，</w:t>
      </w:r>
      <w:r>
        <w:rPr>
          <w:rFonts w:ascii="仿宋_GB2312" w:hAnsi="仿宋_GB2312" w:eastAsia="仿宋_GB2312"/>
          <w:b w:val="0"/>
          <w:sz w:val="32"/>
        </w:rPr>
        <w:t>其中：财政拨款收入4,534.74万元，占89.80%；上级补助收入0.00万元，占0.00%；事业收入0.00万元，占0.00%；经营收入0.00万元，占0.00%；附属单位上缴收入0.00万元，占0.00%；其他收入514.89万元，占10.20%。</w:t>
      </w:r>
    </w:p>
    <w:p w14:paraId="758A1B9E">
      <w:pPr>
        <w:spacing w:line="640" w:lineRule="exact"/>
        <w:ind w:firstLine="640"/>
        <w:jc w:val="both"/>
        <w:outlineLvl w:val="2"/>
      </w:pPr>
      <w:r>
        <w:rPr>
          <w:rFonts w:ascii="黑体" w:hAnsi="黑体" w:eastAsia="黑体"/>
          <w:sz w:val="32"/>
        </w:rPr>
        <w:t>三、支出决算情况说明</w:t>
      </w:r>
    </w:p>
    <w:p w14:paraId="15940BDD">
      <w:pPr>
        <w:spacing w:line="580" w:lineRule="exact"/>
        <w:ind w:firstLine="640"/>
        <w:jc w:val="both"/>
      </w:pPr>
      <w:r>
        <w:rPr>
          <w:rFonts w:ascii="仿宋_GB2312" w:hAnsi="仿宋_GB2312" w:eastAsia="仿宋_GB2312"/>
          <w:b/>
          <w:sz w:val="32"/>
        </w:rPr>
        <w:t>本年支出5,049.63万元，</w:t>
      </w:r>
      <w:r>
        <w:rPr>
          <w:rFonts w:ascii="仿宋_GB2312" w:hAnsi="仿宋_GB2312" w:eastAsia="仿宋_GB2312"/>
          <w:b w:val="0"/>
          <w:sz w:val="32"/>
        </w:rPr>
        <w:t>其中：基本支出540.37万元，占10.70%；项目支出4,509.27万元，占89.30%；上缴上级支出0.00万元，占0.00%；经营支出0.00万元，占0.00%；对附属单位补助支出0.00万元，占0.00%。</w:t>
      </w:r>
    </w:p>
    <w:p w14:paraId="693AEDBA">
      <w:pPr>
        <w:spacing w:line="640" w:lineRule="exact"/>
        <w:ind w:firstLine="640"/>
        <w:jc w:val="both"/>
        <w:outlineLvl w:val="2"/>
      </w:pPr>
      <w:r>
        <w:rPr>
          <w:rFonts w:ascii="黑体" w:hAnsi="黑体" w:eastAsia="黑体"/>
          <w:sz w:val="32"/>
        </w:rPr>
        <w:t>四、财政拨款收入支出决算总体情况说明</w:t>
      </w:r>
    </w:p>
    <w:p w14:paraId="2F801816">
      <w:pPr>
        <w:spacing w:line="580" w:lineRule="exact"/>
        <w:ind w:firstLine="640"/>
        <w:jc w:val="both"/>
      </w:pPr>
      <w:r>
        <w:rPr>
          <w:rFonts w:ascii="仿宋_GB2312" w:hAnsi="仿宋_GB2312" w:eastAsia="仿宋_GB2312"/>
          <w:b/>
          <w:sz w:val="32"/>
        </w:rPr>
        <w:t>2024年度财政拨款收入总计4,534.74万元，</w:t>
      </w:r>
      <w:r>
        <w:rPr>
          <w:rFonts w:ascii="仿宋_GB2312" w:hAnsi="仿宋_GB2312" w:eastAsia="仿宋_GB2312"/>
          <w:b w:val="0"/>
          <w:sz w:val="32"/>
        </w:rPr>
        <w:t>其中：年初财政拨款结转和结余0.00万元，本年财政拨款收入4,534.74万元。</w:t>
      </w:r>
      <w:r>
        <w:rPr>
          <w:rFonts w:ascii="仿宋_GB2312" w:hAnsi="仿宋_GB2312" w:eastAsia="仿宋_GB2312"/>
          <w:b/>
          <w:sz w:val="32"/>
        </w:rPr>
        <w:t>财政拨款支出总计4,534.74万元，</w:t>
      </w:r>
      <w:r>
        <w:rPr>
          <w:rFonts w:ascii="仿宋_GB2312" w:hAnsi="仿宋_GB2312" w:eastAsia="仿宋_GB2312"/>
          <w:b w:val="0"/>
          <w:sz w:val="32"/>
        </w:rPr>
        <w:t>其中：年末财政拨款结转和结余0.00万元，本年财政拨款支出4,534.74万元。</w:t>
      </w:r>
    </w:p>
    <w:p w14:paraId="7F80C51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减少9,888.85万元，下降68.56%，主要原因是：本年减少新疆提孜那甫河莫莫克水利枢纽工程项目，导致经费较上年减少。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年初预算数17,505.72万元，决算数4,534.74万元，预决算差异率-74.10%，主要原因是：年中调减新疆提孜那甫河莫莫克水利枢纽工程项目资金，导致预决算存在差异。</w:t>
      </w:r>
    </w:p>
    <w:p w14:paraId="4AB084A8">
      <w:pPr>
        <w:spacing w:line="640" w:lineRule="exact"/>
        <w:ind w:firstLine="640"/>
        <w:jc w:val="both"/>
        <w:outlineLvl w:val="2"/>
      </w:pPr>
      <w:r>
        <w:rPr>
          <w:rFonts w:ascii="黑体" w:hAnsi="黑体" w:eastAsia="黑体"/>
          <w:sz w:val="32"/>
        </w:rPr>
        <w:t>五、一般公共预算财政拨款支出决算情况说明</w:t>
      </w:r>
    </w:p>
    <w:p w14:paraId="016A7D48">
      <w:pPr>
        <w:spacing w:line="640" w:lineRule="exact"/>
        <w:ind w:firstLine="640"/>
        <w:jc w:val="both"/>
        <w:outlineLvl w:val="3"/>
      </w:pPr>
      <w:r>
        <w:rPr>
          <w:rFonts w:ascii="楷体_GB2312" w:hAnsi="楷体_GB2312" w:eastAsia="楷体_GB2312"/>
          <w:b/>
          <w:sz w:val="32"/>
        </w:rPr>
        <w:t>（一）一般公共预算财政拨款支出决算总体情况</w:t>
      </w:r>
    </w:p>
    <w:p w14:paraId="61DF63C7">
      <w:pPr>
        <w:spacing w:line="580" w:lineRule="exact"/>
        <w:ind w:firstLine="640"/>
        <w:jc w:val="both"/>
      </w:pPr>
      <w:r>
        <w:rPr>
          <w:rFonts w:ascii="仿宋_GB2312" w:hAnsi="仿宋_GB2312" w:eastAsia="仿宋_GB2312"/>
          <w:b/>
          <w:sz w:val="32"/>
        </w:rPr>
        <w:t>2024年度一般公共预算财政拨款支出4,534.74万元，</w:t>
      </w:r>
      <w:r>
        <w:rPr>
          <w:rFonts w:ascii="仿宋_GB2312" w:hAnsi="仿宋_GB2312" w:eastAsia="仿宋_GB2312"/>
          <w:b w:val="0"/>
          <w:sz w:val="32"/>
        </w:rPr>
        <w:t>占本年支出合计的89.80%。</w:t>
      </w:r>
      <w:r>
        <w:rPr>
          <w:rFonts w:ascii="仿宋_GB2312" w:hAnsi="仿宋_GB2312" w:eastAsia="仿宋_GB2312"/>
          <w:b/>
          <w:sz w:val="32"/>
        </w:rPr>
        <w:t>与上年相比，</w:t>
      </w:r>
      <w:r>
        <w:rPr>
          <w:rFonts w:ascii="仿宋_GB2312" w:hAnsi="仿宋_GB2312" w:eastAsia="仿宋_GB2312"/>
          <w:b w:val="0"/>
          <w:sz w:val="32"/>
        </w:rPr>
        <w:t>减少9,888.85万元，下降68.56%，主要原因是：本年减少新疆提孜那甫河莫莫克水利枢纽工程项目，导致经费较上年减少。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年初预算数17,505.72万元，决算数4,534.74万元，预决算差异率-74.10%，主要原因是：年中调减新疆提孜那甫河莫莫克水利枢纽工程项目资金，导致预决算存在差异。</w:t>
      </w:r>
    </w:p>
    <w:p w14:paraId="22871B9C">
      <w:pPr>
        <w:spacing w:line="640" w:lineRule="exact"/>
        <w:ind w:firstLine="640"/>
        <w:jc w:val="both"/>
        <w:outlineLvl w:val="3"/>
      </w:pPr>
      <w:r>
        <w:rPr>
          <w:rFonts w:ascii="楷体_GB2312" w:hAnsi="楷体_GB2312" w:eastAsia="楷体_GB2312"/>
          <w:b/>
          <w:sz w:val="32"/>
        </w:rPr>
        <w:t>（二）一般公共预算财政拨款支出决算结构情况</w:t>
      </w:r>
    </w:p>
    <w:p w14:paraId="2BE7FB42">
      <w:pPr>
        <w:spacing w:line="580" w:lineRule="exact"/>
        <w:ind w:firstLine="640"/>
        <w:jc w:val="both"/>
      </w:pPr>
      <w:r>
        <w:rPr>
          <w:rFonts w:ascii="仿宋_GB2312" w:hAnsi="仿宋_GB2312" w:eastAsia="仿宋_GB2312"/>
          <w:b w:val="0"/>
          <w:sz w:val="32"/>
        </w:rPr>
        <w:t>1.社会保障和就业支出(类)2.66万元,占0.06%。</w:t>
      </w:r>
    </w:p>
    <w:p w14:paraId="3DCFD551">
      <w:pPr>
        <w:spacing w:line="580" w:lineRule="exact"/>
        <w:ind w:firstLine="640"/>
        <w:jc w:val="both"/>
      </w:pPr>
      <w:r>
        <w:rPr>
          <w:rFonts w:ascii="仿宋_GB2312" w:hAnsi="仿宋_GB2312" w:eastAsia="仿宋_GB2312"/>
          <w:b w:val="0"/>
          <w:sz w:val="32"/>
        </w:rPr>
        <w:t>2.卫生健康支出(类)1.13万元,占0.02%。</w:t>
      </w:r>
    </w:p>
    <w:p w14:paraId="60C02ADE">
      <w:pPr>
        <w:spacing w:line="580" w:lineRule="exact"/>
        <w:ind w:firstLine="640"/>
        <w:jc w:val="both"/>
      </w:pPr>
      <w:r>
        <w:rPr>
          <w:rFonts w:ascii="仿宋_GB2312" w:hAnsi="仿宋_GB2312" w:eastAsia="仿宋_GB2312"/>
          <w:b w:val="0"/>
          <w:sz w:val="32"/>
        </w:rPr>
        <w:t>3.农林水支出(类)19.61万元,占0.43%。</w:t>
      </w:r>
    </w:p>
    <w:p w14:paraId="545F9E66">
      <w:pPr>
        <w:spacing w:line="580" w:lineRule="exact"/>
        <w:ind w:firstLine="640"/>
        <w:jc w:val="both"/>
      </w:pPr>
      <w:r>
        <w:rPr>
          <w:rFonts w:ascii="仿宋_GB2312" w:hAnsi="仿宋_GB2312" w:eastAsia="仿宋_GB2312"/>
          <w:b w:val="0"/>
          <w:sz w:val="32"/>
        </w:rPr>
        <w:t>4.住房保障支出(类)2.06万元,占0.05%。</w:t>
      </w:r>
    </w:p>
    <w:p w14:paraId="2511252B">
      <w:pPr>
        <w:spacing w:line="580" w:lineRule="exact"/>
        <w:ind w:firstLine="640"/>
        <w:jc w:val="both"/>
      </w:pPr>
      <w:r>
        <w:rPr>
          <w:rFonts w:ascii="仿宋_GB2312" w:hAnsi="仿宋_GB2312" w:eastAsia="仿宋_GB2312"/>
          <w:b w:val="0"/>
          <w:sz w:val="32"/>
        </w:rPr>
        <w:t>5.其他支出(类)4,509.27万元,占99.44%。</w:t>
      </w:r>
    </w:p>
    <w:p w14:paraId="66D2AEC7">
      <w:pPr>
        <w:spacing w:line="640" w:lineRule="exact"/>
        <w:ind w:firstLine="640"/>
        <w:jc w:val="both"/>
        <w:outlineLvl w:val="3"/>
      </w:pPr>
      <w:r>
        <w:rPr>
          <w:rFonts w:ascii="楷体_GB2312" w:hAnsi="楷体_GB2312" w:eastAsia="楷体_GB2312"/>
          <w:b/>
          <w:sz w:val="32"/>
        </w:rPr>
        <w:t>（三）一般公共预算财政拨款支出决算具体情况</w:t>
      </w:r>
    </w:p>
    <w:p w14:paraId="57027F8B">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2.66万元，比上年决算减少1.43万元，下降34.96%,主要原因是：本年在职人员减少，单位基本养老保险缴费较上年减少。</w:t>
      </w:r>
    </w:p>
    <w:p w14:paraId="0056F93F">
      <w:pPr>
        <w:spacing w:line="580" w:lineRule="exact"/>
        <w:ind w:firstLine="640"/>
        <w:jc w:val="both"/>
      </w:pPr>
      <w:r>
        <w:rPr>
          <w:rFonts w:ascii="仿宋_GB2312" w:hAnsi="仿宋_GB2312" w:eastAsia="仿宋_GB2312"/>
          <w:b w:val="0"/>
          <w:sz w:val="32"/>
        </w:rPr>
        <w:t>2.卫生健康支出(类)行政事业单位医疗(款)事业单位医疗(项):支出决算数为1.13万元，比上年决算减少0.61万元，下降35.06%,主要原因是：本年在职人员减少，事业单位医疗支出较上年减少。</w:t>
      </w:r>
    </w:p>
    <w:p w14:paraId="1A5954A9">
      <w:pPr>
        <w:spacing w:line="580" w:lineRule="exact"/>
        <w:ind w:firstLine="640"/>
        <w:jc w:val="both"/>
      </w:pPr>
      <w:r>
        <w:rPr>
          <w:rFonts w:ascii="仿宋_GB2312" w:hAnsi="仿宋_GB2312" w:eastAsia="仿宋_GB2312"/>
          <w:b w:val="0"/>
          <w:sz w:val="32"/>
        </w:rPr>
        <w:t>3.农林水支出(类)水利(款)水利工程建设(项):支出决算数为0.00万元，比上年决算减少12,000.00万元，下降100.00%,主要原因是：本年此科目减少新疆提孜那甫河莫莫克水利枢纽工程项目。</w:t>
      </w:r>
    </w:p>
    <w:p w14:paraId="332DCC1C">
      <w:pPr>
        <w:spacing w:line="580" w:lineRule="exact"/>
        <w:ind w:firstLine="640"/>
        <w:jc w:val="both"/>
      </w:pPr>
      <w:r>
        <w:rPr>
          <w:rFonts w:ascii="仿宋_GB2312" w:hAnsi="仿宋_GB2312" w:eastAsia="仿宋_GB2312"/>
          <w:b w:val="0"/>
          <w:sz w:val="32"/>
        </w:rPr>
        <w:t>4.农林水支出(类)水利(款)水利工程运行与维护(项):支出决算数为19.61万元，比上年决算减少11.83万元，下降37.63%,主要原因是：本年在职人员减少，相关人员经费较上年减少。</w:t>
      </w:r>
    </w:p>
    <w:p w14:paraId="71F2E9FF">
      <w:pPr>
        <w:spacing w:line="580" w:lineRule="exact"/>
        <w:ind w:firstLine="640"/>
        <w:jc w:val="both"/>
      </w:pPr>
      <w:r>
        <w:rPr>
          <w:rFonts w:ascii="仿宋_GB2312" w:hAnsi="仿宋_GB2312" w:eastAsia="仿宋_GB2312"/>
          <w:b w:val="0"/>
          <w:sz w:val="32"/>
        </w:rPr>
        <w:t>5.农林水支出(类)水利(款)水利技术推广(项):支出决算数为0.00万元，比上年决算减少20.00万元，下降100.00%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主要原因是：本年减少提前下达2023年自治区水利科技专项资金。</w:t>
      </w:r>
    </w:p>
    <w:p w14:paraId="399ABB03">
      <w:pPr>
        <w:spacing w:line="580" w:lineRule="exact"/>
        <w:ind w:firstLine="640"/>
        <w:jc w:val="both"/>
      </w:pPr>
      <w:r>
        <w:rPr>
          <w:rFonts w:ascii="仿宋_GB2312" w:hAnsi="仿宋_GB2312" w:eastAsia="仿宋_GB2312"/>
          <w:b w:val="0"/>
          <w:sz w:val="32"/>
        </w:rPr>
        <w:t>6.住房保障支出(类)住房改革支出(款)住房公积金(项):支出决算数为2.06万元，比上年决算减少1.20万元，下降36.81%,主要原因是：本年在职人员减少，住房公积金缴费较上年减少。</w:t>
      </w:r>
    </w:p>
    <w:p w14:paraId="16602B72">
      <w:pPr>
        <w:spacing w:line="580" w:lineRule="exact"/>
        <w:ind w:firstLine="640"/>
        <w:jc w:val="both"/>
      </w:pPr>
      <w:r>
        <w:rPr>
          <w:rFonts w:ascii="仿宋_GB2312" w:hAnsi="仿宋_GB2312" w:eastAsia="仿宋_GB2312"/>
          <w:b w:val="0"/>
          <w:sz w:val="32"/>
        </w:rPr>
        <w:t>7.其他支出(类)其他支出(款)其他支出(项):支出决算数为4,509.27万元，比上年决算增加2,146.21万元，增长90.82%,主要原因是：本年此科目新疆提孜那甫河莫莫克水利枢纽工程项目经费增加。</w:t>
      </w:r>
    </w:p>
    <w:p w14:paraId="2EC74427">
      <w:pPr>
        <w:spacing w:line="640" w:lineRule="exact"/>
        <w:ind w:firstLine="640"/>
        <w:jc w:val="both"/>
        <w:outlineLvl w:val="2"/>
      </w:pPr>
      <w:r>
        <w:rPr>
          <w:rFonts w:ascii="黑体" w:hAnsi="黑体" w:eastAsia="黑体"/>
          <w:sz w:val="32"/>
        </w:rPr>
        <w:t>六、一般公共预算财政拨款基本支出决算情况说明</w:t>
      </w:r>
    </w:p>
    <w:p w14:paraId="09901252">
      <w:pPr>
        <w:spacing w:line="580" w:lineRule="exact"/>
        <w:ind w:firstLine="640"/>
        <w:jc w:val="both"/>
      </w:pPr>
      <w:r>
        <w:rPr>
          <w:rFonts w:ascii="仿宋_GB2312" w:hAnsi="仿宋_GB2312" w:eastAsia="仿宋_GB2312"/>
          <w:b w:val="0"/>
          <w:sz w:val="32"/>
        </w:rPr>
        <w:t>2024年度一般公共预算财政拨款基本支出25.47万元，其中：</w:t>
      </w:r>
      <w:r>
        <w:rPr>
          <w:rFonts w:ascii="仿宋_GB2312" w:hAnsi="仿宋_GB2312" w:eastAsia="仿宋_GB2312"/>
          <w:b/>
          <w:sz w:val="32"/>
        </w:rPr>
        <w:t>人员经费24.90万元，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5AC8F1DB">
      <w:pPr>
        <w:spacing w:line="580" w:lineRule="exact"/>
        <w:ind w:firstLine="640"/>
        <w:jc w:val="both"/>
      </w:pPr>
      <w:r>
        <w:rPr>
          <w:rFonts w:ascii="仿宋_GB2312" w:hAnsi="仿宋_GB2312" w:eastAsia="仿宋_GB2312"/>
          <w:b/>
          <w:sz w:val="32"/>
        </w:rPr>
        <w:t>公用经费0.57万元，</w:t>
      </w:r>
      <w:r>
        <w:rPr>
          <w:rFonts w:ascii="仿宋_GB2312" w:hAnsi="仿宋_GB2312" w:eastAsia="仿宋_GB2312"/>
          <w:b w:val="0"/>
          <w:sz w:val="32"/>
        </w:rPr>
        <w:t>包括：办公费、差旅费、工会经费、其他商品和服务支出。</w:t>
      </w:r>
    </w:p>
    <w:p w14:paraId="5166163A">
      <w:pPr>
        <w:spacing w:line="640" w:lineRule="exact"/>
        <w:ind w:firstLine="640"/>
        <w:jc w:val="both"/>
        <w:outlineLvl w:val="2"/>
      </w:pPr>
      <w:r>
        <w:rPr>
          <w:rFonts w:ascii="黑体" w:hAnsi="黑体" w:eastAsia="黑体"/>
          <w:sz w:val="32"/>
        </w:rPr>
        <w:t>七、政府性基金预算财政拨款收入支出决算情况说明</w:t>
      </w:r>
    </w:p>
    <w:p w14:paraId="6D167FF1">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67598AC5">
      <w:pPr>
        <w:spacing w:line="640" w:lineRule="exact"/>
        <w:ind w:firstLine="640"/>
        <w:jc w:val="both"/>
        <w:outlineLvl w:val="2"/>
      </w:pPr>
      <w:r>
        <w:rPr>
          <w:rFonts w:ascii="黑体" w:hAnsi="黑体" w:eastAsia="黑体"/>
          <w:sz w:val="32"/>
        </w:rPr>
        <w:t>八、国有资本经营预算财政拨款收入支出决算情况说明</w:t>
      </w:r>
    </w:p>
    <w:p w14:paraId="5A6658D4">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F37B05C">
      <w:pPr>
        <w:spacing w:line="640" w:lineRule="exact"/>
        <w:ind w:firstLine="640"/>
        <w:jc w:val="both"/>
        <w:outlineLvl w:val="2"/>
      </w:pPr>
      <w:r>
        <w:rPr>
          <w:rFonts w:ascii="黑体" w:hAnsi="黑体" w:eastAsia="黑体"/>
          <w:sz w:val="32"/>
        </w:rPr>
        <w:t>九、财政拨款“三公”经费支出决算情况说明</w:t>
      </w:r>
    </w:p>
    <w:p w14:paraId="4F2A833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39A3FB8">
      <w:pPr>
        <w:spacing w:line="580" w:lineRule="exact"/>
        <w:ind w:firstLine="640"/>
        <w:jc w:val="both"/>
      </w:pPr>
      <w:r>
        <w:rPr>
          <w:rFonts w:ascii="仿宋_GB2312" w:hAnsi="仿宋_GB2312" w:eastAsia="仿宋_GB2312"/>
          <w:b/>
          <w:sz w:val="32"/>
        </w:rPr>
        <w:t>具体情况如下：</w:t>
      </w:r>
    </w:p>
    <w:p w14:paraId="2D7004BE">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7AEC9C6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13942BEE">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68B48A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6C47F08B">
      <w:pPr>
        <w:spacing w:line="640" w:lineRule="exact"/>
        <w:ind w:firstLine="640"/>
        <w:jc w:val="both"/>
        <w:outlineLvl w:val="2"/>
      </w:pPr>
      <w:r>
        <w:rPr>
          <w:rFonts w:ascii="黑体" w:hAnsi="黑体" w:eastAsia="黑体"/>
          <w:sz w:val="32"/>
        </w:rPr>
        <w:t>十、其他重要事项的情况说明</w:t>
      </w:r>
    </w:p>
    <w:p w14:paraId="7BE992F3">
      <w:pPr>
        <w:spacing w:line="640" w:lineRule="exact"/>
        <w:ind w:firstLine="640"/>
        <w:jc w:val="both"/>
        <w:outlineLvl w:val="3"/>
      </w:pPr>
      <w:r>
        <w:rPr>
          <w:rFonts w:ascii="楷体_GB2312" w:hAnsi="楷体_GB2312" w:eastAsia="楷体_GB2312"/>
          <w:b/>
          <w:sz w:val="32"/>
        </w:rPr>
        <w:t>（一）机关运行经费及公用经费支出情况</w:t>
      </w:r>
    </w:p>
    <w:p w14:paraId="6481A049">
      <w:pPr>
        <w:spacing w:line="580" w:lineRule="exact"/>
        <w:ind w:firstLine="640"/>
        <w:jc w:val="both"/>
      </w:pPr>
      <w:r>
        <w:rPr>
          <w:rFonts w:ascii="仿宋_GB2312" w:hAnsi="仿宋_GB2312" w:eastAsia="仿宋_GB2312"/>
          <w:b w:val="0"/>
          <w:sz w:val="32"/>
        </w:rPr>
        <w:t>2024年度喀什地区莫莫克水利枢纽工程建设管理局（事业单位）公用经费支出0.57万元，比上年减少0.54万元，下降48.65%，主要原因是：本年在职人员减少，导致相关办公经费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工会经费</w:t>
      </w:r>
      <w:r>
        <w:rPr>
          <w:rFonts w:ascii="仿宋_GB2312" w:hAnsi="仿宋_GB2312" w:eastAsia="仿宋_GB2312"/>
          <w:b w:val="0"/>
          <w:sz w:val="32"/>
        </w:rPr>
        <w:t>减少。</w:t>
      </w:r>
    </w:p>
    <w:p w14:paraId="508EB58F">
      <w:pPr>
        <w:spacing w:line="640" w:lineRule="exact"/>
        <w:ind w:firstLine="640"/>
        <w:jc w:val="both"/>
        <w:outlineLvl w:val="3"/>
      </w:pPr>
      <w:r>
        <w:rPr>
          <w:rFonts w:ascii="楷体_GB2312" w:hAnsi="楷体_GB2312" w:eastAsia="楷体_GB2312"/>
          <w:b/>
          <w:sz w:val="32"/>
        </w:rPr>
        <w:t>（二）政府采购情况</w:t>
      </w:r>
    </w:p>
    <w:p w14:paraId="48475CAA">
      <w:pPr>
        <w:spacing w:line="580" w:lineRule="exact"/>
        <w:ind w:firstLine="640"/>
        <w:jc w:val="both"/>
      </w:pPr>
      <w:r>
        <w:rPr>
          <w:rFonts w:ascii="仿宋_GB2312" w:hAnsi="仿宋_GB2312" w:eastAsia="仿宋_GB2312"/>
          <w:b w:val="0"/>
          <w:sz w:val="32"/>
        </w:rPr>
        <w:t>2024年度政府采购支出总额81.72万元，其中：政府采购货物支出17.32万元、政府采购工程支出0.00万元、政府采购服务支出64.40万元。</w:t>
      </w:r>
    </w:p>
    <w:p w14:paraId="17A48709">
      <w:pPr>
        <w:spacing w:line="580" w:lineRule="exact"/>
        <w:ind w:firstLine="640"/>
        <w:jc w:val="both"/>
      </w:pPr>
      <w:r>
        <w:rPr>
          <w:rFonts w:ascii="仿宋_GB2312" w:hAnsi="仿宋_GB2312" w:eastAsia="仿宋_GB2312"/>
          <w:b w:val="0"/>
          <w:sz w:val="32"/>
        </w:rPr>
        <w:t>授予中小企业合同金额81.72万元，占政府采购支出总额的100.00%，其中：授予小微企业合同金额81.72万元，占政府采购支出总额的100.00%。</w:t>
      </w:r>
    </w:p>
    <w:p w14:paraId="68A5066B">
      <w:pPr>
        <w:spacing w:line="640" w:lineRule="exact"/>
        <w:ind w:firstLine="640"/>
        <w:jc w:val="both"/>
        <w:outlineLvl w:val="3"/>
      </w:pPr>
      <w:r>
        <w:rPr>
          <w:rFonts w:ascii="楷体_GB2312" w:hAnsi="楷体_GB2312" w:eastAsia="楷体_GB2312"/>
          <w:b/>
          <w:sz w:val="32"/>
        </w:rPr>
        <w:t>（三）国有资产占用情况说明</w:t>
      </w:r>
    </w:p>
    <w:p w14:paraId="2559E463">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5A1B5602">
      <w:pPr>
        <w:spacing w:line="640" w:lineRule="exact"/>
        <w:ind w:firstLine="640"/>
        <w:jc w:val="both"/>
        <w:outlineLvl w:val="2"/>
      </w:pPr>
      <w:r>
        <w:rPr>
          <w:rFonts w:ascii="黑体" w:hAnsi="黑体" w:eastAsia="黑体"/>
          <w:sz w:val="32"/>
        </w:rPr>
        <w:t>十一、预算绩效的情况说明</w:t>
      </w:r>
    </w:p>
    <w:p w14:paraId="64CE45D2">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根据预算绩效管理要求，本部门2024年度预算绩效管理形成整体支出绩效自评表1个，全年预算总额17,505.72万元，实际执行总额4,534.74万元；预算绩效评价项目</w:t>
      </w:r>
      <w:r>
        <w:rPr>
          <w:rFonts w:hint="eastAsia" w:ascii="仿宋_GB2312" w:hAnsi="仿宋_GB2312" w:eastAsia="仿宋_GB2312"/>
          <w:b w:val="0"/>
          <w:sz w:val="32"/>
          <w:lang w:val="en-US" w:eastAsia="zh-CN"/>
        </w:rPr>
        <w:t>1</w:t>
      </w:r>
      <w:r>
        <w:rPr>
          <w:rFonts w:ascii="仿宋_GB2312" w:hAnsi="仿宋_GB2312" w:eastAsia="仿宋_GB2312"/>
          <w:b w:val="0"/>
          <w:sz w:val="32"/>
        </w:rPr>
        <w:t>个，全年预算数17505.72万元，全年执行数4534.74万元。预算绩效管理取得的成效：本部门预算绩效项目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不予公开。发现的问题及原因：本部门预算绩效项目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不予公开。下一步改进措施：本部门预算绩效项目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不予公开。具体附部门整体支出绩效自评表。</w:t>
      </w:r>
    </w:p>
    <w:p w14:paraId="06C86B9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C73A12F">
        <w:tblPrEx>
          <w:tblCellMar>
            <w:top w:w="0" w:type="dxa"/>
            <w:left w:w="108" w:type="dxa"/>
            <w:bottom w:w="0" w:type="dxa"/>
            <w:right w:w="108" w:type="dxa"/>
          </w:tblCellMar>
        </w:tblPrEx>
        <w:tc>
          <w:tcPr>
            <w:tcW w:w="8847" w:type="dxa"/>
            <w:gridSpan w:val="9"/>
            <w:vAlign w:val="center"/>
          </w:tcPr>
          <w:p w14:paraId="30A4362F">
            <w:pPr>
              <w:jc w:val="center"/>
            </w:pPr>
            <w:r>
              <w:rPr>
                <w:rFonts w:ascii="宋体" w:hAnsi="宋体" w:eastAsia="宋体"/>
                <w:sz w:val="24"/>
              </w:rPr>
              <w:t>部门整体支出绩效自评表</w:t>
            </w:r>
          </w:p>
        </w:tc>
      </w:tr>
      <w:tr w14:paraId="5EE65B3B">
        <w:tblPrEx>
          <w:tblCellMar>
            <w:top w:w="0" w:type="dxa"/>
            <w:left w:w="108" w:type="dxa"/>
            <w:bottom w:w="0" w:type="dxa"/>
            <w:right w:w="108" w:type="dxa"/>
          </w:tblCellMar>
        </w:tblPrEx>
        <w:tc>
          <w:tcPr>
            <w:tcW w:w="8847" w:type="dxa"/>
            <w:gridSpan w:val="9"/>
            <w:vAlign w:val="center"/>
          </w:tcPr>
          <w:p w14:paraId="6C958056">
            <w:pPr>
              <w:jc w:val="center"/>
            </w:pPr>
            <w:r>
              <w:rPr>
                <w:rFonts w:ascii="宋体" w:hAnsi="宋体" w:eastAsia="宋体"/>
                <w:sz w:val="24"/>
              </w:rPr>
              <w:t>（2024年度）</w:t>
            </w:r>
          </w:p>
        </w:tc>
      </w:tr>
      <w:tr w14:paraId="555248E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46AE4">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D1BE9E6">
            <w:pPr>
              <w:jc w:val="center"/>
            </w:pPr>
            <w:r>
              <w:rPr>
                <w:rFonts w:ascii="宋体" w:hAnsi="宋体" w:eastAsia="宋体"/>
                <w:sz w:val="16"/>
              </w:rPr>
              <w:t>喀什地区莫莫克水利枢纽工程建设管理局</w:t>
            </w:r>
          </w:p>
        </w:tc>
      </w:tr>
      <w:tr w14:paraId="5F32EA4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2329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D1A8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BD0F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1A3F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0B11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B729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5091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434DE">
            <w:pPr>
              <w:jc w:val="center"/>
            </w:pPr>
            <w:r>
              <w:rPr>
                <w:rFonts w:ascii="宋体" w:hAnsi="宋体" w:eastAsia="宋体"/>
                <w:sz w:val="16"/>
              </w:rPr>
              <w:t>得分</w:t>
            </w:r>
          </w:p>
        </w:tc>
      </w:tr>
      <w:tr w14:paraId="24DF7F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61E0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42B2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C6722">
            <w:pPr>
              <w:jc w:val="center"/>
            </w:pPr>
            <w:r>
              <w:rPr>
                <w:rFonts w:ascii="宋体" w:hAnsi="宋体" w:eastAsia="宋体"/>
                <w:sz w:val="16"/>
              </w:rPr>
              <w:t>17,505.72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21507">
            <w:pPr>
              <w:jc w:val="center"/>
            </w:pPr>
            <w:r>
              <w:rPr>
                <w:rFonts w:ascii="宋体" w:hAnsi="宋体" w:eastAsia="宋体"/>
                <w:sz w:val="16"/>
              </w:rPr>
              <w:t>17,505.72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5E97C">
            <w:pPr>
              <w:jc w:val="center"/>
            </w:pPr>
            <w:r>
              <w:rPr>
                <w:rFonts w:ascii="宋体" w:hAnsi="宋体" w:eastAsia="宋体"/>
                <w:sz w:val="16"/>
              </w:rPr>
              <w:t>4,534.74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2B1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FC56A">
            <w:pPr>
              <w:jc w:val="center"/>
            </w:pPr>
            <w:r>
              <w:rPr>
                <w:rFonts w:ascii="宋体" w:hAnsi="宋体" w:eastAsia="宋体"/>
                <w:sz w:val="16"/>
              </w:rPr>
              <w:t>25.90%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5B563">
            <w:pPr>
              <w:jc w:val="center"/>
            </w:pPr>
            <w:r>
              <w:rPr>
                <w:rFonts w:ascii="宋体" w:hAnsi="宋体" w:eastAsia="宋体"/>
                <w:sz w:val="16"/>
              </w:rPr>
              <w:t>2.59</w:t>
            </w:r>
          </w:p>
        </w:tc>
      </w:tr>
      <w:tr w14:paraId="48D926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9212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738B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17E83">
            <w:pPr>
              <w:jc w:val="center"/>
            </w:pPr>
            <w:r>
              <w:rPr>
                <w:rFonts w:ascii="宋体" w:hAnsi="宋体" w:eastAsia="宋体"/>
                <w:sz w:val="16"/>
              </w:rPr>
              <w:t>17,480.25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F40AC">
            <w:pPr>
              <w:jc w:val="center"/>
            </w:pPr>
            <w:r>
              <w:rPr>
                <w:rFonts w:ascii="宋体" w:hAnsi="宋体" w:eastAsia="宋体"/>
                <w:sz w:val="16"/>
              </w:rPr>
              <w:t>17,480.25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336DE">
            <w:pPr>
              <w:jc w:val="center"/>
            </w:pPr>
            <w:r>
              <w:rPr>
                <w:rFonts w:ascii="宋体" w:hAnsi="宋体" w:eastAsia="宋体"/>
                <w:sz w:val="16"/>
              </w:rPr>
              <w:t>4,509.27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DF31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1A58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C22C3">
            <w:pPr>
              <w:jc w:val="center"/>
            </w:pPr>
            <w:r>
              <w:rPr>
                <w:rFonts w:ascii="宋体" w:hAnsi="宋体" w:eastAsia="宋体"/>
                <w:sz w:val="16"/>
              </w:rPr>
              <w:t>—</w:t>
            </w:r>
          </w:p>
        </w:tc>
      </w:tr>
      <w:tr w14:paraId="5BA37B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45AB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A136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CD847">
            <w:pPr>
              <w:jc w:val="center"/>
            </w:pPr>
            <w:r>
              <w:rPr>
                <w:rFonts w:ascii="宋体" w:hAnsi="宋体" w:eastAsia="宋体"/>
                <w:sz w:val="16"/>
              </w:rPr>
              <w:t>25.47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13E81">
            <w:pPr>
              <w:jc w:val="center"/>
            </w:pPr>
            <w:r>
              <w:rPr>
                <w:rFonts w:ascii="宋体" w:hAnsi="宋体" w:eastAsia="宋体"/>
                <w:sz w:val="16"/>
              </w:rPr>
              <w:t>25.47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D154D">
            <w:pPr>
              <w:jc w:val="center"/>
            </w:pPr>
            <w:r>
              <w:rPr>
                <w:rFonts w:ascii="宋体" w:hAnsi="宋体" w:eastAsia="宋体"/>
                <w:sz w:val="16"/>
              </w:rPr>
              <w:t>25.47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7CBD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B326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FA4B0">
            <w:pPr>
              <w:jc w:val="center"/>
            </w:pPr>
            <w:r>
              <w:rPr>
                <w:rFonts w:ascii="宋体" w:hAnsi="宋体" w:eastAsia="宋体"/>
                <w:sz w:val="16"/>
              </w:rPr>
              <w:t>—</w:t>
            </w:r>
          </w:p>
        </w:tc>
      </w:tr>
      <w:tr w14:paraId="55D0EF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6CCF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E7F2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149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5D8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355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BA6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636B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672AE">
            <w:pPr>
              <w:jc w:val="center"/>
            </w:pPr>
            <w:r>
              <w:rPr>
                <w:rFonts w:ascii="宋体" w:hAnsi="宋体" w:eastAsia="宋体"/>
                <w:sz w:val="16"/>
              </w:rPr>
              <w:t>—</w:t>
            </w:r>
          </w:p>
        </w:tc>
      </w:tr>
      <w:tr w14:paraId="2A1C10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91D8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48AAF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7A4453">
            <w:pPr>
              <w:jc w:val="center"/>
            </w:pPr>
            <w:r>
              <w:rPr>
                <w:rFonts w:ascii="宋体" w:hAnsi="宋体" w:eastAsia="宋体"/>
                <w:sz w:val="16"/>
              </w:rPr>
              <w:t>实际完成情况</w:t>
            </w:r>
          </w:p>
        </w:tc>
      </w:tr>
      <w:tr w14:paraId="11E3E9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D9F00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B7841D">
            <w:pPr>
              <w:jc w:val="both"/>
            </w:pPr>
            <w:r>
              <w:rPr>
                <w:rFonts w:ascii="宋体" w:hAnsi="宋体" w:eastAsia="宋体"/>
                <w:sz w:val="16"/>
              </w:rPr>
              <w:t>贯彻执行国家和自治区有关水利工程建设管理的法律、规程，落实项目法人制、招标投标制、工程管理制、合同管理制等管理制度，负责莫莫克水利枢纽工程建设的前期工作，工程验收、工程维护和水库运行管理工作；组织实施水利工程建设；承担工程建设和运行管理的资料档案整理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96115E">
            <w:pPr>
              <w:jc w:val="both"/>
            </w:pPr>
            <w:r>
              <w:rPr>
                <w:rFonts w:ascii="宋体" w:hAnsi="宋体" w:eastAsia="宋体"/>
                <w:sz w:val="16"/>
              </w:rPr>
              <w:t>我单位贯彻执行国家和自治区有关水利工程建设管理的法律、规程，落实项目法人制、招标投标制、工程管理制、合同管理制等管理制度，负责莫莫克水利枢纽工程建设的前期工作，工程验收、工程维护和水库运行管理工作；组织实施水利工程建设；承担工程建设和运行管理的资料档案整理工作。2024年10月工程已全部完成，泄洪冲沙洞、发电引水洞、溢洪道、发电厂房、大坝填筑均已施工完成，主要施工项目为大坝下游框格梁及护坡板，保障和改善当地民生，进一步完善水利基础设施；洪道及下游河道整治，改善当地生态环境；大坝坝顶防浪墙，防止波浪翻越坝顶，维护大坝</w:t>
            </w:r>
            <w:r>
              <w:rPr>
                <w:rFonts w:hint="eastAsia" w:ascii="宋体" w:hAnsi="宋体"/>
                <w:sz w:val="16"/>
                <w:lang w:eastAsia="zh-CN"/>
              </w:rPr>
              <w:t>稳固</w:t>
            </w:r>
            <w:r>
              <w:rPr>
                <w:rFonts w:ascii="宋体" w:hAnsi="宋体" w:eastAsia="宋体"/>
                <w:sz w:val="16"/>
              </w:rPr>
              <w:t>，保护坝体；溢洪道边坡及排水渠，有效提高该工程组成部分的完成进度，有效提升大坝的排水功能以及保护大坝，确保溢洪道在各种天气</w:t>
            </w:r>
            <w:r>
              <w:rPr>
                <w:rFonts w:hint="eastAsia" w:ascii="宋体" w:hAnsi="宋体"/>
                <w:sz w:val="16"/>
                <w:lang w:eastAsia="zh-CN"/>
              </w:rPr>
              <w:t>条件</w:t>
            </w:r>
            <w:r>
              <w:rPr>
                <w:rFonts w:ascii="宋体" w:hAnsi="宋体" w:eastAsia="宋体"/>
                <w:sz w:val="16"/>
              </w:rPr>
              <w:t>下的安全运行和长期使用；坝顶道路、坝后之字路、右岸平台施工，有效提高该工程组成部分的完成进度，保障水库安全运行，提高防汛抗旱能力，提升交通安全性和便利性；安全监测系统线缆敷设及安装，有效提升大坝安全监测系统效率，保障大坝安全。各项监测数据表明主体工程无明显异常，工程运行状况良好。2023年12月水库正式下闸蓄水，开始发挥效益。2024年11月25日莫莫克水利枢纽工程电站机组启动阶段验收顺利通过。</w:t>
            </w:r>
          </w:p>
        </w:tc>
      </w:tr>
      <w:tr w14:paraId="06FD26F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A350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A0C5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BA0D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9E68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E4DD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FC0E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9308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254D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271E1">
            <w:pPr>
              <w:jc w:val="center"/>
            </w:pPr>
            <w:r>
              <w:rPr>
                <w:rFonts w:ascii="宋体" w:hAnsi="宋体" w:eastAsia="宋体"/>
                <w:sz w:val="16"/>
              </w:rPr>
              <w:t>得分</w:t>
            </w:r>
          </w:p>
        </w:tc>
      </w:tr>
      <w:tr w14:paraId="55FEFF3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0399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541A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1B645">
            <w:pPr>
              <w:jc w:val="center"/>
            </w:pPr>
            <w:r>
              <w:rPr>
                <w:rFonts w:ascii="宋体" w:hAnsi="宋体" w:eastAsia="宋体"/>
                <w:sz w:val="16"/>
              </w:rPr>
              <w:t>大坝下游框格梁及护坡板施工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212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99564">
            <w:pPr>
              <w:jc w:val="center"/>
            </w:pPr>
            <w:r>
              <w:rPr>
                <w:rFonts w:ascii="宋体" w:hAnsi="宋体" w:eastAsia="宋体"/>
                <w:sz w:val="16"/>
              </w:rPr>
              <w:t>2024莫莫克建管局工作计划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F3AA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4F1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36F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AAA94">
            <w:pPr>
              <w:jc w:val="center"/>
            </w:pPr>
            <w:r>
              <w:rPr>
                <w:rFonts w:ascii="宋体" w:hAnsi="宋体" w:eastAsia="宋体"/>
                <w:sz w:val="16"/>
              </w:rPr>
              <w:t>15</w:t>
            </w:r>
          </w:p>
        </w:tc>
      </w:tr>
      <w:tr w14:paraId="5F5911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9F94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6514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18057">
            <w:pPr>
              <w:jc w:val="center"/>
            </w:pPr>
            <w:r>
              <w:rPr>
                <w:rFonts w:ascii="宋体" w:hAnsi="宋体" w:eastAsia="宋体"/>
                <w:sz w:val="16"/>
              </w:rPr>
              <w:t>洪道及下游河道整治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F82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E78B5">
            <w:pPr>
              <w:jc w:val="center"/>
            </w:pPr>
            <w:r>
              <w:rPr>
                <w:rFonts w:ascii="宋体" w:hAnsi="宋体" w:eastAsia="宋体"/>
                <w:sz w:val="16"/>
              </w:rPr>
              <w:t>2024莫莫克工作计划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6933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A6E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C09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0B98D">
            <w:pPr>
              <w:jc w:val="center"/>
            </w:pPr>
            <w:r>
              <w:rPr>
                <w:rFonts w:ascii="宋体" w:hAnsi="宋体" w:eastAsia="宋体"/>
                <w:sz w:val="16"/>
              </w:rPr>
              <w:t>15</w:t>
            </w:r>
          </w:p>
        </w:tc>
      </w:tr>
      <w:tr w14:paraId="680FCD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40CD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F228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7416D">
            <w:pPr>
              <w:jc w:val="center"/>
            </w:pPr>
            <w:r>
              <w:rPr>
                <w:rFonts w:ascii="宋体" w:hAnsi="宋体" w:eastAsia="宋体"/>
                <w:sz w:val="16"/>
              </w:rPr>
              <w:t>大坝坝顶防浪墙等</w:t>
            </w:r>
            <w:r>
              <w:rPr>
                <w:rFonts w:hint="eastAsia" w:ascii="宋体" w:hAnsi="宋体"/>
                <w:sz w:val="16"/>
                <w:lang w:eastAsia="zh-CN"/>
              </w:rPr>
              <w:t>艏部结构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8B8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60E92">
            <w:pPr>
              <w:jc w:val="center"/>
            </w:pPr>
            <w:r>
              <w:rPr>
                <w:rFonts w:ascii="宋体" w:hAnsi="宋体" w:eastAsia="宋体"/>
                <w:sz w:val="16"/>
              </w:rPr>
              <w:t>2024莫莫克工资计划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DA37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5F60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46B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CD5C9">
            <w:pPr>
              <w:jc w:val="center"/>
            </w:pPr>
            <w:r>
              <w:rPr>
                <w:rFonts w:ascii="宋体" w:hAnsi="宋体" w:eastAsia="宋体"/>
                <w:sz w:val="16"/>
              </w:rPr>
              <w:t>15</w:t>
            </w:r>
          </w:p>
        </w:tc>
      </w:tr>
      <w:tr w14:paraId="7F3ABC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7BC7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020F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AB8B8">
            <w:pPr>
              <w:jc w:val="center"/>
            </w:pPr>
            <w:r>
              <w:rPr>
                <w:rFonts w:ascii="宋体" w:hAnsi="宋体" w:eastAsia="宋体"/>
                <w:sz w:val="16"/>
              </w:rPr>
              <w:t>溢洪道边坡及排水渠施工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DF5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1861D">
            <w:pPr>
              <w:jc w:val="center"/>
            </w:pPr>
            <w:r>
              <w:rPr>
                <w:rFonts w:ascii="宋体" w:hAnsi="宋体" w:eastAsia="宋体"/>
                <w:sz w:val="16"/>
              </w:rPr>
              <w:t>2024莫莫克工作计划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5F41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8FF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D10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13B22">
            <w:pPr>
              <w:jc w:val="center"/>
            </w:pPr>
            <w:r>
              <w:rPr>
                <w:rFonts w:ascii="宋体" w:hAnsi="宋体" w:eastAsia="宋体"/>
                <w:sz w:val="16"/>
              </w:rPr>
              <w:t>15</w:t>
            </w:r>
          </w:p>
        </w:tc>
      </w:tr>
      <w:tr w14:paraId="01BE98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10F2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2BD7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53613">
            <w:pPr>
              <w:jc w:val="center"/>
            </w:pPr>
            <w:r>
              <w:rPr>
                <w:rFonts w:ascii="宋体" w:hAnsi="宋体" w:eastAsia="宋体"/>
                <w:sz w:val="16"/>
              </w:rPr>
              <w:t>坝顶道路、坝后之字路、右岸EL1896.8平台施工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C98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05051">
            <w:pPr>
              <w:jc w:val="center"/>
            </w:pPr>
            <w:r>
              <w:rPr>
                <w:rFonts w:ascii="宋体" w:hAnsi="宋体" w:eastAsia="宋体"/>
                <w:sz w:val="16"/>
              </w:rPr>
              <w:t>2024莫莫克工作计划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2D23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8B8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47F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BEA0B">
            <w:pPr>
              <w:jc w:val="center"/>
            </w:pPr>
            <w:r>
              <w:rPr>
                <w:rFonts w:ascii="宋体" w:hAnsi="宋体" w:eastAsia="宋体"/>
                <w:sz w:val="16"/>
              </w:rPr>
              <w:t>15</w:t>
            </w:r>
          </w:p>
        </w:tc>
      </w:tr>
      <w:tr w14:paraId="44CF32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1EE1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8798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7FB13">
            <w:pPr>
              <w:jc w:val="center"/>
            </w:pPr>
            <w:r>
              <w:rPr>
                <w:rFonts w:ascii="宋体" w:hAnsi="宋体" w:eastAsia="宋体"/>
                <w:sz w:val="16"/>
              </w:rPr>
              <w:t>安全监测系统线缆敷设及安装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1BA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248AB">
            <w:pPr>
              <w:jc w:val="center"/>
            </w:pPr>
            <w:r>
              <w:rPr>
                <w:rFonts w:ascii="宋体" w:hAnsi="宋体" w:eastAsia="宋体"/>
                <w:sz w:val="16"/>
              </w:rPr>
              <w:t>2024莫莫克工作计划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5755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296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D37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7F5E1">
            <w:pPr>
              <w:jc w:val="center"/>
            </w:pPr>
            <w:r>
              <w:rPr>
                <w:rFonts w:ascii="宋体" w:hAnsi="宋体" w:eastAsia="宋体"/>
                <w:sz w:val="16"/>
              </w:rPr>
              <w:t>15</w:t>
            </w:r>
          </w:p>
        </w:tc>
      </w:tr>
    </w:tbl>
    <w:p w14:paraId="2EBCECF0">
      <w:r>
        <w:br w:type="page"/>
      </w:r>
    </w:p>
    <w:p w14:paraId="3671B65E">
      <w:pPr>
        <w:spacing w:line="640" w:lineRule="exact"/>
        <w:ind w:firstLine="640"/>
        <w:jc w:val="both"/>
        <w:outlineLvl w:val="2"/>
      </w:pPr>
      <w:r>
        <w:rPr>
          <w:rFonts w:ascii="黑体" w:hAnsi="黑体" w:eastAsia="黑体"/>
          <w:sz w:val="32"/>
        </w:rPr>
        <w:t>十二、其他需说明的事项</w:t>
      </w:r>
    </w:p>
    <w:p w14:paraId="28A9DA40">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项目1个，全年预算数17505.72万元，全年执行数4534.74万元。</w:t>
      </w:r>
    </w:p>
    <w:p w14:paraId="15B5267B">
      <w:r>
        <w:br w:type="page"/>
      </w:r>
      <w:bookmarkStart w:id="0" w:name="_GoBack"/>
      <w:bookmarkEnd w:id="0"/>
    </w:p>
    <w:p w14:paraId="4AF47C22">
      <w:pPr>
        <w:spacing w:line="240" w:lineRule="auto"/>
        <w:jc w:val="center"/>
        <w:outlineLvl w:val="1"/>
      </w:pPr>
      <w:r>
        <w:rPr>
          <w:rFonts w:ascii="黑体" w:hAnsi="黑体" w:eastAsia="黑体"/>
          <w:sz w:val="32"/>
        </w:rPr>
        <w:t>第三部分 专业名词解释</w:t>
      </w:r>
    </w:p>
    <w:p w14:paraId="384438B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B0A83A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4A62D4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B03BB1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975237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0DFF3A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1C42DE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5B2EA9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28DF8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4688C2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B18A17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E903EB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ECCA8D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97841C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51275C5">
      <w:r>
        <w:br w:type="page"/>
      </w:r>
    </w:p>
    <w:p w14:paraId="3FBC1432">
      <w:pPr>
        <w:spacing w:line="240" w:lineRule="auto"/>
        <w:jc w:val="center"/>
        <w:outlineLvl w:val="1"/>
      </w:pPr>
      <w:r>
        <w:rPr>
          <w:rFonts w:ascii="黑体" w:hAnsi="黑体" w:eastAsia="黑体"/>
          <w:sz w:val="32"/>
        </w:rPr>
        <w:t>第四部分 部门决算报表（见附表）</w:t>
      </w:r>
    </w:p>
    <w:p w14:paraId="19B51AAF">
      <w:pPr>
        <w:spacing w:line="240" w:lineRule="auto"/>
        <w:ind w:firstLine="640"/>
        <w:jc w:val="both"/>
      </w:pPr>
      <w:r>
        <w:rPr>
          <w:rFonts w:ascii="仿宋_GB2312" w:hAnsi="仿宋_GB2312" w:eastAsia="仿宋_GB2312"/>
          <w:b w:val="0"/>
          <w:sz w:val="32"/>
        </w:rPr>
        <w:t>一、《收入支出决算总表》</w:t>
      </w:r>
    </w:p>
    <w:p w14:paraId="4B5B8916">
      <w:pPr>
        <w:spacing w:line="240" w:lineRule="auto"/>
        <w:ind w:firstLine="640"/>
        <w:jc w:val="both"/>
      </w:pPr>
      <w:r>
        <w:rPr>
          <w:rFonts w:ascii="仿宋_GB2312" w:hAnsi="仿宋_GB2312" w:eastAsia="仿宋_GB2312"/>
          <w:b w:val="0"/>
          <w:sz w:val="32"/>
        </w:rPr>
        <w:t>二、《收入决算表》</w:t>
      </w:r>
    </w:p>
    <w:p w14:paraId="5BA5BB4C">
      <w:pPr>
        <w:spacing w:line="240" w:lineRule="auto"/>
        <w:ind w:firstLine="640"/>
        <w:jc w:val="both"/>
      </w:pPr>
      <w:r>
        <w:rPr>
          <w:rFonts w:ascii="仿宋_GB2312" w:hAnsi="仿宋_GB2312" w:eastAsia="仿宋_GB2312"/>
          <w:b w:val="0"/>
          <w:sz w:val="32"/>
        </w:rPr>
        <w:t>三、《支出决算表》</w:t>
      </w:r>
    </w:p>
    <w:p w14:paraId="78E7B904">
      <w:pPr>
        <w:spacing w:line="240" w:lineRule="auto"/>
        <w:ind w:firstLine="640"/>
        <w:jc w:val="both"/>
      </w:pPr>
      <w:r>
        <w:rPr>
          <w:rFonts w:ascii="仿宋_GB2312" w:hAnsi="仿宋_GB2312" w:eastAsia="仿宋_GB2312"/>
          <w:b w:val="0"/>
          <w:sz w:val="32"/>
        </w:rPr>
        <w:t>四、《财政拨款收入支出决算总表》</w:t>
      </w:r>
    </w:p>
    <w:p w14:paraId="5CB478AB">
      <w:pPr>
        <w:spacing w:line="240" w:lineRule="auto"/>
        <w:ind w:firstLine="640"/>
        <w:jc w:val="both"/>
      </w:pPr>
      <w:r>
        <w:rPr>
          <w:rFonts w:ascii="仿宋_GB2312" w:hAnsi="仿宋_GB2312" w:eastAsia="仿宋_GB2312"/>
          <w:b w:val="0"/>
          <w:sz w:val="32"/>
        </w:rPr>
        <w:t>五、《一般公共预算财政拨款支出决算表》</w:t>
      </w:r>
    </w:p>
    <w:p w14:paraId="76460448">
      <w:pPr>
        <w:spacing w:line="240" w:lineRule="auto"/>
        <w:ind w:firstLine="640"/>
        <w:jc w:val="both"/>
      </w:pPr>
      <w:r>
        <w:rPr>
          <w:rFonts w:ascii="仿宋_GB2312" w:hAnsi="仿宋_GB2312" w:eastAsia="仿宋_GB2312"/>
          <w:b w:val="0"/>
          <w:sz w:val="32"/>
        </w:rPr>
        <w:t>六、《一般公共预算财政拨款基本支出决算表》</w:t>
      </w:r>
    </w:p>
    <w:p w14:paraId="16C8AA3D">
      <w:pPr>
        <w:spacing w:line="240" w:lineRule="auto"/>
        <w:ind w:firstLine="640"/>
        <w:jc w:val="both"/>
      </w:pPr>
      <w:r>
        <w:rPr>
          <w:rFonts w:ascii="仿宋_GB2312" w:hAnsi="仿宋_GB2312" w:eastAsia="仿宋_GB2312"/>
          <w:b w:val="0"/>
          <w:sz w:val="32"/>
        </w:rPr>
        <w:t>七、《政府性基金预算财政拨款收入支出决算表》</w:t>
      </w:r>
    </w:p>
    <w:p w14:paraId="65ABDDC2">
      <w:pPr>
        <w:spacing w:line="240" w:lineRule="auto"/>
        <w:ind w:firstLine="640"/>
        <w:jc w:val="both"/>
      </w:pPr>
      <w:r>
        <w:rPr>
          <w:rFonts w:ascii="仿宋_GB2312" w:hAnsi="仿宋_GB2312" w:eastAsia="仿宋_GB2312"/>
          <w:b w:val="0"/>
          <w:sz w:val="32"/>
        </w:rPr>
        <w:t>八、《国有资本经营预算财政拨款收入支出决算表》</w:t>
      </w:r>
    </w:p>
    <w:p w14:paraId="114FBFB5">
      <w:pPr>
        <w:spacing w:line="240" w:lineRule="auto"/>
        <w:ind w:firstLine="640"/>
        <w:jc w:val="both"/>
      </w:pPr>
      <w:r>
        <w:rPr>
          <w:rFonts w:ascii="仿宋_GB2312" w:hAnsi="仿宋_GB2312" w:eastAsia="仿宋_GB2312"/>
          <w:b w:val="0"/>
          <w:sz w:val="32"/>
        </w:rPr>
        <w:t>九、《财政拨款“三公”经费支出决算表》</w:t>
      </w:r>
    </w:p>
    <w:p w14:paraId="0BA291EA">
      <w:pPr>
        <w:spacing w:line="240" w:lineRule="auto"/>
        <w:ind w:firstLine="640"/>
        <w:jc w:val="both"/>
      </w:pPr>
    </w:p>
    <w:p w14:paraId="5F890B52">
      <w:pPr>
        <w:spacing w:line="240" w:lineRule="auto"/>
        <w:ind w:firstLine="640"/>
        <w:jc w:val="both"/>
      </w:pPr>
    </w:p>
    <w:p w14:paraId="47757AB2">
      <w:pPr>
        <w:spacing w:line="240" w:lineRule="auto"/>
        <w:ind w:firstLine="640"/>
        <w:jc w:val="both"/>
      </w:pPr>
    </w:p>
    <w:p w14:paraId="77106C9F">
      <w:pPr>
        <w:spacing w:line="240" w:lineRule="auto"/>
        <w:ind w:firstLine="640"/>
        <w:jc w:val="both"/>
      </w:pPr>
    </w:p>
    <w:p w14:paraId="5FCF35A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563698-F440-4A8F-88F1-5906D36469D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3C93B42-D2EA-41A6-AEB7-400AAF14E28D}"/>
  </w:font>
  <w:font w:name="方正小标宋_GBK">
    <w:panose1 w:val="02000000000000000000"/>
    <w:charset w:val="86"/>
    <w:family w:val="script"/>
    <w:pitch w:val="default"/>
    <w:sig w:usb0="A00002BF" w:usb1="38CF7CFA" w:usb2="00082016" w:usb3="00000000" w:csb0="00040001" w:csb1="00000000"/>
    <w:embedRegular r:id="rId3" w:fontKey="{691E51E1-4FBC-42EF-8AD7-27A46CCA5AF2}"/>
  </w:font>
  <w:font w:name="楷体_GB2312">
    <w:altName w:val="楷体"/>
    <w:panose1 w:val="00000000000000000000"/>
    <w:charset w:val="00"/>
    <w:family w:val="auto"/>
    <w:pitch w:val="default"/>
    <w:sig w:usb0="00000000" w:usb1="00000000" w:usb2="00000000" w:usb3="00000000" w:csb0="00000000" w:csb1="00000000"/>
    <w:embedRegular r:id="rId4" w:fontKey="{29511B96-BE0D-4F7F-A89A-CEDDFC5F6EDF}"/>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37F10"/>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8A1374"/>
    <w:rsid w:val="43FD08F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6113</Words>
  <Characters>7030</Characters>
  <Lines>0</Lines>
  <Paragraphs>0</Paragraphs>
  <TotalTime>0</TotalTime>
  <ScaleCrop>false</ScaleCrop>
  <LinksUpToDate>false</LinksUpToDate>
  <CharactersWithSpaces>7040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2025-09-29T03:46:41Z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