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7D5CD82A">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lang w:val="en-US" w:eastAsia="zh-CN"/>
        </w:rPr>
      </w:pPr>
      <w:r>
        <w:rPr>
          <w:rFonts w:hint="eastAsia" w:ascii="方正小标宋_GBK" w:hAnsi="宋体" w:eastAsia="方正小标宋_GBK"/>
          <w:sz w:val="44"/>
          <w:szCs w:val="44"/>
          <w:highlight w:val="none"/>
          <w:lang w:val="en-US" w:eastAsia="zh-CN"/>
        </w:rPr>
        <w:t>新疆农业广播电视学校喀什地区分校</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部门概况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6DFA8BCF">
      <w:r>
        <w:br w:type="page"/>
      </w:r>
    </w:p>
    <w:p w14:paraId="58513202">
      <w:pPr>
        <w:spacing w:line="640" w:lineRule="exact"/>
        <w:jc w:val="center"/>
        <w:outlineLvl w:val="1"/>
      </w:pPr>
      <w:r>
        <w:rPr>
          <w:rFonts w:ascii="黑体" w:hAnsi="黑体" w:eastAsia="黑体"/>
          <w:sz w:val="32"/>
        </w:rPr>
        <w:t>第一部分 部门概况</w:t>
      </w:r>
    </w:p>
    <w:p w14:paraId="6671E5B2">
      <w:pPr>
        <w:spacing w:line="640" w:lineRule="exact"/>
        <w:ind w:firstLine="640"/>
        <w:jc w:val="both"/>
        <w:outlineLvl w:val="2"/>
      </w:pPr>
      <w:r>
        <w:rPr>
          <w:rFonts w:ascii="黑体" w:hAnsi="黑体" w:eastAsia="黑体"/>
          <w:sz w:val="32"/>
        </w:rPr>
        <w:t>一、主要职能</w:t>
      </w:r>
    </w:p>
    <w:p w14:paraId="1BECCF88">
      <w:pPr>
        <w:spacing w:line="580" w:lineRule="exact"/>
        <w:ind w:firstLine="640"/>
        <w:jc w:val="both"/>
      </w:pPr>
      <w:r>
        <w:rPr>
          <w:rFonts w:ascii="仿宋_GB2312" w:hAnsi="仿宋_GB2312" w:eastAsia="仿宋_GB2312"/>
          <w:sz w:val="32"/>
        </w:rPr>
        <w:t>（1）根据我区农村经济和社会发展需要，通过广播、电视、网络等现代化教学媒体举办中专以上层次的学历教育。</w:t>
      </w:r>
    </w:p>
    <w:p w14:paraId="2A315339">
      <w:pPr>
        <w:spacing w:line="580" w:lineRule="exact"/>
        <w:ind w:firstLine="640"/>
        <w:jc w:val="both"/>
      </w:pPr>
      <w:r>
        <w:rPr>
          <w:rFonts w:ascii="仿宋_GB2312" w:hAnsi="仿宋_GB2312" w:eastAsia="仿宋_GB2312"/>
          <w:sz w:val="32"/>
        </w:rPr>
        <w:t>（2）开展绿色证书培训。</w:t>
      </w:r>
    </w:p>
    <w:p w14:paraId="02FCCBFF">
      <w:pPr>
        <w:spacing w:line="580" w:lineRule="exact"/>
        <w:ind w:firstLine="640"/>
        <w:jc w:val="both"/>
      </w:pPr>
      <w:r>
        <w:rPr>
          <w:rFonts w:ascii="仿宋_GB2312" w:hAnsi="仿宋_GB2312" w:eastAsia="仿宋_GB2312"/>
          <w:sz w:val="32"/>
        </w:rPr>
        <w:t>（3）承担农村劳动力转移就业职业培训和职业技能鉴定。</w:t>
      </w:r>
    </w:p>
    <w:p w14:paraId="53E8F174">
      <w:pPr>
        <w:spacing w:line="580" w:lineRule="exact"/>
        <w:ind w:firstLine="640"/>
        <w:jc w:val="both"/>
      </w:pPr>
      <w:r>
        <w:rPr>
          <w:rFonts w:ascii="仿宋_GB2312" w:hAnsi="仿宋_GB2312" w:eastAsia="仿宋_GB2312"/>
          <w:sz w:val="32"/>
        </w:rPr>
        <w:t>（4)完成上级交办的其他工作。</w:t>
      </w:r>
    </w:p>
    <w:p w14:paraId="598C8C40">
      <w:pPr>
        <w:spacing w:line="640" w:lineRule="exact"/>
        <w:ind w:firstLine="640"/>
        <w:jc w:val="both"/>
        <w:outlineLvl w:val="2"/>
      </w:pPr>
      <w:r>
        <w:rPr>
          <w:rFonts w:ascii="黑体" w:hAnsi="黑体" w:eastAsia="黑体"/>
          <w:sz w:val="32"/>
        </w:rPr>
        <w:t>二、机构设置及人员情况</w:t>
      </w:r>
    </w:p>
    <w:p w14:paraId="47430537">
      <w:pPr>
        <w:spacing w:line="580" w:lineRule="exact"/>
        <w:ind w:firstLine="640"/>
        <w:jc w:val="both"/>
      </w:pPr>
      <w:r>
        <w:rPr>
          <w:rFonts w:ascii="仿宋_GB2312" w:hAnsi="仿宋_GB2312" w:eastAsia="仿宋_GB2312"/>
          <w:sz w:val="32"/>
        </w:rPr>
        <w:t>新疆农业广播电视学校喀什地区分校2024年度，实有人数10人，其中：在职人员6人，增加0人；离休人员0人，增加0人；退休人员4人,增加0人。</w:t>
      </w:r>
    </w:p>
    <w:p w14:paraId="44DB47FC">
      <w:pPr>
        <w:spacing w:line="580" w:lineRule="exact"/>
        <w:ind w:firstLine="640"/>
        <w:jc w:val="both"/>
      </w:pPr>
      <w:r>
        <w:rPr>
          <w:rFonts w:ascii="仿宋_GB2312" w:hAnsi="仿宋_GB2312" w:eastAsia="仿宋_GB2312"/>
          <w:sz w:val="32"/>
        </w:rPr>
        <w:t>新疆农业广播电视学校喀什地区分校无下属预算单位，下设</w:t>
      </w:r>
      <w:r>
        <w:rPr>
          <w:rFonts w:hint="eastAsia" w:ascii="仿宋_GB2312" w:hAnsi="仿宋_GB2312" w:eastAsia="仿宋_GB2312"/>
          <w:sz w:val="32"/>
          <w:lang w:val="en-US" w:eastAsia="zh-CN"/>
        </w:rPr>
        <w:t>2</w:t>
      </w:r>
      <w:r>
        <w:rPr>
          <w:rFonts w:ascii="仿宋_GB2312" w:hAnsi="仿宋_GB2312" w:eastAsia="仿宋_GB2312"/>
          <w:sz w:val="32"/>
        </w:rPr>
        <w:t>个科室，分别是：办公室</w:t>
      </w:r>
      <w:r>
        <w:rPr>
          <w:rFonts w:hint="eastAsia" w:ascii="仿宋_GB2312" w:hAnsi="仿宋_GB2312" w:eastAsia="仿宋_GB2312"/>
          <w:sz w:val="32"/>
          <w:lang w:eastAsia="zh-CN"/>
        </w:rPr>
        <w:t>、</w:t>
      </w:r>
      <w:r>
        <w:rPr>
          <w:rFonts w:ascii="仿宋_GB2312" w:hAnsi="仿宋_GB2312" w:eastAsia="仿宋_GB2312"/>
          <w:sz w:val="32"/>
        </w:rPr>
        <w:t>学籍教材科。</w:t>
      </w:r>
    </w:p>
    <w:p w14:paraId="41645C38">
      <w:r>
        <w:br w:type="page"/>
      </w:r>
    </w:p>
    <w:p w14:paraId="60AC74B7">
      <w:pPr>
        <w:spacing w:line="240" w:lineRule="auto"/>
        <w:jc w:val="center"/>
        <w:outlineLvl w:val="1"/>
      </w:pPr>
      <w:r>
        <w:rPr>
          <w:rFonts w:ascii="黑体" w:hAnsi="黑体" w:eastAsia="黑体"/>
          <w:sz w:val="32"/>
        </w:rPr>
        <w:t>第二部分 部门决算情况说明</w:t>
      </w:r>
    </w:p>
    <w:p w14:paraId="488592DE">
      <w:pPr>
        <w:spacing w:line="640" w:lineRule="exact"/>
        <w:ind w:firstLine="640"/>
        <w:jc w:val="both"/>
        <w:outlineLvl w:val="2"/>
      </w:pPr>
      <w:r>
        <w:rPr>
          <w:rFonts w:ascii="黑体" w:hAnsi="黑体" w:eastAsia="黑体"/>
          <w:sz w:val="32"/>
        </w:rPr>
        <w:t>一、收入支出决算总体情况说明</w:t>
      </w:r>
    </w:p>
    <w:p w14:paraId="1E5D7F19">
      <w:pPr>
        <w:spacing w:line="580" w:lineRule="exact"/>
        <w:ind w:firstLine="640"/>
        <w:jc w:val="both"/>
      </w:pPr>
      <w:r>
        <w:rPr>
          <w:rFonts w:ascii="仿宋_GB2312" w:hAnsi="仿宋_GB2312" w:eastAsia="仿宋_GB2312"/>
          <w:b/>
          <w:sz w:val="32"/>
        </w:rPr>
        <w:t>2024年度收入总计145.80万元，</w:t>
      </w:r>
      <w:r>
        <w:rPr>
          <w:rFonts w:ascii="仿宋_GB2312" w:hAnsi="仿宋_GB2312" w:eastAsia="仿宋_GB2312"/>
          <w:b w:val="0"/>
          <w:sz w:val="32"/>
        </w:rPr>
        <w:t>其中：本年收入合计145.80万元，使用非财政拨款结余（含专用结余）0.00万元，年初结转和结余0.00万元。</w:t>
      </w:r>
    </w:p>
    <w:p w14:paraId="5F6A8A94">
      <w:pPr>
        <w:spacing w:line="580" w:lineRule="exact"/>
        <w:ind w:firstLine="640"/>
        <w:jc w:val="both"/>
      </w:pPr>
      <w:r>
        <w:rPr>
          <w:rFonts w:ascii="仿宋_GB2312" w:hAnsi="仿宋_GB2312" w:eastAsia="仿宋_GB2312"/>
          <w:b/>
          <w:sz w:val="32"/>
        </w:rPr>
        <w:t>2024年度支出总计145.80万元，</w:t>
      </w:r>
      <w:r>
        <w:rPr>
          <w:rFonts w:ascii="仿宋_GB2312" w:hAnsi="仿宋_GB2312" w:eastAsia="仿宋_GB2312"/>
          <w:b w:val="0"/>
          <w:sz w:val="32"/>
        </w:rPr>
        <w:t>其中：本年支出合计145.80万元，结余分配0.00万元，年末结转和结余0.00万元。</w:t>
      </w:r>
    </w:p>
    <w:p w14:paraId="4AD15A29">
      <w:pPr>
        <w:spacing w:line="580" w:lineRule="exact"/>
        <w:ind w:firstLine="640"/>
        <w:jc w:val="both"/>
      </w:pPr>
      <w:r>
        <w:rPr>
          <w:rFonts w:ascii="仿宋_GB2312" w:hAnsi="仿宋_GB2312" w:eastAsia="仿宋_GB2312"/>
          <w:b w:val="0"/>
          <w:sz w:val="32"/>
        </w:rPr>
        <w:t>收入支出总体与上年相比，减少6.27万元，下降4.12%，主要原因是：本年减少为民办实事工作个人补助经费和退休职业年金。</w:t>
      </w:r>
    </w:p>
    <w:p w14:paraId="7B44119C">
      <w:pPr>
        <w:spacing w:line="640" w:lineRule="exact"/>
        <w:ind w:firstLine="640"/>
        <w:jc w:val="both"/>
        <w:outlineLvl w:val="2"/>
      </w:pPr>
      <w:r>
        <w:rPr>
          <w:rFonts w:ascii="黑体" w:hAnsi="黑体" w:eastAsia="黑体"/>
          <w:sz w:val="32"/>
        </w:rPr>
        <w:t>二、收入决算情况说明</w:t>
      </w:r>
    </w:p>
    <w:p w14:paraId="2E279EE2">
      <w:pPr>
        <w:spacing w:line="580" w:lineRule="exact"/>
        <w:ind w:firstLine="640"/>
        <w:jc w:val="both"/>
      </w:pPr>
      <w:r>
        <w:rPr>
          <w:rFonts w:ascii="仿宋_GB2312" w:hAnsi="仿宋_GB2312" w:eastAsia="仿宋_GB2312"/>
          <w:b/>
          <w:sz w:val="32"/>
        </w:rPr>
        <w:t>本年收入145.80万元，</w:t>
      </w:r>
      <w:r>
        <w:rPr>
          <w:rFonts w:ascii="仿宋_GB2312" w:hAnsi="仿宋_GB2312" w:eastAsia="仿宋_GB2312"/>
          <w:b w:val="0"/>
          <w:sz w:val="32"/>
        </w:rPr>
        <w:t>其中：财政拨款收入145.80万元，占100.00%；上级补助收入0.00万元，占0.00%；事业收入0.00万元，占0.00%；经营收入0.00万元，占0.00%；附属单位上缴收入0.00万元，占0.00%；其他收入0.00万元，占0.00%。</w:t>
      </w:r>
    </w:p>
    <w:p w14:paraId="650C75C2">
      <w:pPr>
        <w:spacing w:line="640" w:lineRule="exact"/>
        <w:ind w:firstLine="640"/>
        <w:jc w:val="both"/>
        <w:outlineLvl w:val="2"/>
      </w:pPr>
      <w:r>
        <w:rPr>
          <w:rFonts w:ascii="黑体" w:hAnsi="黑体" w:eastAsia="黑体"/>
          <w:sz w:val="32"/>
        </w:rPr>
        <w:t>三、支出决算情况说明</w:t>
      </w:r>
    </w:p>
    <w:p w14:paraId="2B29C520">
      <w:pPr>
        <w:spacing w:line="580" w:lineRule="exact"/>
        <w:ind w:firstLine="640"/>
        <w:jc w:val="both"/>
      </w:pPr>
      <w:r>
        <w:rPr>
          <w:rFonts w:ascii="仿宋_GB2312" w:hAnsi="仿宋_GB2312" w:eastAsia="仿宋_GB2312"/>
          <w:b/>
          <w:sz w:val="32"/>
        </w:rPr>
        <w:t>本年支出145.80万元，</w:t>
      </w:r>
      <w:r>
        <w:rPr>
          <w:rFonts w:ascii="仿宋_GB2312" w:hAnsi="仿宋_GB2312" w:eastAsia="仿宋_GB2312"/>
          <w:b w:val="0"/>
          <w:sz w:val="32"/>
        </w:rPr>
        <w:t>其中：基本支出145.80万元，占100.00%；项目支出0.00万元，占0.00%；上缴上级支出0.00万元，占0.00%；经营支出0.00万元，占0.00%；对附属单位补助支出0.00万元，占0.00%。</w:t>
      </w:r>
    </w:p>
    <w:p w14:paraId="17E84C18">
      <w:pPr>
        <w:spacing w:line="640" w:lineRule="exact"/>
        <w:ind w:firstLine="640"/>
        <w:jc w:val="both"/>
        <w:outlineLvl w:val="2"/>
      </w:pPr>
      <w:r>
        <w:rPr>
          <w:rFonts w:ascii="黑体" w:hAnsi="黑体" w:eastAsia="黑体"/>
          <w:sz w:val="32"/>
        </w:rPr>
        <w:t>四、财政拨款收入支出决算总体情况说明</w:t>
      </w:r>
    </w:p>
    <w:p w14:paraId="70C0C6A3">
      <w:pPr>
        <w:spacing w:line="580" w:lineRule="exact"/>
        <w:ind w:firstLine="640"/>
        <w:jc w:val="both"/>
      </w:pPr>
      <w:r>
        <w:rPr>
          <w:rFonts w:ascii="仿宋_GB2312" w:hAnsi="仿宋_GB2312" w:eastAsia="仿宋_GB2312"/>
          <w:b/>
          <w:sz w:val="32"/>
        </w:rPr>
        <w:t>2024年度财政拨款收入总计145.80万元，</w:t>
      </w:r>
      <w:r>
        <w:rPr>
          <w:rFonts w:ascii="仿宋_GB2312" w:hAnsi="仿宋_GB2312" w:eastAsia="仿宋_GB2312"/>
          <w:b w:val="0"/>
          <w:sz w:val="32"/>
        </w:rPr>
        <w:t>其中：年初财政拨款结转和结余0.00万元，本年财政拨款收入145.80万元。</w:t>
      </w:r>
      <w:r>
        <w:rPr>
          <w:rFonts w:ascii="仿宋_GB2312" w:hAnsi="仿宋_GB2312" w:eastAsia="仿宋_GB2312"/>
          <w:b/>
          <w:sz w:val="32"/>
        </w:rPr>
        <w:t>财政拨款支出总计145.80万元，</w:t>
      </w:r>
      <w:r>
        <w:rPr>
          <w:rFonts w:ascii="仿宋_GB2312" w:hAnsi="仿宋_GB2312" w:eastAsia="仿宋_GB2312"/>
          <w:b w:val="0"/>
          <w:sz w:val="32"/>
        </w:rPr>
        <w:t>其中：年末财政拨款结转和结余0.00万元，本年财政拨款支出145.80万元。</w:t>
      </w:r>
    </w:p>
    <w:p w14:paraId="2F238250">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减少6.27万元，下降4.12%，主要原因是：本年减少为民办实事工作个人补助经费和退休职业年金。</w:t>
      </w:r>
      <w:r>
        <w:rPr>
          <w:rFonts w:ascii="仿宋_GB2312" w:hAnsi="仿宋_GB2312" w:eastAsia="仿宋_GB2312"/>
          <w:b/>
          <w:sz w:val="32"/>
        </w:rPr>
        <w:t>与年初预算相比，</w:t>
      </w:r>
      <w:r>
        <w:rPr>
          <w:rFonts w:ascii="仿宋_GB2312" w:hAnsi="仿宋_GB2312" w:eastAsia="仿宋_GB2312"/>
          <w:b w:val="0"/>
          <w:sz w:val="32"/>
        </w:rPr>
        <w:t>年初预算数137.02万元，决算数145.80万元，预决算差异率6.41%，主要原因是：年中追加人员工资、社保、公积金基数调增部分资金，导致预决算存在差异。</w:t>
      </w:r>
    </w:p>
    <w:p w14:paraId="2F321B56">
      <w:pPr>
        <w:spacing w:line="640" w:lineRule="exact"/>
        <w:ind w:firstLine="640"/>
        <w:jc w:val="both"/>
        <w:outlineLvl w:val="2"/>
      </w:pPr>
      <w:r>
        <w:rPr>
          <w:rFonts w:ascii="黑体" w:hAnsi="黑体" w:eastAsia="黑体"/>
          <w:sz w:val="32"/>
        </w:rPr>
        <w:t>五、一般公共预算财政拨款支出决算情况说明</w:t>
      </w:r>
    </w:p>
    <w:p w14:paraId="101B517A">
      <w:pPr>
        <w:spacing w:line="640" w:lineRule="exact"/>
        <w:ind w:firstLine="640"/>
        <w:jc w:val="both"/>
        <w:outlineLvl w:val="3"/>
      </w:pPr>
      <w:r>
        <w:rPr>
          <w:rFonts w:ascii="楷体_GB2312" w:hAnsi="楷体_GB2312" w:eastAsia="楷体_GB2312"/>
          <w:b/>
          <w:sz w:val="32"/>
        </w:rPr>
        <w:t>（一）一般公共预算财政拨款支出决算总体情况</w:t>
      </w:r>
    </w:p>
    <w:p w14:paraId="53BAC839">
      <w:pPr>
        <w:spacing w:line="580" w:lineRule="exact"/>
        <w:ind w:firstLine="640"/>
        <w:jc w:val="both"/>
      </w:pPr>
      <w:r>
        <w:rPr>
          <w:rFonts w:ascii="仿宋_GB2312" w:hAnsi="仿宋_GB2312" w:eastAsia="仿宋_GB2312"/>
          <w:b/>
          <w:sz w:val="32"/>
        </w:rPr>
        <w:t>2024年度一般公共预算财政拨款支出145.80万元，</w:t>
      </w:r>
      <w:r>
        <w:rPr>
          <w:rFonts w:ascii="仿宋_GB2312" w:hAnsi="仿宋_GB2312" w:eastAsia="仿宋_GB2312"/>
          <w:b w:val="0"/>
          <w:sz w:val="32"/>
        </w:rPr>
        <w:t>占本年支出合计的100.00%。</w:t>
      </w:r>
      <w:r>
        <w:rPr>
          <w:rFonts w:ascii="仿宋_GB2312" w:hAnsi="仿宋_GB2312" w:eastAsia="仿宋_GB2312"/>
          <w:b/>
          <w:sz w:val="32"/>
        </w:rPr>
        <w:t>与上年相比，</w:t>
      </w:r>
      <w:r>
        <w:rPr>
          <w:rFonts w:ascii="仿宋_GB2312" w:hAnsi="仿宋_GB2312" w:eastAsia="仿宋_GB2312"/>
          <w:b w:val="0"/>
          <w:sz w:val="32"/>
        </w:rPr>
        <w:t>减少6.27万元，下降4.12%，主要原因是：本年减少为民办实事工作个人补助经费和退休职业年金。</w:t>
      </w:r>
      <w:r>
        <w:rPr>
          <w:rFonts w:ascii="仿宋_GB2312" w:hAnsi="仿宋_GB2312" w:eastAsia="仿宋_GB2312"/>
          <w:b/>
          <w:sz w:val="32"/>
        </w:rPr>
        <w:t>与年初预算相比,</w:t>
      </w:r>
      <w:r>
        <w:rPr>
          <w:rFonts w:ascii="仿宋_GB2312" w:hAnsi="仿宋_GB2312" w:eastAsia="仿宋_GB2312"/>
          <w:b w:val="0"/>
          <w:sz w:val="32"/>
        </w:rPr>
        <w:t>年初预算数137.02万元，决算数145.80万元，预决算差异率6.41%，主要原因是：年中追加人员工资、社保、公积金基数调增部分资金，导致预决算存在差异。</w:t>
      </w:r>
    </w:p>
    <w:p w14:paraId="58A3D58B">
      <w:pPr>
        <w:spacing w:line="640" w:lineRule="exact"/>
        <w:ind w:firstLine="640"/>
        <w:jc w:val="both"/>
        <w:outlineLvl w:val="3"/>
      </w:pPr>
      <w:r>
        <w:rPr>
          <w:rFonts w:ascii="楷体_GB2312" w:hAnsi="楷体_GB2312" w:eastAsia="楷体_GB2312"/>
          <w:b/>
          <w:sz w:val="32"/>
        </w:rPr>
        <w:t>（二）一般公共预算财政拨款支出决算结构情况</w:t>
      </w:r>
    </w:p>
    <w:p w14:paraId="689D851A">
      <w:pPr>
        <w:spacing w:line="580" w:lineRule="exact"/>
        <w:ind w:firstLine="640"/>
        <w:jc w:val="both"/>
      </w:pPr>
      <w:r>
        <w:rPr>
          <w:rFonts w:ascii="仿宋_GB2312" w:hAnsi="仿宋_GB2312" w:eastAsia="仿宋_GB2312"/>
          <w:b w:val="0"/>
          <w:sz w:val="32"/>
        </w:rPr>
        <w:t>1.一般公共服务支出(类)2.20万元,占1.51%。</w:t>
      </w:r>
    </w:p>
    <w:p w14:paraId="18845908">
      <w:pPr>
        <w:spacing w:line="580" w:lineRule="exact"/>
        <w:ind w:firstLine="640"/>
        <w:jc w:val="both"/>
      </w:pPr>
      <w:r>
        <w:rPr>
          <w:rFonts w:ascii="仿宋_GB2312" w:hAnsi="仿宋_GB2312" w:eastAsia="仿宋_GB2312"/>
          <w:b w:val="0"/>
          <w:sz w:val="32"/>
        </w:rPr>
        <w:t>2.社会保障和就业支出(类)19.59万元,占13.44%。</w:t>
      </w:r>
    </w:p>
    <w:p w14:paraId="03C47DC8">
      <w:pPr>
        <w:spacing w:line="580" w:lineRule="exact"/>
        <w:ind w:firstLine="640"/>
        <w:jc w:val="both"/>
      </w:pPr>
      <w:r>
        <w:rPr>
          <w:rFonts w:ascii="仿宋_GB2312" w:hAnsi="仿宋_GB2312" w:eastAsia="仿宋_GB2312"/>
          <w:b w:val="0"/>
          <w:sz w:val="32"/>
        </w:rPr>
        <w:t>3.卫生健康支出(类)5.05万元,占3.46%。</w:t>
      </w:r>
    </w:p>
    <w:p w14:paraId="00031AB2">
      <w:pPr>
        <w:spacing w:line="580" w:lineRule="exact"/>
        <w:ind w:firstLine="640"/>
        <w:jc w:val="both"/>
      </w:pPr>
      <w:r>
        <w:rPr>
          <w:rFonts w:ascii="仿宋_GB2312" w:hAnsi="仿宋_GB2312" w:eastAsia="仿宋_GB2312"/>
          <w:b w:val="0"/>
          <w:sz w:val="32"/>
        </w:rPr>
        <w:t>4.农林水支出(类)108.55万元,占74.45%。</w:t>
      </w:r>
    </w:p>
    <w:p w14:paraId="13FB7684">
      <w:pPr>
        <w:spacing w:line="580" w:lineRule="exact"/>
        <w:ind w:firstLine="640"/>
        <w:jc w:val="both"/>
      </w:pPr>
      <w:r>
        <w:rPr>
          <w:rFonts w:ascii="仿宋_GB2312" w:hAnsi="仿宋_GB2312" w:eastAsia="仿宋_GB2312"/>
          <w:b w:val="0"/>
          <w:sz w:val="32"/>
        </w:rPr>
        <w:t>5.住房保障支出(类)10.42万元,占7.15%。</w:t>
      </w:r>
    </w:p>
    <w:p w14:paraId="0B85F6A4">
      <w:pPr>
        <w:spacing w:line="640" w:lineRule="exact"/>
        <w:ind w:firstLine="640"/>
        <w:jc w:val="both"/>
        <w:outlineLvl w:val="3"/>
      </w:pPr>
      <w:r>
        <w:rPr>
          <w:rFonts w:ascii="楷体_GB2312" w:hAnsi="楷体_GB2312" w:eastAsia="楷体_GB2312"/>
          <w:b/>
          <w:sz w:val="32"/>
        </w:rPr>
        <w:t>（三）一般公共预算财政拨款支出决算具体情况</w:t>
      </w:r>
    </w:p>
    <w:p w14:paraId="62482670">
      <w:pPr>
        <w:spacing w:line="580" w:lineRule="exact"/>
        <w:ind w:firstLine="640"/>
        <w:jc w:val="both"/>
      </w:pPr>
      <w:r>
        <w:rPr>
          <w:rFonts w:ascii="仿宋_GB2312" w:hAnsi="仿宋_GB2312" w:eastAsia="仿宋_GB2312"/>
          <w:b w:val="0"/>
          <w:sz w:val="32"/>
        </w:rPr>
        <w:t>1.一般公共服务支出(类)统战事务(款)宗教事务(项):支出决算数为2.20万元，比上年决算增加1.71万元，增长348.98%,主要原因是：本年科目调整，为民办实事工作个人补助经费上年在事业运行科目列支，本年在此科目列支，导致经费较上年增加。</w:t>
      </w:r>
    </w:p>
    <w:p w14:paraId="02A1A330">
      <w:pPr>
        <w:spacing w:line="580" w:lineRule="exact"/>
        <w:ind w:firstLine="640"/>
        <w:jc w:val="both"/>
      </w:pPr>
      <w:r>
        <w:rPr>
          <w:rFonts w:ascii="仿宋_GB2312" w:hAnsi="仿宋_GB2312" w:eastAsia="仿宋_GB2312"/>
          <w:b w:val="0"/>
          <w:sz w:val="32"/>
        </w:rPr>
        <w:t>2.社会保障和就业支出(类)行政事业单位养老支出(款)事业单位离退休(项):支出决算数为7.37万元，比上年决算增加1.94万元，增长35.73%,主要原因是：本年退休人员基础绩效奖增加，导致事业单位离退休支出较上年增加。</w:t>
      </w:r>
    </w:p>
    <w:p w14:paraId="579B45EB">
      <w:pPr>
        <w:spacing w:line="580" w:lineRule="exact"/>
        <w:ind w:firstLine="640"/>
        <w:jc w:val="both"/>
      </w:pPr>
      <w:r>
        <w:rPr>
          <w:rFonts w:ascii="仿宋_GB2312" w:hAnsi="仿宋_GB2312" w:eastAsia="仿宋_GB2312"/>
          <w:b w:val="0"/>
          <w:sz w:val="32"/>
        </w:rPr>
        <w:t>3.社会保障和就业支出(类)行政事业单位养老支出(款)机关事业单位基本养老保险缴费支出(项):支出决算数为12.22万元，比上年决算增加0.25万元，增长2.09%,主要原因是：本年在职人员工资基数调增，养老缴费基数上涨，相应支出增加。</w:t>
      </w:r>
    </w:p>
    <w:p w14:paraId="605CBEDE">
      <w:pPr>
        <w:spacing w:line="580" w:lineRule="exact"/>
        <w:ind w:firstLine="640"/>
        <w:jc w:val="both"/>
      </w:pPr>
      <w:r>
        <w:rPr>
          <w:rFonts w:ascii="仿宋_GB2312" w:hAnsi="仿宋_GB2312" w:eastAsia="仿宋_GB2312"/>
          <w:b w:val="0"/>
          <w:sz w:val="32"/>
        </w:rPr>
        <w:t>4.社会保障和就业支出(类)行政事业单位养老支出(款)机关事业单位职业年金缴费支出(项):支出决算数为0.00万元，比上年决算减少7.78万元，下降100.00%,主要原因是：本年无新增退休人员，导致事业单位职业年金缴费支出较上年减少。</w:t>
      </w:r>
    </w:p>
    <w:p w14:paraId="46013D48">
      <w:pPr>
        <w:spacing w:line="580" w:lineRule="exact"/>
        <w:ind w:firstLine="640"/>
        <w:jc w:val="both"/>
      </w:pPr>
      <w:r>
        <w:rPr>
          <w:rFonts w:ascii="仿宋_GB2312" w:hAnsi="仿宋_GB2312" w:eastAsia="仿宋_GB2312"/>
          <w:b w:val="0"/>
          <w:sz w:val="32"/>
        </w:rPr>
        <w:t>5.卫生健康支出(类)行政事业单位医疗(款)事业单位医疗(项):支出决算数为5.05万元，比上年决算减少0.27万元，下降5.08%,主要原因是：因退休人员医疗保险制度改革，退休人员基本医疗不再由单位缴纳，导致经费较上年减少。</w:t>
      </w:r>
    </w:p>
    <w:p w14:paraId="6660C11E">
      <w:pPr>
        <w:spacing w:line="580" w:lineRule="exact"/>
        <w:ind w:firstLine="640"/>
        <w:jc w:val="both"/>
      </w:pPr>
      <w:r>
        <w:rPr>
          <w:rFonts w:ascii="仿宋_GB2312" w:hAnsi="仿宋_GB2312" w:eastAsia="仿宋_GB2312"/>
          <w:b w:val="0"/>
          <w:sz w:val="32"/>
        </w:rPr>
        <w:t>6.农林水支出(类)农业农村(款)事业运行(项):支出决算数为108.55万元，比上年决算减少2.61万元，下降2.35%,主要原因是：本年减少为民办实事工作个人补助经费，导致相关人员经费减少。</w:t>
      </w:r>
    </w:p>
    <w:p w14:paraId="5241A8C1">
      <w:pPr>
        <w:spacing w:line="580" w:lineRule="exact"/>
        <w:ind w:firstLine="640"/>
        <w:jc w:val="both"/>
      </w:pPr>
      <w:r>
        <w:rPr>
          <w:rFonts w:ascii="仿宋_GB2312" w:hAnsi="仿宋_GB2312" w:eastAsia="仿宋_GB2312"/>
          <w:b w:val="0"/>
          <w:sz w:val="32"/>
        </w:rPr>
        <w:t>7.住房保障支出(类)住房改革支出(款)住房公积金(项):支出决算数为10.42万元，比上年决算增加0.51万元，增长5.15%,主要原因是：本年在职人员工资基数调增，公积金缴费基数上涨，相应支出增加。</w:t>
      </w:r>
    </w:p>
    <w:p w14:paraId="1A3E461B">
      <w:pPr>
        <w:spacing w:line="640" w:lineRule="exact"/>
        <w:ind w:firstLine="640"/>
        <w:jc w:val="both"/>
        <w:outlineLvl w:val="2"/>
      </w:pPr>
      <w:r>
        <w:rPr>
          <w:rFonts w:ascii="黑体" w:hAnsi="黑体" w:eastAsia="黑体"/>
          <w:sz w:val="32"/>
        </w:rPr>
        <w:t>六、一般公共预算财政拨款基本支出决算情况说明</w:t>
      </w:r>
    </w:p>
    <w:p w14:paraId="624C5913">
      <w:pPr>
        <w:spacing w:line="580" w:lineRule="exact"/>
        <w:ind w:firstLine="640"/>
        <w:jc w:val="both"/>
      </w:pPr>
      <w:r>
        <w:rPr>
          <w:rFonts w:ascii="仿宋_GB2312" w:hAnsi="仿宋_GB2312" w:eastAsia="仿宋_GB2312"/>
          <w:b w:val="0"/>
          <w:sz w:val="32"/>
        </w:rPr>
        <w:t>2024年度一般公共预算财政拨款基本支出145.80万元，其中：</w:t>
      </w:r>
      <w:r>
        <w:rPr>
          <w:rFonts w:ascii="仿宋_GB2312" w:hAnsi="仿宋_GB2312" w:eastAsia="仿宋_GB2312"/>
          <w:b/>
          <w:sz w:val="32"/>
        </w:rPr>
        <w:t>人员经费138.15万元，</w:t>
      </w:r>
      <w:r>
        <w:rPr>
          <w:rFonts w:ascii="仿宋_GB2312" w:hAnsi="仿宋_GB2312" w:eastAsia="仿宋_GB2312"/>
          <w:b w:val="0"/>
          <w:sz w:val="32"/>
        </w:rPr>
        <w:t>包括：基本工资、津贴补贴、奖金、绩效工资、机关事业单位基本养老保险缴费、职工基本医疗保险缴费、其他社会保障缴费、住房公积金、退休费、生活补助。</w:t>
      </w:r>
    </w:p>
    <w:p w14:paraId="705C3FC8">
      <w:pPr>
        <w:spacing w:line="580" w:lineRule="exact"/>
        <w:ind w:firstLine="640"/>
        <w:jc w:val="both"/>
      </w:pPr>
      <w:r>
        <w:rPr>
          <w:rFonts w:ascii="仿宋_GB2312" w:hAnsi="仿宋_GB2312" w:eastAsia="仿宋_GB2312"/>
          <w:b/>
          <w:sz w:val="32"/>
        </w:rPr>
        <w:t>公用经费7.66万元，</w:t>
      </w:r>
      <w:r>
        <w:rPr>
          <w:rFonts w:ascii="仿宋_GB2312" w:hAnsi="仿宋_GB2312" w:eastAsia="仿宋_GB2312"/>
          <w:b w:val="0"/>
          <w:sz w:val="32"/>
        </w:rPr>
        <w:t>包括：办公费、水费、电费、邮电费、差旅费、专用材料费、工会经费、公务用车运行维护费、其他交通费用。</w:t>
      </w:r>
    </w:p>
    <w:p w14:paraId="7D735AB8">
      <w:pPr>
        <w:spacing w:line="640" w:lineRule="exact"/>
        <w:ind w:firstLine="640"/>
        <w:jc w:val="both"/>
        <w:outlineLvl w:val="2"/>
      </w:pPr>
      <w:r>
        <w:rPr>
          <w:rFonts w:ascii="黑体" w:hAnsi="黑体" w:eastAsia="黑体"/>
          <w:sz w:val="32"/>
        </w:rPr>
        <w:t>七、政府性基金预算财政拨款收入支出决算情况说明</w:t>
      </w:r>
    </w:p>
    <w:p w14:paraId="4980DBE3">
      <w:pPr>
        <w:spacing w:line="580" w:lineRule="exact"/>
        <w:ind w:firstLine="640"/>
        <w:jc w:val="both"/>
      </w:pPr>
      <w:r>
        <w:rPr>
          <w:rFonts w:ascii="仿宋_GB2312" w:hAnsi="仿宋_GB2312" w:eastAsia="仿宋_GB2312"/>
          <w:b w:val="0"/>
          <w:sz w:val="32"/>
        </w:rPr>
        <w:t>本部门本年度无政府性基金预算财政拨款收入、支出及结转和结余，政府性基金预算财政拨款收入支出决算表为空表。</w:t>
      </w:r>
    </w:p>
    <w:p w14:paraId="7826B015">
      <w:pPr>
        <w:spacing w:line="640" w:lineRule="exact"/>
        <w:ind w:firstLine="640"/>
        <w:jc w:val="both"/>
        <w:outlineLvl w:val="2"/>
      </w:pPr>
      <w:r>
        <w:rPr>
          <w:rFonts w:ascii="黑体" w:hAnsi="黑体" w:eastAsia="黑体"/>
          <w:sz w:val="32"/>
        </w:rPr>
        <w:t>八、国有资本经营预算财政拨款收入支出决算情况说明</w:t>
      </w:r>
    </w:p>
    <w:p w14:paraId="4BB33604">
      <w:pPr>
        <w:spacing w:line="580" w:lineRule="exact"/>
        <w:ind w:firstLine="640"/>
        <w:jc w:val="both"/>
      </w:pPr>
      <w:r>
        <w:rPr>
          <w:rFonts w:ascii="仿宋_GB2312" w:hAnsi="仿宋_GB2312" w:eastAsia="仿宋_GB2312"/>
          <w:b w:val="0"/>
          <w:sz w:val="32"/>
        </w:rPr>
        <w:t>本部门本年度无国有资本经营预算财政拨款收入、支出及结转和结余，国有资本经营预算财政拨款收入支出决算表为空表。</w:t>
      </w:r>
    </w:p>
    <w:p w14:paraId="50B6BB07">
      <w:pPr>
        <w:spacing w:line="640" w:lineRule="exact"/>
        <w:ind w:firstLine="640"/>
        <w:jc w:val="both"/>
        <w:outlineLvl w:val="2"/>
      </w:pPr>
      <w:r>
        <w:rPr>
          <w:rFonts w:ascii="黑体" w:hAnsi="黑体" w:eastAsia="黑体"/>
          <w:sz w:val="32"/>
        </w:rPr>
        <w:t>九、财政拨款“三公”经费支出决算情况说明</w:t>
      </w:r>
    </w:p>
    <w:p w14:paraId="082D8051">
      <w:pPr>
        <w:spacing w:line="580" w:lineRule="exact"/>
        <w:ind w:firstLine="640"/>
        <w:jc w:val="both"/>
      </w:pPr>
      <w:r>
        <w:rPr>
          <w:rFonts w:ascii="仿宋_GB2312" w:hAnsi="仿宋_GB2312" w:eastAsia="仿宋_GB2312"/>
          <w:b/>
          <w:sz w:val="32"/>
        </w:rPr>
        <w:t>2024年度财政拨款“三公”经费支出1.30万元，</w:t>
      </w:r>
      <w:r>
        <w:rPr>
          <w:rFonts w:ascii="仿宋_GB2312" w:hAnsi="仿宋_GB2312" w:eastAsia="仿宋_GB2312"/>
          <w:b w:val="0"/>
          <w:sz w:val="32"/>
        </w:rPr>
        <w:t>比上年增加0.00万元，增长0.00%，主要原因是：本部门财政拨款“三公”经费与上年一致无变化。其中：因公出国（境）费支出0.00万元，占0.00%，比上年增加0.00万元，增长0.00%，主要原因是：2023年与2024年均未安排因公出国（境）费支出。公务用车购置及运行维护费支出1.30万元，占100.00%，比上年增加0.00万元，增长0.00%，主要原因是：本部门公务用车运行维护费与上年一致无变化。公务接待费支出0.00万元，占0.00%，比上年增加0.00万元，增长0.00%，主要原因是：</w:t>
      </w:r>
      <w:bookmarkStart w:id="0" w:name="_GoBack"/>
      <w:r>
        <w:rPr>
          <w:rFonts w:ascii="仿宋_GB2312" w:hAnsi="仿宋_GB2312" w:eastAsia="仿宋_GB2312"/>
          <w:b w:val="0"/>
          <w:sz w:val="32"/>
        </w:rPr>
        <w:t>2023</w:t>
      </w:r>
      <w:bookmarkEnd w:id="0"/>
      <w:r>
        <w:rPr>
          <w:rFonts w:ascii="仿宋_GB2312" w:hAnsi="仿宋_GB2312" w:eastAsia="仿宋_GB2312"/>
          <w:b w:val="0"/>
          <w:sz w:val="32"/>
        </w:rPr>
        <w:t>年与2024年均未安排公务接待费支出。</w:t>
      </w:r>
    </w:p>
    <w:p w14:paraId="43B1F894">
      <w:pPr>
        <w:spacing w:line="580" w:lineRule="exact"/>
        <w:ind w:firstLine="640"/>
        <w:jc w:val="both"/>
      </w:pPr>
      <w:r>
        <w:rPr>
          <w:rFonts w:ascii="仿宋_GB2312" w:hAnsi="仿宋_GB2312" w:eastAsia="仿宋_GB2312"/>
          <w:b/>
          <w:sz w:val="32"/>
        </w:rPr>
        <w:t>具体情况如下：</w:t>
      </w:r>
    </w:p>
    <w:p w14:paraId="3BB0A591">
      <w:pPr>
        <w:spacing w:line="580" w:lineRule="exact"/>
        <w:ind w:firstLine="640"/>
        <w:jc w:val="both"/>
      </w:pPr>
      <w:r>
        <w:rPr>
          <w:rFonts w:ascii="仿宋_GB2312" w:hAnsi="仿宋_GB2312" w:eastAsia="仿宋_GB2312"/>
          <w:b w:val="0"/>
          <w:sz w:val="32"/>
        </w:rPr>
        <w:t>因公出国（境）费支出0.00万元，开支内容包括本部门无因公出国（境）费。部门全年安排的因公出国（境）团组0个，因公出国（境）0人次。</w:t>
      </w:r>
    </w:p>
    <w:p w14:paraId="4176E6C7">
      <w:pPr>
        <w:spacing w:line="580" w:lineRule="exact"/>
        <w:ind w:firstLine="640"/>
        <w:jc w:val="both"/>
      </w:pPr>
      <w:r>
        <w:rPr>
          <w:rFonts w:ascii="仿宋_GB2312" w:hAnsi="仿宋_GB2312" w:eastAsia="仿宋_GB2312"/>
          <w:b w:val="0"/>
          <w:sz w:val="32"/>
        </w:rPr>
        <w:t>公务用车购置及运行维护费1.30万元，其中：公务用车购置费0.00万元，公务用车运行维护费1.30万元。公务用车运行维护费开支内容包括车辆油费、维修维护费、年检费。公务用车购置数0辆，公务用车保有量1辆。国有资产占用情况中固定资产车辆1辆，与公务用车保有量差异原因是：本部门固定资产车辆与公务用车保有量一致无差异。</w:t>
      </w:r>
    </w:p>
    <w:p w14:paraId="6307F3BA">
      <w:pPr>
        <w:spacing w:line="580" w:lineRule="exact"/>
        <w:ind w:firstLine="640"/>
        <w:jc w:val="both"/>
      </w:pPr>
      <w:r>
        <w:rPr>
          <w:rFonts w:ascii="仿宋_GB2312" w:hAnsi="仿宋_GB2312" w:eastAsia="仿宋_GB2312"/>
          <w:b w:val="0"/>
          <w:sz w:val="32"/>
        </w:rPr>
        <w:t>公务接待费0.00万元，开支内容包括本部门无公务接待费。部门全年安排的国内公务接待0批次，0人次。</w:t>
      </w:r>
    </w:p>
    <w:p w14:paraId="7C26B5FB">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1.30万元，决算数1.30万元，预决算差异率0.00%，主要原因是：严格按照预算执行，预决算无差异。其中：因公出国（境）费全年预算数0.00万元，决算数0.00万元，预决算差异率0.00%，主要原因是：本部门无因公出国（境）费。公务用车购置费全年预算数0.00万元，决算数0.00万元，预决算差异率0.00%，主要原因是：本部门无公务用车购置费。公务用车运行维护费全年预算数1.30万元，决算数1.30万元，预决算差异率0.00%，主要原因是：严格按照预算执行，预决算无差异。公务接待费全年预算数0.00万元，决算数0.00万元，预决算差异率0.00%，主要原因是：本部门无公务接待费。</w:t>
      </w:r>
    </w:p>
    <w:p w14:paraId="634C652F">
      <w:pPr>
        <w:spacing w:line="640" w:lineRule="exact"/>
        <w:ind w:firstLine="640"/>
        <w:jc w:val="both"/>
        <w:outlineLvl w:val="2"/>
      </w:pPr>
      <w:r>
        <w:rPr>
          <w:rFonts w:ascii="黑体" w:hAnsi="黑体" w:eastAsia="黑体"/>
          <w:sz w:val="32"/>
        </w:rPr>
        <w:t>十、其他重要事项的情况说明</w:t>
      </w:r>
    </w:p>
    <w:p w14:paraId="71FE7B63">
      <w:pPr>
        <w:spacing w:line="640" w:lineRule="exact"/>
        <w:ind w:firstLine="640"/>
        <w:jc w:val="both"/>
        <w:outlineLvl w:val="3"/>
      </w:pPr>
      <w:r>
        <w:rPr>
          <w:rFonts w:ascii="楷体_GB2312" w:hAnsi="楷体_GB2312" w:eastAsia="楷体_GB2312"/>
          <w:b/>
          <w:sz w:val="32"/>
        </w:rPr>
        <w:t>（一）机关运行经费及公用经费支出情况</w:t>
      </w:r>
    </w:p>
    <w:p w14:paraId="7AC13F44">
      <w:pPr>
        <w:spacing w:line="580" w:lineRule="exact"/>
        <w:ind w:firstLine="640"/>
        <w:jc w:val="both"/>
      </w:pPr>
      <w:r>
        <w:rPr>
          <w:rFonts w:ascii="仿宋_GB2312" w:hAnsi="仿宋_GB2312" w:eastAsia="仿宋_GB2312"/>
          <w:b w:val="0"/>
          <w:sz w:val="32"/>
        </w:rPr>
        <w:t>2024年度新疆农业广播电视学校喀什地区分校（事业单位）公用经费支出7.66万元，比上年增加1.33万元，增长21.01%，主要原因是：本年更新、维护补充办公用品，导致公用经费较上年增加。</w:t>
      </w:r>
    </w:p>
    <w:p w14:paraId="4603B8DE">
      <w:pPr>
        <w:spacing w:line="640" w:lineRule="exact"/>
        <w:ind w:firstLine="640"/>
        <w:jc w:val="both"/>
        <w:outlineLvl w:val="3"/>
      </w:pPr>
      <w:r>
        <w:rPr>
          <w:rFonts w:ascii="楷体_GB2312" w:hAnsi="楷体_GB2312" w:eastAsia="楷体_GB2312"/>
          <w:b/>
          <w:sz w:val="32"/>
        </w:rPr>
        <w:t>（二）政府采购情况</w:t>
      </w:r>
    </w:p>
    <w:p w14:paraId="31FAED4C">
      <w:pPr>
        <w:spacing w:line="580" w:lineRule="exact"/>
        <w:ind w:firstLine="640"/>
        <w:jc w:val="both"/>
      </w:pPr>
      <w:r>
        <w:rPr>
          <w:rFonts w:ascii="仿宋_GB2312" w:hAnsi="仿宋_GB2312" w:eastAsia="仿宋_GB2312"/>
          <w:b w:val="0"/>
          <w:sz w:val="32"/>
        </w:rPr>
        <w:t>2024年度政府采购支出总额3.45万元，其中：政府采购货物支出2.89万元、政府采购工程支出0.00万元、政府采购服务支出0.56万元。</w:t>
      </w:r>
    </w:p>
    <w:p w14:paraId="2091F7C3">
      <w:pPr>
        <w:spacing w:line="580" w:lineRule="exact"/>
        <w:ind w:firstLine="640"/>
        <w:jc w:val="both"/>
      </w:pPr>
      <w:r>
        <w:rPr>
          <w:rFonts w:ascii="仿宋_GB2312" w:hAnsi="仿宋_GB2312" w:eastAsia="仿宋_GB2312"/>
          <w:b w:val="0"/>
          <w:sz w:val="32"/>
        </w:rPr>
        <w:t>授予中小企业合同金额3.45万元，占政府采购支出总额的100.00%，其中：授予小微企业合同金额3.16万元，占政府采购支出总额的91.59%。</w:t>
      </w:r>
    </w:p>
    <w:p w14:paraId="077EF634">
      <w:pPr>
        <w:spacing w:line="640" w:lineRule="exact"/>
        <w:ind w:firstLine="640"/>
        <w:jc w:val="both"/>
        <w:outlineLvl w:val="3"/>
      </w:pPr>
      <w:r>
        <w:rPr>
          <w:rFonts w:ascii="楷体_GB2312" w:hAnsi="楷体_GB2312" w:eastAsia="楷体_GB2312"/>
          <w:b/>
          <w:sz w:val="32"/>
        </w:rPr>
        <w:t>（三）国有资产占用情况说明</w:t>
      </w:r>
    </w:p>
    <w:p w14:paraId="6EA69A74">
      <w:pPr>
        <w:spacing w:line="580" w:lineRule="exact"/>
        <w:ind w:firstLine="640"/>
        <w:jc w:val="both"/>
      </w:pPr>
      <w:r>
        <w:rPr>
          <w:rFonts w:ascii="仿宋_GB2312" w:hAnsi="仿宋_GB2312" w:eastAsia="仿宋_GB2312"/>
          <w:b w:val="0"/>
          <w:sz w:val="32"/>
        </w:rPr>
        <w:t>截至2024年12月31日，房屋0.00平方米，价值0.00万元。车辆1辆，价值3.74万元，其中：副部（省）级及以上领导用车0辆、主要负责人用车0辆、机要通信用车0辆、应急保障用车0辆、执法执勤用车0辆、特种专业技术用车0辆、离退休干部服务用车0辆、其他用车1辆，其他用车主要是：一般公务用车。单价100万元（含）以上设备（不含车辆）0台（套）。</w:t>
      </w:r>
    </w:p>
    <w:p w14:paraId="3A3DF59F">
      <w:pPr>
        <w:spacing w:line="640" w:lineRule="exact"/>
        <w:ind w:firstLine="640"/>
        <w:jc w:val="both"/>
        <w:outlineLvl w:val="2"/>
      </w:pPr>
      <w:r>
        <w:rPr>
          <w:rFonts w:ascii="黑体" w:hAnsi="黑体" w:eastAsia="黑体"/>
          <w:sz w:val="32"/>
        </w:rPr>
        <w:t>十一、预算绩效的情况说明</w:t>
      </w:r>
    </w:p>
    <w:p w14:paraId="2EE170D6">
      <w:pPr>
        <w:spacing w:line="580" w:lineRule="exact"/>
        <w:ind w:firstLine="640"/>
        <w:jc w:val="both"/>
      </w:pPr>
      <w:r>
        <w:rPr>
          <w:rFonts w:ascii="仿宋_GB2312" w:hAnsi="仿宋_GB2312" w:eastAsia="仿宋_GB2312"/>
          <w:b w:val="0"/>
          <w:sz w:val="32"/>
        </w:rPr>
        <w:t>根据预算绩效管理要求，本部门2024年度预算绩效管理形成整体支出绩效自评表1个，全年预算总额146.41万元，实际执行总额145.80万元；预算绩效评价项目0个，全年预算数0.00万元，全年执行数0.00万元。预算绩效管理取得的成效：</w:t>
      </w:r>
      <w:r>
        <w:rPr>
          <w:rFonts w:hint="eastAsia" w:ascii="仿宋_GB2312" w:hAnsi="仿宋_GB2312" w:eastAsia="仿宋_GB2312"/>
          <w:b w:val="0"/>
          <w:sz w:val="32"/>
          <w:lang w:val="en-US" w:eastAsia="zh-CN"/>
        </w:rPr>
        <w:t>本部门</w:t>
      </w:r>
      <w:r>
        <w:rPr>
          <w:rFonts w:ascii="仿宋_GB2312" w:hAnsi="仿宋_GB2312" w:eastAsia="仿宋_GB2312"/>
          <w:b w:val="0"/>
          <w:sz w:val="32"/>
        </w:rPr>
        <w:t>无预算绩效项目自评表。发现的问题及原因：</w:t>
      </w:r>
      <w:r>
        <w:rPr>
          <w:rFonts w:hint="eastAsia" w:ascii="仿宋_GB2312" w:hAnsi="仿宋_GB2312" w:eastAsia="仿宋_GB2312"/>
          <w:b w:val="0"/>
          <w:sz w:val="32"/>
          <w:lang w:val="en-US" w:eastAsia="zh-CN"/>
        </w:rPr>
        <w:t>本部门</w:t>
      </w:r>
      <w:r>
        <w:rPr>
          <w:rFonts w:ascii="仿宋_GB2312" w:hAnsi="仿宋_GB2312" w:eastAsia="仿宋_GB2312"/>
          <w:b w:val="0"/>
          <w:sz w:val="32"/>
        </w:rPr>
        <w:t>无预算绩效项目自评表。下一步改进措施：</w:t>
      </w:r>
      <w:r>
        <w:rPr>
          <w:rFonts w:hint="eastAsia" w:ascii="仿宋_GB2312" w:hAnsi="仿宋_GB2312" w:eastAsia="仿宋_GB2312"/>
          <w:b w:val="0"/>
          <w:sz w:val="32"/>
          <w:lang w:val="en-US" w:eastAsia="zh-CN"/>
        </w:rPr>
        <w:t>本部门</w:t>
      </w:r>
      <w:r>
        <w:rPr>
          <w:rFonts w:ascii="仿宋_GB2312" w:hAnsi="仿宋_GB2312" w:eastAsia="仿宋_GB2312"/>
          <w:b w:val="0"/>
          <w:sz w:val="32"/>
        </w:rPr>
        <w:t>无预算绩效项目自评表。具体附部门整体支出绩效自评表。</w:t>
      </w:r>
    </w:p>
    <w:p w14:paraId="4B55969F">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32357353">
        <w:tblPrEx>
          <w:tblCellMar>
            <w:top w:w="0" w:type="dxa"/>
            <w:left w:w="108" w:type="dxa"/>
            <w:bottom w:w="0" w:type="dxa"/>
            <w:right w:w="108" w:type="dxa"/>
          </w:tblCellMar>
        </w:tblPrEx>
        <w:tc>
          <w:tcPr>
            <w:tcW w:w="8847" w:type="dxa"/>
            <w:gridSpan w:val="9"/>
            <w:vAlign w:val="center"/>
          </w:tcPr>
          <w:p w14:paraId="15C5B372">
            <w:pPr>
              <w:jc w:val="center"/>
            </w:pPr>
            <w:r>
              <w:rPr>
                <w:rFonts w:ascii="宋体" w:hAnsi="宋体" w:eastAsia="宋体"/>
                <w:sz w:val="24"/>
              </w:rPr>
              <w:t>部门整体支出绩效自评表</w:t>
            </w:r>
          </w:p>
        </w:tc>
      </w:tr>
      <w:tr w14:paraId="68E2B007">
        <w:tblPrEx>
          <w:tblCellMar>
            <w:top w:w="0" w:type="dxa"/>
            <w:left w:w="108" w:type="dxa"/>
            <w:bottom w:w="0" w:type="dxa"/>
            <w:right w:w="108" w:type="dxa"/>
          </w:tblCellMar>
        </w:tblPrEx>
        <w:tc>
          <w:tcPr>
            <w:tcW w:w="8847" w:type="dxa"/>
            <w:gridSpan w:val="9"/>
            <w:vAlign w:val="center"/>
          </w:tcPr>
          <w:p w14:paraId="78DFBF78">
            <w:pPr>
              <w:jc w:val="center"/>
            </w:pPr>
            <w:r>
              <w:rPr>
                <w:rFonts w:ascii="宋体" w:hAnsi="宋体" w:eastAsia="宋体"/>
                <w:sz w:val="24"/>
              </w:rPr>
              <w:t>（2024年度）</w:t>
            </w:r>
          </w:p>
        </w:tc>
      </w:tr>
      <w:tr w14:paraId="1CBC6160">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282537">
            <w:pPr>
              <w:jc w:val="center"/>
            </w:pPr>
            <w:r>
              <w:rPr>
                <w:rFonts w:ascii="宋体" w:hAnsi="宋体" w:eastAsia="宋体"/>
                <w:sz w:val="16"/>
              </w:rPr>
              <w:t>部门名称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6E5D2390">
            <w:pPr>
              <w:jc w:val="center"/>
            </w:pPr>
            <w:r>
              <w:rPr>
                <w:rFonts w:ascii="宋体" w:hAnsi="宋体" w:eastAsia="宋体"/>
                <w:sz w:val="16"/>
              </w:rPr>
              <w:t>新疆农业广播电视学校喀什地区分校</w:t>
            </w:r>
          </w:p>
        </w:tc>
      </w:tr>
      <w:tr w14:paraId="18EF56A4">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78B35CA">
            <w:pPr>
              <w:jc w:val="center"/>
            </w:pPr>
            <w:r>
              <w:rPr>
                <w:rFonts w:ascii="宋体" w:hAnsi="宋体" w:eastAsia="宋体"/>
                <w:sz w:val="16"/>
              </w:rPr>
              <w:t>部门资金（万元）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1BE997">
            <w:pPr>
              <w:jc w:val="center"/>
            </w:pPr>
            <w:r>
              <w:rPr>
                <w:rFonts w:ascii="宋体" w:hAnsi="宋体" w:eastAsia="宋体"/>
                <w:sz w:val="16"/>
              </w:rPr>
              <w:t>资金来源</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9F2193">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A97411">
            <w:pPr>
              <w:jc w:val="center"/>
            </w:pPr>
            <w:r>
              <w:rPr>
                <w:rFonts w:ascii="宋体" w:hAnsi="宋体" w:eastAsia="宋体"/>
                <w:sz w:val="16"/>
              </w:rPr>
              <w:t>预算数（调整后）</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04255C">
            <w:pPr>
              <w:jc w:val="center"/>
            </w:pPr>
            <w:r>
              <w:rPr>
                <w:rFonts w:ascii="宋体" w:hAnsi="宋体" w:eastAsia="宋体"/>
                <w:sz w:val="16"/>
              </w:rPr>
              <w:t>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7AC3E2">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8D16AB">
            <w:pPr>
              <w:jc w:val="center"/>
            </w:pPr>
            <w:r>
              <w:rPr>
                <w:rFonts w:ascii="宋体" w:hAnsi="宋体" w:eastAsia="宋体"/>
                <w:sz w:val="16"/>
              </w:rPr>
              <w:t>执行率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AE133A">
            <w:pPr>
              <w:jc w:val="center"/>
            </w:pPr>
            <w:r>
              <w:rPr>
                <w:rFonts w:ascii="宋体" w:hAnsi="宋体" w:eastAsia="宋体"/>
                <w:sz w:val="16"/>
              </w:rPr>
              <w:t>得分</w:t>
            </w:r>
          </w:p>
        </w:tc>
      </w:tr>
      <w:tr w14:paraId="7606350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EBF7E4F"/>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2EF03D">
            <w:pPr>
              <w:jc w:val="center"/>
            </w:pPr>
            <w:r>
              <w:rPr>
                <w:rFonts w:ascii="宋体" w:hAnsi="宋体" w:eastAsia="宋体"/>
                <w:sz w:val="16"/>
              </w:rPr>
              <w:t>年度总资金：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C5B15C">
            <w:pPr>
              <w:jc w:val="center"/>
            </w:pPr>
            <w:r>
              <w:rPr>
                <w:rFonts w:ascii="宋体" w:hAnsi="宋体" w:eastAsia="宋体"/>
                <w:sz w:val="16"/>
              </w:rPr>
              <w:t>137.02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DC4C45">
            <w:pPr>
              <w:jc w:val="center"/>
            </w:pPr>
            <w:r>
              <w:rPr>
                <w:rFonts w:ascii="宋体" w:hAnsi="宋体" w:eastAsia="宋体"/>
                <w:sz w:val="16"/>
              </w:rPr>
              <w:t>146.41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E72464">
            <w:pPr>
              <w:jc w:val="center"/>
            </w:pPr>
            <w:r>
              <w:rPr>
                <w:rFonts w:ascii="宋体" w:hAnsi="宋体" w:eastAsia="宋体"/>
                <w:sz w:val="16"/>
              </w:rPr>
              <w:t>145.80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BC4BC7">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548554">
            <w:pPr>
              <w:jc w:val="center"/>
            </w:pPr>
            <w:r>
              <w:rPr>
                <w:rFonts w:ascii="宋体" w:hAnsi="宋体" w:eastAsia="宋体"/>
                <w:sz w:val="16"/>
              </w:rPr>
              <w:t>99.58%</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2EF069">
            <w:pPr>
              <w:jc w:val="center"/>
            </w:pPr>
            <w:r>
              <w:rPr>
                <w:rFonts w:ascii="宋体" w:hAnsi="宋体" w:eastAsia="宋体"/>
                <w:sz w:val="16"/>
              </w:rPr>
              <w:t>9.96</w:t>
            </w:r>
          </w:p>
        </w:tc>
      </w:tr>
      <w:tr w14:paraId="687F5D9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9B280B0"/>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4DDB68">
            <w:pPr>
              <w:jc w:val="center"/>
            </w:pPr>
            <w:r>
              <w:rPr>
                <w:rFonts w:ascii="宋体" w:hAnsi="宋体" w:eastAsia="宋体"/>
                <w:sz w:val="16"/>
              </w:rPr>
              <w:t>上级资金：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6A49F6">
            <w:pPr>
              <w:jc w:val="center"/>
            </w:pPr>
            <w:r>
              <w:rPr>
                <w:rFonts w:ascii="宋体" w:hAnsi="宋体" w:eastAsia="宋体"/>
                <w:sz w:val="16"/>
              </w:rPr>
              <w:t>2.20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2A77AC">
            <w:pPr>
              <w:jc w:val="center"/>
            </w:pPr>
            <w:r>
              <w:rPr>
                <w:rFonts w:ascii="宋体" w:hAnsi="宋体" w:eastAsia="宋体"/>
                <w:sz w:val="16"/>
              </w:rPr>
              <w:t>2.19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7F8698">
            <w:pPr>
              <w:jc w:val="center"/>
            </w:pPr>
            <w:r>
              <w:rPr>
                <w:rFonts w:ascii="宋体" w:hAnsi="宋体" w:eastAsia="宋体"/>
                <w:sz w:val="16"/>
              </w:rPr>
              <w:t>2.19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DD9C63">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A9D626">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334933">
            <w:pPr>
              <w:jc w:val="center"/>
            </w:pPr>
            <w:r>
              <w:rPr>
                <w:rFonts w:ascii="宋体" w:hAnsi="宋体" w:eastAsia="宋体"/>
                <w:sz w:val="16"/>
              </w:rPr>
              <w:t>—</w:t>
            </w:r>
          </w:p>
        </w:tc>
      </w:tr>
      <w:tr w14:paraId="68C2548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1D9B120"/>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63A866">
            <w:pPr>
              <w:jc w:val="center"/>
            </w:pPr>
            <w:r>
              <w:rPr>
                <w:rFonts w:ascii="宋体" w:hAnsi="宋体" w:eastAsia="宋体"/>
                <w:sz w:val="16"/>
              </w:rPr>
              <w:t>本级资金：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651F40">
            <w:pPr>
              <w:jc w:val="center"/>
            </w:pPr>
            <w:r>
              <w:rPr>
                <w:rFonts w:ascii="宋体" w:hAnsi="宋体" w:eastAsia="宋体"/>
                <w:sz w:val="16"/>
              </w:rPr>
              <w:t>134.82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BD0844">
            <w:pPr>
              <w:jc w:val="center"/>
            </w:pPr>
            <w:r>
              <w:rPr>
                <w:rFonts w:ascii="宋体" w:hAnsi="宋体" w:eastAsia="宋体"/>
                <w:sz w:val="16"/>
              </w:rPr>
              <w:t>144.22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C52B18">
            <w:pPr>
              <w:jc w:val="center"/>
            </w:pPr>
            <w:r>
              <w:rPr>
                <w:rFonts w:ascii="宋体" w:hAnsi="宋体" w:eastAsia="宋体"/>
                <w:sz w:val="16"/>
              </w:rPr>
              <w:t>143.61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952091">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673AAB">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096D76">
            <w:pPr>
              <w:jc w:val="center"/>
            </w:pPr>
            <w:r>
              <w:rPr>
                <w:rFonts w:ascii="宋体" w:hAnsi="宋体" w:eastAsia="宋体"/>
                <w:sz w:val="16"/>
              </w:rPr>
              <w:t>—</w:t>
            </w:r>
          </w:p>
        </w:tc>
      </w:tr>
      <w:tr w14:paraId="35D48E0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AC9E451"/>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1E4A12">
            <w:pPr>
              <w:jc w:val="center"/>
            </w:pPr>
            <w:r>
              <w:rPr>
                <w:rFonts w:ascii="宋体" w:hAnsi="宋体" w:eastAsia="宋体"/>
                <w:sz w:val="16"/>
              </w:rPr>
              <w:t>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AFBD7F">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BB2085">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2E5597">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583507">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BB10AE">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33B136">
            <w:pPr>
              <w:jc w:val="center"/>
            </w:pPr>
            <w:r>
              <w:rPr>
                <w:rFonts w:ascii="宋体" w:hAnsi="宋体" w:eastAsia="宋体"/>
                <w:sz w:val="16"/>
              </w:rPr>
              <w:t>—</w:t>
            </w:r>
          </w:p>
        </w:tc>
      </w:tr>
      <w:tr w14:paraId="66ACE3C6">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D3ADABA">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F13327C">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5A58954">
            <w:pPr>
              <w:jc w:val="center"/>
            </w:pPr>
            <w:r>
              <w:rPr>
                <w:rFonts w:ascii="宋体" w:hAnsi="宋体" w:eastAsia="宋体"/>
                <w:sz w:val="16"/>
              </w:rPr>
              <w:t>实际完成情况</w:t>
            </w:r>
          </w:p>
        </w:tc>
      </w:tr>
      <w:tr w14:paraId="7215548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F186A8A"/>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6282609">
            <w:pPr>
              <w:jc w:val="both"/>
            </w:pPr>
            <w:r>
              <w:rPr>
                <w:rFonts w:ascii="宋体" w:hAnsi="宋体" w:eastAsia="宋体"/>
                <w:sz w:val="16"/>
              </w:rPr>
              <w:t>农广校承担根据我区农村经济和社会发展需要，通过广播、电视、网络等现代化教学媒体举办中专以上层次的学历教育，承担农村劳动力转移就业职业培训和职业技能鉴定，完成上级交办的其他工作。做好3060人以上的高素质农民培训学历教育工作，培训学员回访工作，回访学员50人以上，百千万能力提升培训，行动计划全地区各类培训154名，加大广播电视培训的力度达到培训期20期，农业农村科技人员知识更新培训工作预计完成培训2000人次以上，完成农村科技能力提升率100%。农广校坚决落实中央、自治区党委的部署和地委行署工作安排，在自治区农广校和地区农业农村局具体指导下，坚持农业农村优先发展，统筹推进实施乡村振兴战略，积极谋划农业农村培训工作，认真履职尽责，主动担当作为，农业农村培训工作有序开展。</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50EDD7E">
            <w:pPr>
              <w:jc w:val="both"/>
            </w:pPr>
            <w:r>
              <w:rPr>
                <w:rFonts w:ascii="宋体" w:hAnsi="宋体" w:eastAsia="宋体"/>
                <w:sz w:val="16"/>
              </w:rPr>
              <w:t>一年来，地区农广校坚决落实中央、自治区党委的部署和地委工作安排，坚持农业农村优先发展，统筹推进实施乡村振兴战略，积极</w:t>
            </w:r>
            <w:r>
              <w:rPr>
                <w:rFonts w:hint="eastAsia" w:ascii="宋体" w:hAnsi="宋体"/>
                <w:sz w:val="16"/>
                <w:lang w:eastAsia="zh-CN"/>
              </w:rPr>
              <w:t>谋划</w:t>
            </w:r>
            <w:r>
              <w:rPr>
                <w:rFonts w:ascii="宋体" w:hAnsi="宋体" w:eastAsia="宋体"/>
                <w:sz w:val="16"/>
              </w:rPr>
              <w:t>农业农村培训工作，认真履职尽责，主动担当作为，农业农村培训工作高效开展。</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 xml:space="preserve">  1.扎实做好高素质农民学历教育提升工作。</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2.做好高素质农民培育项目。按照自治区党委、地委的部署要求，锚定建设农业强区目标，以学习运用“千村示范、万村整治”工程经验为引领，紧紧围绕农业农村高质量发展人才需求，坚持需求导向、产业主线、分层实施、全程培育，聚焦提升</w:t>
            </w:r>
            <w:r>
              <w:rPr>
                <w:rFonts w:hint="eastAsia" w:ascii="宋体" w:hAnsi="宋体"/>
                <w:sz w:val="16"/>
                <w:lang w:eastAsia="zh-CN"/>
              </w:rPr>
              <w:t>技术</w:t>
            </w:r>
            <w:r>
              <w:rPr>
                <w:rFonts w:ascii="宋体" w:hAnsi="宋体" w:eastAsia="宋体"/>
                <w:sz w:val="16"/>
              </w:rPr>
              <w:t>能力水平、提升产业发展能力、提升综合素质素养，培育粮食安全守护者、产业发展带头人和乡村振兴主力军，为推进乡村全面振兴提供坚实人才保障。</w:t>
            </w:r>
            <w:r>
              <w:rPr>
                <w:rFonts w:hint="eastAsia" w:ascii="宋体" w:hAnsi="宋体"/>
                <w:sz w:val="16"/>
                <w:lang w:eastAsia="zh-CN"/>
              </w:rPr>
              <w:t>截至</w:t>
            </w:r>
            <w:r>
              <w:rPr>
                <w:rFonts w:ascii="宋体" w:hAnsi="宋体" w:eastAsia="宋体"/>
                <w:sz w:val="16"/>
              </w:rPr>
              <w:t>目前，指导各县市种植、林果、畜牧、新型农业经营和服务主体带头人、专业生产性培训、乡村社会事业治理带头人等各类高素质农民培育项目已培训3328人。</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3.,顺利完成粤喀农业科技科普交流与人才培养项目之“广东农技专家南疆行”。</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4.举办粤喀农业科技科普交流与人才培养项目之“粤喀科技创新驱动农业高质量发展专题培训班”。</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5.举办粤喀农业科技科普交流与人才培养项目五期网络课。</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6.争取多方支持，加强高层次人才培训。</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7.抓好广播电视培训。</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8.抓好远程教育培训工作，积极</w:t>
            </w:r>
            <w:r>
              <w:rPr>
                <w:rFonts w:hint="eastAsia" w:ascii="宋体" w:hAnsi="宋体"/>
                <w:sz w:val="16"/>
                <w:lang w:eastAsia="zh-CN"/>
              </w:rPr>
              <w:t>推进</w:t>
            </w:r>
            <w:r>
              <w:rPr>
                <w:rFonts w:ascii="宋体" w:hAnsi="宋体" w:eastAsia="宋体"/>
                <w:sz w:val="16"/>
              </w:rPr>
              <w:t>我区干部远程教育培训。</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9.积极推进地区农业农村系统国家通用语言文字工作。</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10.深入实施乡村振兴战略，进一步提升农民群众科学素质。</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11.百千万能力提升培训行动。</w:t>
            </w:r>
          </w:p>
        </w:tc>
      </w:tr>
      <w:tr w14:paraId="0B105049">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8BB0AC">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78F567">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35B9A1">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275EEF">
            <w:pPr>
              <w:jc w:val="center"/>
            </w:pPr>
            <w:r>
              <w:rPr>
                <w:rFonts w:ascii="宋体" w:hAnsi="宋体" w:eastAsia="宋体"/>
                <w:sz w:val="16"/>
              </w:rPr>
              <w:t>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F77A11">
            <w:pPr>
              <w:jc w:val="center"/>
            </w:pPr>
            <w:r>
              <w:rPr>
                <w:rFonts w:ascii="宋体" w:hAnsi="宋体" w:eastAsia="宋体"/>
                <w:sz w:val="16"/>
              </w:rPr>
              <w:t>指标值设定依据</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B2637B">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F3C512">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A72CF7">
            <w:pPr>
              <w:jc w:val="center"/>
            </w:pPr>
            <w:r>
              <w:rPr>
                <w:rFonts w:ascii="宋体" w:hAnsi="宋体" w:eastAsia="宋体"/>
                <w:sz w:val="16"/>
              </w:rPr>
              <w:t>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A069AA">
            <w:pPr>
              <w:jc w:val="center"/>
            </w:pPr>
            <w:r>
              <w:rPr>
                <w:rFonts w:ascii="宋体" w:hAnsi="宋体" w:eastAsia="宋体"/>
                <w:sz w:val="16"/>
              </w:rPr>
              <w:t>得分</w:t>
            </w:r>
          </w:p>
        </w:tc>
      </w:tr>
      <w:tr w14:paraId="3E6DCE7D">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724DA93">
            <w:pPr>
              <w:jc w:val="center"/>
            </w:pPr>
            <w:r>
              <w:rPr>
                <w:rFonts w:ascii="宋体" w:hAnsi="宋体" w:eastAsia="宋体"/>
                <w:sz w:val="16"/>
              </w:rPr>
              <w:t>履职效能</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E94EE1A">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2E7DC8">
            <w:pPr>
              <w:jc w:val="center"/>
            </w:pPr>
            <w:r>
              <w:rPr>
                <w:rFonts w:ascii="宋体" w:hAnsi="宋体" w:eastAsia="宋体"/>
                <w:sz w:val="16"/>
              </w:rPr>
              <w:t>高素质农民培训人数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436E17">
            <w:pPr>
              <w:jc w:val="center"/>
            </w:pPr>
            <w:r>
              <w:rPr>
                <w:rFonts w:ascii="宋体" w:hAnsi="宋体" w:eastAsia="宋体"/>
                <w:sz w:val="16"/>
              </w:rPr>
              <w:t>&gt;=3060人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1AF6EB">
            <w:pPr>
              <w:jc w:val="center"/>
            </w:pPr>
            <w:r>
              <w:rPr>
                <w:rFonts w:ascii="宋体" w:hAnsi="宋体" w:eastAsia="宋体"/>
                <w:sz w:val="16"/>
              </w:rPr>
              <w:t>喀什地区农广校2024年重点工作计划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26C420">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0FE0DA">
            <w:pPr>
              <w:jc w:val="center"/>
            </w:pPr>
            <w:r>
              <w:rPr>
                <w:rFonts w:ascii="宋体" w:hAnsi="宋体" w:eastAsia="宋体"/>
                <w:sz w:val="16"/>
              </w:rPr>
              <w:t>3328人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7EDDA6">
            <w:pPr>
              <w:jc w:val="center"/>
            </w:pPr>
            <w:r>
              <w:rPr>
                <w:rFonts w:ascii="宋体" w:hAnsi="宋体" w:eastAsia="宋体"/>
                <w:sz w:val="16"/>
              </w:rPr>
              <w:t>108.75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806AC1">
            <w:pPr>
              <w:jc w:val="center"/>
            </w:pPr>
            <w:r>
              <w:rPr>
                <w:rFonts w:ascii="宋体" w:hAnsi="宋体" w:eastAsia="宋体"/>
                <w:sz w:val="16"/>
              </w:rPr>
              <w:t>20</w:t>
            </w:r>
          </w:p>
        </w:tc>
      </w:tr>
      <w:tr w14:paraId="71EFC54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AC13105"/>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BD801EA"/>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AF9D0E">
            <w:pPr>
              <w:jc w:val="center"/>
            </w:pPr>
            <w:r>
              <w:rPr>
                <w:rFonts w:ascii="宋体" w:hAnsi="宋体" w:eastAsia="宋体"/>
                <w:sz w:val="16"/>
              </w:rPr>
              <w:t>培训学员回访人数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8A7BAB">
            <w:pPr>
              <w:jc w:val="center"/>
            </w:pPr>
            <w:r>
              <w:rPr>
                <w:rFonts w:ascii="宋体" w:hAnsi="宋体" w:eastAsia="宋体"/>
                <w:sz w:val="16"/>
              </w:rPr>
              <w:t>&gt;=50人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884F67">
            <w:pPr>
              <w:jc w:val="center"/>
            </w:pPr>
            <w:r>
              <w:rPr>
                <w:rFonts w:ascii="宋体" w:hAnsi="宋体" w:eastAsia="宋体"/>
                <w:sz w:val="16"/>
              </w:rPr>
              <w:t>喀什地区农广校2024年重点工作计划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5B7068">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539271">
            <w:pPr>
              <w:jc w:val="center"/>
            </w:pPr>
            <w:r>
              <w:rPr>
                <w:rFonts w:ascii="宋体" w:hAnsi="宋体" w:eastAsia="宋体"/>
                <w:sz w:val="16"/>
              </w:rPr>
              <w:t>50人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3549EC">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C31500">
            <w:pPr>
              <w:jc w:val="center"/>
            </w:pPr>
            <w:r>
              <w:rPr>
                <w:rFonts w:ascii="宋体" w:hAnsi="宋体" w:eastAsia="宋体"/>
                <w:sz w:val="16"/>
              </w:rPr>
              <w:t>20</w:t>
            </w:r>
          </w:p>
        </w:tc>
      </w:tr>
      <w:tr w14:paraId="734EC57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3608A56"/>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39CDFB3"/>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42C069">
            <w:pPr>
              <w:jc w:val="center"/>
            </w:pPr>
            <w:r>
              <w:rPr>
                <w:rFonts w:ascii="宋体" w:hAnsi="宋体" w:eastAsia="宋体"/>
                <w:sz w:val="16"/>
              </w:rPr>
              <w:t>百千万能力提升培训人数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3FBC16">
            <w:pPr>
              <w:jc w:val="center"/>
            </w:pPr>
            <w:r>
              <w:rPr>
                <w:rFonts w:ascii="宋体" w:hAnsi="宋体" w:eastAsia="宋体"/>
                <w:sz w:val="16"/>
              </w:rPr>
              <w:t>&gt;=154人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807A63">
            <w:pPr>
              <w:jc w:val="center"/>
            </w:pPr>
            <w:r>
              <w:rPr>
                <w:rFonts w:ascii="宋体" w:hAnsi="宋体" w:eastAsia="宋体"/>
                <w:sz w:val="16"/>
              </w:rPr>
              <w:t>喀什地区农广校2024年重点工作计划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6D9F34">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6C32C9">
            <w:pPr>
              <w:jc w:val="center"/>
            </w:pPr>
            <w:r>
              <w:rPr>
                <w:rFonts w:ascii="宋体" w:hAnsi="宋体" w:eastAsia="宋体"/>
                <w:sz w:val="16"/>
              </w:rPr>
              <w:t>154人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F0752E">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F2D90C">
            <w:pPr>
              <w:jc w:val="center"/>
            </w:pPr>
            <w:r>
              <w:rPr>
                <w:rFonts w:ascii="宋体" w:hAnsi="宋体" w:eastAsia="宋体"/>
                <w:sz w:val="16"/>
              </w:rPr>
              <w:t>20</w:t>
            </w:r>
          </w:p>
        </w:tc>
      </w:tr>
      <w:tr w14:paraId="33955A2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8D0D151"/>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D8FDC07"/>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183D2A">
            <w:pPr>
              <w:jc w:val="center"/>
            </w:pPr>
            <w:r>
              <w:rPr>
                <w:rFonts w:ascii="宋体" w:hAnsi="宋体" w:eastAsia="宋体"/>
                <w:sz w:val="16"/>
              </w:rPr>
              <w:t>广播电视培训次数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03411F">
            <w:pPr>
              <w:jc w:val="center"/>
            </w:pPr>
            <w:r>
              <w:rPr>
                <w:rFonts w:ascii="宋体" w:hAnsi="宋体" w:eastAsia="宋体"/>
                <w:sz w:val="16"/>
              </w:rPr>
              <w:t>&gt;=20期</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5FA57D">
            <w:pPr>
              <w:jc w:val="center"/>
            </w:pPr>
            <w:r>
              <w:rPr>
                <w:rFonts w:ascii="宋体" w:hAnsi="宋体" w:eastAsia="宋体"/>
                <w:sz w:val="16"/>
              </w:rPr>
              <w:t>喀什地区农广校2024年重点工作计划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9B999F">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98DBB5">
            <w:pPr>
              <w:jc w:val="center"/>
            </w:pPr>
            <w:r>
              <w:rPr>
                <w:rFonts w:ascii="宋体" w:hAnsi="宋体" w:eastAsia="宋体"/>
                <w:sz w:val="16"/>
              </w:rPr>
              <w:t>20期</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B0C079">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6A66EF">
            <w:pPr>
              <w:jc w:val="center"/>
            </w:pPr>
            <w:r>
              <w:rPr>
                <w:rFonts w:ascii="宋体" w:hAnsi="宋体" w:eastAsia="宋体"/>
                <w:sz w:val="16"/>
              </w:rPr>
              <w:t>20</w:t>
            </w:r>
          </w:p>
        </w:tc>
      </w:tr>
      <w:tr w14:paraId="71A3E86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5F60D17"/>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D67E93">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4A2354">
            <w:pPr>
              <w:jc w:val="center"/>
            </w:pPr>
            <w:r>
              <w:rPr>
                <w:rFonts w:ascii="宋体" w:hAnsi="宋体" w:eastAsia="宋体"/>
                <w:sz w:val="16"/>
              </w:rPr>
              <w:t>农业农村科技人员能力提升率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721E34">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7A9A62">
            <w:pPr>
              <w:jc w:val="center"/>
            </w:pPr>
            <w:r>
              <w:rPr>
                <w:rFonts w:ascii="宋体" w:hAnsi="宋体" w:eastAsia="宋体"/>
                <w:sz w:val="16"/>
              </w:rPr>
              <w:t>2024年喀什地区农业科技人员和农牧民实用技术培训工作实施</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0003BF">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3F9221">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737A55">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4B745F">
            <w:pPr>
              <w:jc w:val="center"/>
            </w:pPr>
            <w:r>
              <w:rPr>
                <w:rFonts w:ascii="宋体" w:hAnsi="宋体" w:eastAsia="宋体"/>
                <w:sz w:val="16"/>
              </w:rPr>
              <w:t>10</w:t>
            </w:r>
          </w:p>
        </w:tc>
      </w:tr>
    </w:tbl>
    <w:p w14:paraId="09532CE9">
      <w:r>
        <w:br w:type="page"/>
      </w:r>
    </w:p>
    <w:p w14:paraId="2597F7E2">
      <w:pPr>
        <w:spacing w:line="640" w:lineRule="exact"/>
        <w:ind w:firstLine="640"/>
        <w:jc w:val="both"/>
        <w:outlineLvl w:val="2"/>
      </w:pPr>
      <w:r>
        <w:rPr>
          <w:rFonts w:ascii="黑体" w:hAnsi="黑体" w:eastAsia="黑体"/>
          <w:sz w:val="32"/>
        </w:rPr>
        <w:t>十二、其他需说明的事项</w:t>
      </w:r>
    </w:p>
    <w:p w14:paraId="53C0DEF5">
      <w:pPr>
        <w:spacing w:line="580" w:lineRule="exact"/>
        <w:ind w:firstLine="640"/>
        <w:jc w:val="both"/>
      </w:pPr>
      <w:r>
        <w:rPr>
          <w:rFonts w:ascii="仿宋_GB2312" w:hAnsi="仿宋_GB2312" w:eastAsia="仿宋_GB2312"/>
          <w:b w:val="0"/>
          <w:sz w:val="32"/>
        </w:rPr>
        <w:t>本部门无其他需说明的事项。</w:t>
      </w:r>
    </w:p>
    <w:p w14:paraId="6B37FDC5">
      <w:r>
        <w:br w:type="page"/>
      </w:r>
    </w:p>
    <w:p w14:paraId="1BE84358">
      <w:pPr>
        <w:spacing w:line="240" w:lineRule="auto"/>
        <w:jc w:val="center"/>
        <w:outlineLvl w:val="1"/>
      </w:pPr>
      <w:r>
        <w:rPr>
          <w:rFonts w:ascii="黑体" w:hAnsi="黑体" w:eastAsia="黑体"/>
          <w:sz w:val="32"/>
        </w:rPr>
        <w:t>第三部分 专业名词解释</w:t>
      </w:r>
    </w:p>
    <w:p w14:paraId="50A3B1E3">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03B297EB">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388BBE1F">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1790AFFB">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2889A121">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6684C506">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58A8F288">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2E0F6FDB">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583EF83F">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7FA332D3">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57EBFD33">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75A725A2">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1D9C0B91">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4140A97A">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42D6AB61">
      <w:r>
        <w:br w:type="page"/>
      </w:r>
    </w:p>
    <w:p w14:paraId="6790EB4C">
      <w:pPr>
        <w:spacing w:line="240" w:lineRule="auto"/>
        <w:jc w:val="center"/>
        <w:outlineLvl w:val="1"/>
      </w:pPr>
      <w:r>
        <w:rPr>
          <w:rFonts w:ascii="黑体" w:hAnsi="黑体" w:eastAsia="黑体"/>
          <w:sz w:val="32"/>
        </w:rPr>
        <w:t>第四部分 部门决算报表（见附表）</w:t>
      </w:r>
    </w:p>
    <w:p w14:paraId="01BD16BD">
      <w:pPr>
        <w:spacing w:line="240" w:lineRule="auto"/>
        <w:ind w:firstLine="640"/>
        <w:jc w:val="both"/>
      </w:pPr>
      <w:r>
        <w:rPr>
          <w:rFonts w:ascii="仿宋_GB2312" w:hAnsi="仿宋_GB2312" w:eastAsia="仿宋_GB2312"/>
          <w:b w:val="0"/>
          <w:sz w:val="32"/>
        </w:rPr>
        <w:t>一、《收入支出决算总表》</w:t>
      </w:r>
    </w:p>
    <w:p w14:paraId="72AC3DDF">
      <w:pPr>
        <w:spacing w:line="240" w:lineRule="auto"/>
        <w:ind w:firstLine="640"/>
        <w:jc w:val="both"/>
      </w:pPr>
      <w:r>
        <w:rPr>
          <w:rFonts w:ascii="仿宋_GB2312" w:hAnsi="仿宋_GB2312" w:eastAsia="仿宋_GB2312"/>
          <w:b w:val="0"/>
          <w:sz w:val="32"/>
        </w:rPr>
        <w:t>二、《收入决算表》</w:t>
      </w:r>
    </w:p>
    <w:p w14:paraId="1C31B457">
      <w:pPr>
        <w:spacing w:line="240" w:lineRule="auto"/>
        <w:ind w:firstLine="640"/>
        <w:jc w:val="both"/>
      </w:pPr>
      <w:r>
        <w:rPr>
          <w:rFonts w:ascii="仿宋_GB2312" w:hAnsi="仿宋_GB2312" w:eastAsia="仿宋_GB2312"/>
          <w:b w:val="0"/>
          <w:sz w:val="32"/>
        </w:rPr>
        <w:t>三、《支出决算表》</w:t>
      </w:r>
    </w:p>
    <w:p w14:paraId="2233DA12">
      <w:pPr>
        <w:spacing w:line="240" w:lineRule="auto"/>
        <w:ind w:firstLine="640"/>
        <w:jc w:val="both"/>
      </w:pPr>
      <w:r>
        <w:rPr>
          <w:rFonts w:ascii="仿宋_GB2312" w:hAnsi="仿宋_GB2312" w:eastAsia="仿宋_GB2312"/>
          <w:b w:val="0"/>
          <w:sz w:val="32"/>
        </w:rPr>
        <w:t>四、《财政拨款收入支出决算总表》</w:t>
      </w:r>
    </w:p>
    <w:p w14:paraId="34FF66B1">
      <w:pPr>
        <w:spacing w:line="240" w:lineRule="auto"/>
        <w:ind w:firstLine="640"/>
        <w:jc w:val="both"/>
      </w:pPr>
      <w:r>
        <w:rPr>
          <w:rFonts w:ascii="仿宋_GB2312" w:hAnsi="仿宋_GB2312" w:eastAsia="仿宋_GB2312"/>
          <w:b w:val="0"/>
          <w:sz w:val="32"/>
        </w:rPr>
        <w:t>五、《一般公共预算财政拨款支出决算表》</w:t>
      </w:r>
    </w:p>
    <w:p w14:paraId="7F80FA33">
      <w:pPr>
        <w:spacing w:line="240" w:lineRule="auto"/>
        <w:ind w:firstLine="640"/>
        <w:jc w:val="both"/>
      </w:pPr>
      <w:r>
        <w:rPr>
          <w:rFonts w:ascii="仿宋_GB2312" w:hAnsi="仿宋_GB2312" w:eastAsia="仿宋_GB2312"/>
          <w:b w:val="0"/>
          <w:sz w:val="32"/>
        </w:rPr>
        <w:t>六、《一般公共预算财政拨款基本支出决算表》</w:t>
      </w:r>
    </w:p>
    <w:p w14:paraId="2373703F">
      <w:pPr>
        <w:spacing w:line="240" w:lineRule="auto"/>
        <w:ind w:firstLine="640"/>
        <w:jc w:val="both"/>
      </w:pPr>
      <w:r>
        <w:rPr>
          <w:rFonts w:ascii="仿宋_GB2312" w:hAnsi="仿宋_GB2312" w:eastAsia="仿宋_GB2312"/>
          <w:b w:val="0"/>
          <w:sz w:val="32"/>
        </w:rPr>
        <w:t>七、《政府性基金预算财政拨款收入支出决算表》</w:t>
      </w:r>
    </w:p>
    <w:p w14:paraId="0B5D8129">
      <w:pPr>
        <w:spacing w:line="240" w:lineRule="auto"/>
        <w:ind w:firstLine="640"/>
        <w:jc w:val="both"/>
      </w:pPr>
      <w:r>
        <w:rPr>
          <w:rFonts w:ascii="仿宋_GB2312" w:hAnsi="仿宋_GB2312" w:eastAsia="仿宋_GB2312"/>
          <w:b w:val="0"/>
          <w:sz w:val="32"/>
        </w:rPr>
        <w:t>八、《国有资本经营预算财政拨款收入支出决算表》</w:t>
      </w:r>
    </w:p>
    <w:p w14:paraId="78AF78D6">
      <w:pPr>
        <w:spacing w:line="240" w:lineRule="auto"/>
        <w:ind w:firstLine="640"/>
        <w:jc w:val="both"/>
      </w:pPr>
      <w:r>
        <w:rPr>
          <w:rFonts w:ascii="仿宋_GB2312" w:hAnsi="仿宋_GB2312" w:eastAsia="仿宋_GB2312"/>
          <w:b w:val="0"/>
          <w:sz w:val="32"/>
        </w:rPr>
        <w:t>九、《财政拨款“三公”经费支出决算表》</w:t>
      </w:r>
    </w:p>
    <w:p w14:paraId="32D622CF">
      <w:pPr>
        <w:spacing w:line="240" w:lineRule="auto"/>
        <w:ind w:firstLine="640"/>
        <w:jc w:val="both"/>
      </w:pPr>
    </w:p>
    <w:p w14:paraId="28195572">
      <w:pPr>
        <w:spacing w:line="240" w:lineRule="auto"/>
        <w:ind w:firstLine="640"/>
        <w:jc w:val="both"/>
      </w:pPr>
    </w:p>
    <w:p w14:paraId="666A43BE">
      <w:pPr>
        <w:spacing w:line="240" w:lineRule="auto"/>
        <w:ind w:firstLine="640"/>
        <w:jc w:val="both"/>
      </w:pPr>
    </w:p>
    <w:p w14:paraId="78A9DB61">
      <w:pPr>
        <w:spacing w:line="240" w:lineRule="auto"/>
        <w:ind w:firstLine="640"/>
        <w:jc w:val="both"/>
      </w:pPr>
    </w:p>
    <w:p w14:paraId="145ADDA6">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altName w:val="微软雅黑"/>
    <w:panose1 w:val="02000000000000000000"/>
    <w:charset w:val="86"/>
    <w:family w:val="script"/>
    <w:pitch w:val="default"/>
    <w:sig w:usb0="00000000" w:usb1="00000000" w:usb2="00082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0BD3583"/>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32405A"/>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18</Pages>
  <Words>4082</Words>
  <Characters>4700</Characters>
  <Lines>0</Lines>
  <Paragraphs>0</Paragraphs>
  <TotalTime>6</TotalTime>
  <ScaleCrop>false</ScaleCrop>
  <LinksUpToDate>false</LinksUpToDate>
  <CharactersWithSpaces>4708</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GaYi.</cp:lastModifiedBy>
  <cp:lastPrinted>2024-07-22T11:58:00Z</cp:lastPrinted>
  <dcterms:modified xsi:type="dcterms:W3CDTF">2025-09-03T11:03:11Z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eyJoZGlkIjoiNTliMzZiYjRlN2VlNDIwNWJkNWMyNGYxMWEyN2ViYWUiLCJ1c2VySWQiOiI0NDQ5NDYzNjEifQ==</vt:lpwstr>
  </property>
</Properties>
</file>