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641A10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新疆喀什地区瓜果蔬菜产业发展中心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68EE58">
      <w:r>
        <w:br w:type="page"/>
      </w:r>
    </w:p>
    <w:p w14:paraId="386A2CA1">
      <w:pPr>
        <w:spacing w:line="640" w:lineRule="exact"/>
        <w:jc w:val="center"/>
        <w:outlineLvl w:val="1"/>
      </w:pPr>
      <w:r>
        <w:rPr>
          <w:rFonts w:ascii="黑体" w:hAnsi="黑体" w:eastAsia="黑体"/>
          <w:sz w:val="32"/>
        </w:rPr>
        <w:t>第一部分 部门概况</w:t>
      </w:r>
    </w:p>
    <w:p w14:paraId="72C58F3E">
      <w:pPr>
        <w:spacing w:line="640" w:lineRule="exact"/>
        <w:ind w:firstLine="640"/>
        <w:jc w:val="both"/>
        <w:outlineLvl w:val="2"/>
      </w:pPr>
      <w:r>
        <w:rPr>
          <w:rFonts w:ascii="黑体" w:hAnsi="黑体" w:eastAsia="黑体"/>
          <w:sz w:val="32"/>
        </w:rPr>
        <w:t>一、主要职能</w:t>
      </w:r>
    </w:p>
    <w:p w14:paraId="52382282">
      <w:pPr>
        <w:spacing w:line="580" w:lineRule="exact"/>
        <w:ind w:firstLine="640"/>
        <w:jc w:val="both"/>
      </w:pPr>
      <w:r>
        <w:rPr>
          <w:rFonts w:ascii="仿宋_GB2312" w:hAnsi="仿宋_GB2312" w:eastAsia="仿宋_GB2312"/>
          <w:sz w:val="32"/>
        </w:rPr>
        <w:t>负责制定喀什地区瓜果菜种植产业布局并指导县市实施；负责喀什地区西甜瓜、露地及设施蔬菜优良新品种引进、试验示范及推广工作；负责全地区瓜菜生产技术指导，关键时节指导关键技术措施落实到田、到户；编制教材，分层次组织全地区瓜菜专业技术人员、示范户开展技术培训；指导县市争取和实施瓜菜项目课题。负责制定喀什地区林果、西甜瓜、露地及设施蔬菜生产技术规程并推行实施；指导制定栽培技术规程和果品加工产品标准并推行实施。建立地区瓜果菜技术服务信息平台，定期发布关键技术。</w:t>
      </w:r>
    </w:p>
    <w:p w14:paraId="5685E851">
      <w:pPr>
        <w:spacing w:line="640" w:lineRule="exact"/>
        <w:ind w:firstLine="640"/>
        <w:jc w:val="both"/>
        <w:outlineLvl w:val="2"/>
      </w:pPr>
      <w:r>
        <w:rPr>
          <w:rFonts w:ascii="黑体" w:hAnsi="黑体" w:eastAsia="黑体"/>
          <w:sz w:val="32"/>
        </w:rPr>
        <w:t>二、机构设置及人员情况</w:t>
      </w:r>
    </w:p>
    <w:p w14:paraId="5FE1EEDF">
      <w:pPr>
        <w:spacing w:line="580" w:lineRule="exact"/>
        <w:ind w:firstLine="640"/>
        <w:jc w:val="both"/>
      </w:pPr>
      <w:r>
        <w:rPr>
          <w:rFonts w:ascii="仿宋_GB2312" w:hAnsi="仿宋_GB2312" w:eastAsia="仿宋_GB2312"/>
          <w:sz w:val="32"/>
        </w:rPr>
        <w:t>新疆喀什地区瓜果蔬菜产业发展中心2024年度，实有人数35人，其中：在职人员12人，减少18人；离休人员0人，增加0人；退休人员23人,增加1人。</w:t>
      </w:r>
    </w:p>
    <w:p w14:paraId="53E7F5AB">
      <w:pPr>
        <w:spacing w:line="580" w:lineRule="exact"/>
        <w:ind w:firstLine="640"/>
        <w:jc w:val="both"/>
      </w:pPr>
      <w:r>
        <w:rPr>
          <w:rFonts w:ascii="仿宋_GB2312" w:hAnsi="仿宋_GB2312" w:eastAsia="仿宋_GB2312"/>
          <w:sz w:val="32"/>
        </w:rPr>
        <w:t>新疆喀什地区瓜果蔬菜产业发展中心无下属预算单位，下设3个科室，分别是：行政办公室、西甜瓜工作站、蔬菜工作站。</w:t>
      </w:r>
    </w:p>
    <w:p w14:paraId="735196A7">
      <w:r>
        <w:br w:type="page"/>
      </w:r>
    </w:p>
    <w:p w14:paraId="674BDE8A">
      <w:pPr>
        <w:spacing w:line="240" w:lineRule="auto"/>
        <w:jc w:val="center"/>
        <w:outlineLvl w:val="1"/>
      </w:pPr>
      <w:r>
        <w:rPr>
          <w:rFonts w:ascii="黑体" w:hAnsi="黑体" w:eastAsia="黑体"/>
          <w:sz w:val="32"/>
        </w:rPr>
        <w:t>第二部分 部门决算情况说明</w:t>
      </w:r>
    </w:p>
    <w:p w14:paraId="0797B8FB">
      <w:pPr>
        <w:spacing w:line="640" w:lineRule="exact"/>
        <w:ind w:firstLine="640"/>
        <w:jc w:val="both"/>
        <w:outlineLvl w:val="2"/>
      </w:pPr>
      <w:r>
        <w:rPr>
          <w:rFonts w:ascii="黑体" w:hAnsi="黑体" w:eastAsia="黑体"/>
          <w:sz w:val="32"/>
        </w:rPr>
        <w:t>一、收入支出决算总体情况说明</w:t>
      </w:r>
    </w:p>
    <w:p w14:paraId="7E02C350">
      <w:pPr>
        <w:spacing w:line="580" w:lineRule="exact"/>
        <w:ind w:firstLine="640"/>
        <w:jc w:val="both"/>
      </w:pPr>
      <w:r>
        <w:rPr>
          <w:rFonts w:ascii="仿宋_GB2312" w:hAnsi="仿宋_GB2312" w:eastAsia="仿宋_GB2312"/>
          <w:b/>
          <w:sz w:val="32"/>
        </w:rPr>
        <w:t>2024年度收入总计703.15万元，</w:t>
      </w:r>
      <w:r>
        <w:rPr>
          <w:rFonts w:ascii="仿宋_GB2312" w:hAnsi="仿宋_GB2312" w:eastAsia="仿宋_GB2312"/>
          <w:b w:val="0"/>
          <w:sz w:val="32"/>
        </w:rPr>
        <w:t>其中：本年收入合计703.15万元，使用非财政拨款结余（含专用结余）0.00万元，年初结转和结余0.00万元。</w:t>
      </w:r>
    </w:p>
    <w:p w14:paraId="0A1D4066">
      <w:pPr>
        <w:spacing w:line="580" w:lineRule="exact"/>
        <w:ind w:firstLine="640"/>
        <w:jc w:val="both"/>
      </w:pPr>
      <w:r>
        <w:rPr>
          <w:rFonts w:ascii="仿宋_GB2312" w:hAnsi="仿宋_GB2312" w:eastAsia="仿宋_GB2312"/>
          <w:b/>
          <w:sz w:val="32"/>
        </w:rPr>
        <w:t>2024年度支出总计703.15万元，</w:t>
      </w:r>
      <w:r>
        <w:rPr>
          <w:rFonts w:ascii="仿宋_GB2312" w:hAnsi="仿宋_GB2312" w:eastAsia="仿宋_GB2312"/>
          <w:b w:val="0"/>
          <w:sz w:val="32"/>
        </w:rPr>
        <w:t>其中：本年支出合计703.15万元，结余分配0.00万元，年末结转和结余0.00万元。</w:t>
      </w:r>
    </w:p>
    <w:p w14:paraId="02F4B7E9">
      <w:pPr>
        <w:spacing w:line="580" w:lineRule="exact"/>
        <w:ind w:firstLine="640"/>
        <w:jc w:val="both"/>
      </w:pPr>
      <w:r>
        <w:rPr>
          <w:rFonts w:ascii="仿宋_GB2312" w:hAnsi="仿宋_GB2312" w:eastAsia="仿宋_GB2312"/>
          <w:b w:val="0"/>
          <w:sz w:val="32"/>
        </w:rPr>
        <w:t>收入支出总体与上年相比，减少243.74万元，下降25.74%，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人员经费及项目经费划转至地区林业草原局，因此经费较上年减少。</w:t>
      </w:r>
    </w:p>
    <w:p w14:paraId="428D2BCC">
      <w:pPr>
        <w:spacing w:line="640" w:lineRule="exact"/>
        <w:ind w:firstLine="640"/>
        <w:jc w:val="both"/>
        <w:outlineLvl w:val="2"/>
      </w:pPr>
      <w:r>
        <w:rPr>
          <w:rFonts w:ascii="黑体" w:hAnsi="黑体" w:eastAsia="黑体"/>
          <w:sz w:val="32"/>
        </w:rPr>
        <w:t>二、收入决算情况说明</w:t>
      </w:r>
    </w:p>
    <w:p w14:paraId="38458932">
      <w:pPr>
        <w:spacing w:line="580" w:lineRule="exact"/>
        <w:ind w:firstLine="640"/>
        <w:jc w:val="both"/>
      </w:pPr>
      <w:r>
        <w:rPr>
          <w:rFonts w:ascii="仿宋_GB2312" w:hAnsi="仿宋_GB2312" w:eastAsia="仿宋_GB2312"/>
          <w:b/>
          <w:sz w:val="32"/>
        </w:rPr>
        <w:t>本年收入703.15万元，</w:t>
      </w:r>
      <w:r>
        <w:rPr>
          <w:rFonts w:ascii="仿宋_GB2312" w:hAnsi="仿宋_GB2312" w:eastAsia="仿宋_GB2312"/>
          <w:b w:val="0"/>
          <w:sz w:val="32"/>
        </w:rPr>
        <w:t>其中：财政拨款收入703.15万元，占100.00%；上级补助收入0.00万元，占0.00%；事业收入0.00万元，占0.00%；经营收入0.00万元，占0.00%；附属单位上缴收入0.00万元，占0.00%；其他收入0.00万元，占0.00%。</w:t>
      </w:r>
    </w:p>
    <w:p w14:paraId="03DBC7A4">
      <w:pPr>
        <w:spacing w:line="640" w:lineRule="exact"/>
        <w:ind w:firstLine="640"/>
        <w:jc w:val="both"/>
        <w:outlineLvl w:val="2"/>
      </w:pPr>
      <w:r>
        <w:rPr>
          <w:rFonts w:ascii="黑体" w:hAnsi="黑体" w:eastAsia="黑体"/>
          <w:sz w:val="32"/>
        </w:rPr>
        <w:t>三、支出决算情况说明</w:t>
      </w:r>
    </w:p>
    <w:p w14:paraId="097C01AC">
      <w:pPr>
        <w:spacing w:line="580" w:lineRule="exact"/>
        <w:ind w:firstLine="640"/>
        <w:jc w:val="both"/>
      </w:pPr>
      <w:r>
        <w:rPr>
          <w:rFonts w:ascii="仿宋_GB2312" w:hAnsi="仿宋_GB2312" w:eastAsia="仿宋_GB2312"/>
          <w:b/>
          <w:sz w:val="32"/>
        </w:rPr>
        <w:t>本年支出703.15万元，</w:t>
      </w:r>
      <w:r>
        <w:rPr>
          <w:rFonts w:ascii="仿宋_GB2312" w:hAnsi="仿宋_GB2312" w:eastAsia="仿宋_GB2312"/>
          <w:b w:val="0"/>
          <w:sz w:val="32"/>
        </w:rPr>
        <w:t>其中：基本支出544.58万元，占77.45%；项目支出158.57万元，占22.55%；上缴上级支出0.00万元，占0.00%；经营支出0.00万元，占0.00%；对附属单位补助支出0.00万元，占0.00%。</w:t>
      </w:r>
    </w:p>
    <w:p w14:paraId="7C6032BE">
      <w:pPr>
        <w:spacing w:line="640" w:lineRule="exact"/>
        <w:ind w:firstLine="640"/>
        <w:jc w:val="both"/>
        <w:outlineLvl w:val="2"/>
      </w:pPr>
      <w:r>
        <w:rPr>
          <w:rFonts w:ascii="黑体" w:hAnsi="黑体" w:eastAsia="黑体"/>
          <w:sz w:val="32"/>
        </w:rPr>
        <w:t>四、财政拨款收入支出决算总体情况说明</w:t>
      </w:r>
    </w:p>
    <w:p w14:paraId="5E5E4DF9">
      <w:pPr>
        <w:spacing w:line="580" w:lineRule="exact"/>
        <w:ind w:firstLine="640"/>
        <w:jc w:val="both"/>
      </w:pPr>
      <w:r>
        <w:rPr>
          <w:rFonts w:ascii="仿宋_GB2312" w:hAnsi="仿宋_GB2312" w:eastAsia="仿宋_GB2312"/>
          <w:b/>
          <w:sz w:val="32"/>
        </w:rPr>
        <w:t>2024年度财政拨款收入总计703.15万元，</w:t>
      </w:r>
      <w:r>
        <w:rPr>
          <w:rFonts w:ascii="仿宋_GB2312" w:hAnsi="仿宋_GB2312" w:eastAsia="仿宋_GB2312"/>
          <w:b w:val="0"/>
          <w:sz w:val="32"/>
        </w:rPr>
        <w:t>其中：年初财政拨款结转和结余0.00万元，本年财政拨款收入703.15万元。</w:t>
      </w:r>
      <w:r>
        <w:rPr>
          <w:rFonts w:ascii="仿宋_GB2312" w:hAnsi="仿宋_GB2312" w:eastAsia="仿宋_GB2312"/>
          <w:b/>
          <w:sz w:val="32"/>
        </w:rPr>
        <w:t>财政拨款支出总计703.15万元，</w:t>
      </w:r>
      <w:r>
        <w:rPr>
          <w:rFonts w:ascii="仿宋_GB2312" w:hAnsi="仿宋_GB2312" w:eastAsia="仿宋_GB2312"/>
          <w:b w:val="0"/>
          <w:sz w:val="32"/>
        </w:rPr>
        <w:t>其中：年末财政拨款结转和结余0.00万元，本年财政拨款支出703.15万元。</w:t>
      </w:r>
    </w:p>
    <w:p w14:paraId="5F606CD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243.74万元，下降25.74%，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人员经费及项目经费划转至地区林业草原局，因此经费较上年减少。</w:t>
      </w:r>
      <w:r>
        <w:rPr>
          <w:rFonts w:ascii="仿宋_GB2312" w:hAnsi="仿宋_GB2312" w:eastAsia="仿宋_GB2312"/>
          <w:b/>
          <w:sz w:val="32"/>
        </w:rPr>
        <w:t>与年初预算相比，</w:t>
      </w:r>
      <w:r>
        <w:rPr>
          <w:rFonts w:ascii="仿宋_GB2312" w:hAnsi="仿宋_GB2312" w:eastAsia="仿宋_GB2312"/>
          <w:b w:val="0"/>
          <w:sz w:val="32"/>
        </w:rPr>
        <w:t>年初预算数731.54万元，决算数703.15万元，预决算差异率-3.88%，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2024年8月人员经费及项目经费划转至地区林业草原局，因此调减经费，导致预决算存在差异。</w:t>
      </w:r>
    </w:p>
    <w:p w14:paraId="42655015">
      <w:pPr>
        <w:spacing w:line="640" w:lineRule="exact"/>
        <w:ind w:firstLine="640"/>
        <w:jc w:val="both"/>
        <w:outlineLvl w:val="2"/>
      </w:pPr>
      <w:r>
        <w:rPr>
          <w:rFonts w:ascii="黑体" w:hAnsi="黑体" w:eastAsia="黑体"/>
          <w:sz w:val="32"/>
        </w:rPr>
        <w:t>五、一般公共预算财政拨款支出决算情况说明</w:t>
      </w:r>
    </w:p>
    <w:p w14:paraId="67296BB2">
      <w:pPr>
        <w:spacing w:line="640" w:lineRule="exact"/>
        <w:ind w:firstLine="640"/>
        <w:jc w:val="both"/>
        <w:outlineLvl w:val="3"/>
      </w:pPr>
      <w:r>
        <w:rPr>
          <w:rFonts w:ascii="楷体_GB2312" w:hAnsi="楷体_GB2312" w:eastAsia="楷体_GB2312"/>
          <w:b/>
          <w:sz w:val="32"/>
        </w:rPr>
        <w:t>（一）一般公共预算财政拨款支出决算总体情况</w:t>
      </w:r>
    </w:p>
    <w:p w14:paraId="448F0363">
      <w:pPr>
        <w:spacing w:line="580" w:lineRule="exact"/>
        <w:ind w:firstLine="640"/>
        <w:jc w:val="both"/>
      </w:pPr>
      <w:r>
        <w:rPr>
          <w:rFonts w:ascii="仿宋_GB2312" w:hAnsi="仿宋_GB2312" w:eastAsia="仿宋_GB2312"/>
          <w:b/>
          <w:sz w:val="32"/>
        </w:rPr>
        <w:t>2024年度一般公共预算财政拨款支出703.15万元，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243.74万元，下降25.74%，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2024年8月人员经费及项目经费划转至地区林业草原局，因此经费较上年减少。</w:t>
      </w:r>
      <w:r>
        <w:rPr>
          <w:rFonts w:ascii="仿宋_GB2312" w:hAnsi="仿宋_GB2312" w:eastAsia="仿宋_GB2312"/>
          <w:b/>
          <w:sz w:val="32"/>
        </w:rPr>
        <w:t>与年初预算相比,</w:t>
      </w:r>
      <w:r>
        <w:rPr>
          <w:rFonts w:ascii="仿宋_GB2312" w:hAnsi="仿宋_GB2312" w:eastAsia="仿宋_GB2312"/>
          <w:b w:val="0"/>
          <w:sz w:val="32"/>
        </w:rPr>
        <w:t>年初预算数731.54万元，决算数703.15万元，预决算差异率-3.88%，主要原因是：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2024年8月人员经费及项目经费划转至地区林业草原局，因此调减经费，导致预决算存在差异。</w:t>
      </w:r>
    </w:p>
    <w:p w14:paraId="292BBAB7">
      <w:pPr>
        <w:spacing w:line="640" w:lineRule="exact"/>
        <w:ind w:firstLine="640"/>
        <w:jc w:val="both"/>
        <w:outlineLvl w:val="3"/>
      </w:pPr>
      <w:r>
        <w:rPr>
          <w:rFonts w:ascii="楷体_GB2312" w:hAnsi="楷体_GB2312" w:eastAsia="楷体_GB2312"/>
          <w:b/>
          <w:sz w:val="32"/>
        </w:rPr>
        <w:t>（二）一般公共预算财政拨款支出决算结构情况</w:t>
      </w:r>
    </w:p>
    <w:p w14:paraId="39990C02">
      <w:pPr>
        <w:spacing w:line="580" w:lineRule="exact"/>
        <w:ind w:firstLine="640"/>
        <w:jc w:val="both"/>
      </w:pPr>
      <w:r>
        <w:rPr>
          <w:rFonts w:ascii="仿宋_GB2312" w:hAnsi="仿宋_GB2312" w:eastAsia="仿宋_GB2312"/>
          <w:b w:val="0"/>
          <w:sz w:val="32"/>
        </w:rPr>
        <w:t>1.一般公共服务支出(类)2.20万元,占0.31%。</w:t>
      </w:r>
    </w:p>
    <w:p w14:paraId="792D6131">
      <w:pPr>
        <w:spacing w:line="580" w:lineRule="exact"/>
        <w:ind w:firstLine="640"/>
        <w:jc w:val="both"/>
      </w:pPr>
      <w:r>
        <w:rPr>
          <w:rFonts w:ascii="仿宋_GB2312" w:hAnsi="仿宋_GB2312" w:eastAsia="仿宋_GB2312"/>
          <w:b w:val="0"/>
          <w:sz w:val="32"/>
        </w:rPr>
        <w:t>2.科学技术支出(类)35.00万元,占4.98%。</w:t>
      </w:r>
    </w:p>
    <w:p w14:paraId="46A2093C">
      <w:pPr>
        <w:spacing w:line="580" w:lineRule="exact"/>
        <w:ind w:firstLine="640"/>
        <w:jc w:val="both"/>
      </w:pPr>
      <w:r>
        <w:rPr>
          <w:rFonts w:ascii="仿宋_GB2312" w:hAnsi="仿宋_GB2312" w:eastAsia="仿宋_GB2312"/>
          <w:b w:val="0"/>
          <w:sz w:val="32"/>
        </w:rPr>
        <w:t>3.社会保障和就业支出(类)89.55万元,占12.74%。</w:t>
      </w:r>
    </w:p>
    <w:p w14:paraId="67F4D6C8">
      <w:pPr>
        <w:spacing w:line="580" w:lineRule="exact"/>
        <w:ind w:firstLine="640"/>
        <w:jc w:val="both"/>
      </w:pPr>
      <w:r>
        <w:rPr>
          <w:rFonts w:ascii="仿宋_GB2312" w:hAnsi="仿宋_GB2312" w:eastAsia="仿宋_GB2312"/>
          <w:b w:val="0"/>
          <w:sz w:val="32"/>
        </w:rPr>
        <w:t>4.卫生健康支出(类)19.33万元,占2.75%。</w:t>
      </w:r>
    </w:p>
    <w:p w14:paraId="713F0978">
      <w:pPr>
        <w:spacing w:line="580" w:lineRule="exact"/>
        <w:ind w:firstLine="640"/>
        <w:jc w:val="both"/>
      </w:pPr>
      <w:r>
        <w:rPr>
          <w:rFonts w:ascii="仿宋_GB2312" w:hAnsi="仿宋_GB2312" w:eastAsia="仿宋_GB2312"/>
          <w:b w:val="0"/>
          <w:sz w:val="32"/>
        </w:rPr>
        <w:t>5.农林水支出(类)510.60万元,占72.62%。</w:t>
      </w:r>
    </w:p>
    <w:p w14:paraId="5ADF80B4">
      <w:pPr>
        <w:spacing w:line="580" w:lineRule="exact"/>
        <w:ind w:firstLine="640"/>
        <w:jc w:val="both"/>
      </w:pPr>
      <w:r>
        <w:rPr>
          <w:rFonts w:ascii="仿宋_GB2312" w:hAnsi="仿宋_GB2312" w:eastAsia="仿宋_GB2312"/>
          <w:b w:val="0"/>
          <w:sz w:val="32"/>
        </w:rPr>
        <w:t>6.住房保障支出(类)36.48万元,占5.19%。</w:t>
      </w:r>
    </w:p>
    <w:p w14:paraId="2B538421">
      <w:pPr>
        <w:spacing w:line="580" w:lineRule="exact"/>
        <w:ind w:firstLine="640"/>
        <w:jc w:val="both"/>
      </w:pPr>
      <w:r>
        <w:rPr>
          <w:rFonts w:ascii="仿宋_GB2312" w:hAnsi="仿宋_GB2312" w:eastAsia="仿宋_GB2312"/>
          <w:b w:val="0"/>
          <w:sz w:val="32"/>
        </w:rPr>
        <w:t>7.其他支出(类)10.00万元,占1.42%。</w:t>
      </w:r>
    </w:p>
    <w:p w14:paraId="501F22DA">
      <w:pPr>
        <w:spacing w:line="640" w:lineRule="exact"/>
        <w:ind w:firstLine="640"/>
        <w:jc w:val="both"/>
        <w:outlineLvl w:val="3"/>
      </w:pPr>
      <w:r>
        <w:rPr>
          <w:rFonts w:ascii="楷体_GB2312" w:hAnsi="楷体_GB2312" w:eastAsia="楷体_GB2312"/>
          <w:b/>
          <w:sz w:val="32"/>
        </w:rPr>
        <w:t>（三）一般公共预算财政拨款支出决算具体情况</w:t>
      </w:r>
    </w:p>
    <w:p w14:paraId="74D310BF">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0.80万元，下降100.00%,主要原因是：本年功能科目调整，援疆干部南疆工作补贴调整到主科目列支，本年无此科目支出。</w:t>
      </w:r>
    </w:p>
    <w:p w14:paraId="37D2655D">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2.一般公共服务支出(类)统战事务(款)宗教事务(项):支出决算数为2.20万元，比上年决算增加1.71万元，增长348.98%,主要原因是：本年增加生活补助提标部分，导致经费较上年增加。</w:t>
      </w:r>
    </w:p>
    <w:p w14:paraId="1F90B6A8">
      <w:pPr>
        <w:spacing w:line="580" w:lineRule="exact"/>
        <w:ind w:firstLine="640"/>
        <w:jc w:val="both"/>
      </w:pPr>
      <w:r>
        <w:rPr>
          <w:rFonts w:ascii="仿宋_GB2312" w:hAnsi="仿宋_GB2312" w:eastAsia="仿宋_GB2312"/>
          <w:b w:val="0"/>
          <w:sz w:val="32"/>
        </w:rPr>
        <w:t>3.科学技术支出(类)基础研究(款)科技人才队伍建设(项):支出决算数为30.00万元，比上年决算增加30.00万元，增长100.00%,主要原因是：本年增加天山英才培养计划，导致经费较上年增加。</w:t>
      </w:r>
    </w:p>
    <w:p w14:paraId="7058F160">
      <w:pPr>
        <w:spacing w:line="580" w:lineRule="exact"/>
        <w:ind w:firstLine="640"/>
        <w:jc w:val="both"/>
      </w:pPr>
      <w:r>
        <w:rPr>
          <w:rFonts w:ascii="仿宋_GB2312" w:hAnsi="仿宋_GB2312" w:eastAsia="仿宋_GB2312"/>
          <w:b w:val="0"/>
          <w:sz w:val="32"/>
        </w:rPr>
        <w:t>4.科学技术支出(类)技术研究与开发(款)科技成果转化与扩散(项):支出决算数为5.00万元，比上年决算增加5.00万元，增长100.00%,主要原因是：2024年农业农村局根据单位职能将“口感番茄新品种引育及标准生产技术研究项目”调整至地区瓜果蔬菜产业发展中心，导致经费较上年增加。</w:t>
      </w:r>
    </w:p>
    <w:p w14:paraId="4CE21A90">
      <w:pPr>
        <w:spacing w:line="580" w:lineRule="exact"/>
        <w:ind w:firstLine="640"/>
        <w:jc w:val="both"/>
      </w:pPr>
      <w:r>
        <w:rPr>
          <w:rFonts w:ascii="仿宋_GB2312" w:hAnsi="仿宋_GB2312" w:eastAsia="仿宋_GB2312"/>
          <w:b w:val="0"/>
          <w:sz w:val="32"/>
        </w:rPr>
        <w:t>5.科学技术支出(类)其他科学技术支出(款)其他科学技术支出(项):支出决算数为0.00万元，比上年决算减少30.00万元，下降100.00%,主要原因是：本年减少喀什地区新梅黄化症综合防治关键技术研究与示范项目。</w:t>
      </w:r>
    </w:p>
    <w:p w14:paraId="6DF8F3B7">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6.社会保障和就业支出(类)行政事业单位养老支出(款)事业单位离退休(项):支出决算数为34.07万元，比上年决算增加8.77万元，增长34.66%,主要原因是：本年补发退休人员绩效，导致退休费较上年增加。</w:t>
      </w:r>
    </w:p>
    <w:p w14:paraId="2B98B4EC">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44.67万元，比上年决算减少12.94万元，下降22.46%,主要原因是：2024年根据《新疆喀什地区人力资源和社会保障局调配通知》（喀人社改革调字〔2024〕127号）隶属于地区瓜果蔬菜产业发展中心的林果站人员于2024年8月整体划转到地区林业草原局。2024年8月17人养老保险缴费不在本部门支出，因此经费减少。</w:t>
      </w:r>
    </w:p>
    <w:p w14:paraId="28100C65">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10.80万元，比上年决算增加1.22万元，增长12.73%,主要原因是：本年新增退休人员，导致职业年金缴费支出增加。</w:t>
      </w:r>
    </w:p>
    <w:p w14:paraId="0B57F0AD">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9.社会保障和就业支出(类)抚恤(款)死亡抚恤(项):支出决算数为0.00万元，比上年决算减少10.58万元，下降100.00%,主要原因是：本年无死亡人员，死亡抚恤金支出减少。</w:t>
      </w:r>
    </w:p>
    <w:p w14:paraId="76429281">
      <w:pPr>
        <w:spacing w:line="580" w:lineRule="exact"/>
        <w:ind w:firstLine="640"/>
        <w:jc w:val="both"/>
      </w:pPr>
      <w:r>
        <w:rPr>
          <w:rFonts w:ascii="仿宋_GB2312" w:hAnsi="仿宋_GB2312" w:eastAsia="仿宋_GB2312"/>
          <w:b w:val="0"/>
          <w:sz w:val="32"/>
        </w:rPr>
        <w:t>10.卫生健康支出(类)行政事业单位医疗(款)事业单位医疗(项):支出决算数为19.08万元，比上年决算减少5.41万元，下降22.09%,主要原因是：2024年根据《新疆喀什地区人力资源和社会保障局调配通知》（喀人社改革调字〔2024〕127号）隶属于地区瓜果蔬菜产业发展中心的林果站人员于2024年8月整体划转到地区林业草原局。2024年8月17人事业单位医疗缴费不在本部门支出，因此经费减少。</w:t>
      </w:r>
    </w:p>
    <w:p w14:paraId="4E72A994">
      <w:pPr>
        <w:spacing w:line="580" w:lineRule="exact"/>
        <w:ind w:firstLine="640"/>
        <w:jc w:val="both"/>
      </w:pPr>
      <w:r>
        <w:rPr>
          <w:rFonts w:ascii="仿宋_GB2312" w:hAnsi="仿宋_GB2312" w:eastAsia="仿宋_GB2312"/>
          <w:b w:val="0"/>
          <w:sz w:val="32"/>
        </w:rPr>
        <w:t>11.卫生健康支出(类)行政事业单位医疗(款)公务员医疗补助(项):支出决算数为0.25万元，比上年决算减少0.15万元，下降37.50%,主要原因是：2024年根据《新疆喀什地区人力资源和社会保障局调配通知》（喀人社改革调字〔2024〕127号）隶属于地区瓜果蔬菜产业发展中心的林果站人员于2024年8月整体划转到地区林业草原局。2024年8月17人公务员医疗补助不在本部门支出，因此经费减少。</w:t>
      </w:r>
    </w:p>
    <w:p w14:paraId="16EBCDB6">
      <w:pPr>
        <w:spacing w:line="580" w:lineRule="exact"/>
        <w:ind w:firstLine="640"/>
        <w:jc w:val="both"/>
      </w:pPr>
      <w:r>
        <w:rPr>
          <w:rFonts w:ascii="仿宋_GB2312" w:hAnsi="仿宋_GB2312" w:eastAsia="仿宋_GB2312"/>
          <w:b w:val="0"/>
          <w:sz w:val="32"/>
        </w:rPr>
        <w:t>12.农林水支出(类)农业农村(款)事业运行(项):支出决算数为397.03万元，比上年决算减少109.88万元，下降21.68%,主要原因是：2024年根据《新疆喀什地区人力资源和社会保障局调配通知》（喀人社改革调字〔2024〕127号）隶属于地区瓜果蔬菜产业发展中心的林果站人员于2024年8月整体划转到地区林业草原局。2024年8月17人员工资不在本部门发放，因此经费减少。</w:t>
      </w:r>
    </w:p>
    <w:p w14:paraId="0A2665D6">
      <w:pPr>
        <w:spacing w:line="580" w:lineRule="exact"/>
        <w:ind w:firstLine="640"/>
        <w:jc w:val="both"/>
      </w:pPr>
      <w:r>
        <w:rPr>
          <w:rFonts w:ascii="仿宋_GB2312" w:hAnsi="仿宋_GB2312" w:eastAsia="仿宋_GB2312"/>
          <w:b w:val="0"/>
          <w:sz w:val="32"/>
        </w:rPr>
        <w:t>13.农林水支出(类)农业农村(款)科技转化与推广服务(项):支出决算数为99.99万元，比上年决算减少100.01万元，下降50.00%,主要原因是：2024年减少人才基金项目，项目经费减少。</w:t>
      </w:r>
    </w:p>
    <w:p w14:paraId="264D25F7">
      <w:pPr>
        <w:spacing w:line="580" w:lineRule="exact"/>
        <w:ind w:firstLine="640"/>
        <w:jc w:val="both"/>
      </w:pPr>
      <w:r>
        <w:rPr>
          <w:rFonts w:ascii="仿宋_GB2312" w:hAnsi="仿宋_GB2312" w:eastAsia="仿宋_GB2312"/>
          <w:b w:val="0"/>
          <w:sz w:val="32"/>
        </w:rPr>
        <w:t>14.农林水支出(类)林业和草原(款)其他林业和草原支出(项):支出决算数为13.58万元，比上年决算减少9.26万元，下降40.54%,主要原因是：2024年根据中共喀什地区委员会机构编制委员会《关于调整地区林业和草原局职责及部分所属事业单位的通知》隶属于地区瓜果蔬菜产业发展中心的林果站整体划转到地区林业草原局。根据职能将“喀什地区林果业提质增效专家技术指导服务”项目资金划转至地区林业草原局，因此经费减少。</w:t>
      </w:r>
    </w:p>
    <w:p w14:paraId="536DF887">
      <w:pPr>
        <w:spacing w:line="580" w:lineRule="exact"/>
        <w:ind w:firstLine="640"/>
        <w:jc w:val="both"/>
      </w:pPr>
      <w:r>
        <w:rPr>
          <w:rFonts w:ascii="仿宋_GB2312" w:hAnsi="仿宋_GB2312" w:eastAsia="仿宋_GB2312"/>
          <w:b w:val="0"/>
          <w:sz w:val="32"/>
        </w:rPr>
        <w:t>15.住房保障支出(类)住房改革支出(款)住房公积金(项):支出决算数为36.48万元，比上年决算减少11.40万元，下降23.81%,主要原因是：2024年根据《新疆喀什地区人力资源和社会保障局调配通知》（喀人社改革调字〔2024〕127号）隶属于地区瓜果蔬菜产业发展中心的林果站人员于2024年8月整体划转到地区林业草原局。2024年8月17人住房公积金缴费不在本部门支出，因此经费减少。</w:t>
      </w:r>
    </w:p>
    <w:p w14:paraId="566798A3">
      <w:pPr>
        <w:spacing w:line="580" w:lineRule="exact"/>
        <w:ind w:firstLine="640"/>
        <w:jc w:val="both"/>
      </w:pPr>
      <w:r>
        <w:rPr>
          <w:rFonts w:ascii="仿宋_GB2312" w:hAnsi="仿宋_GB2312" w:eastAsia="仿宋_GB2312"/>
          <w:b w:val="0"/>
          <w:sz w:val="32"/>
        </w:rPr>
        <w:t>16.其他支出(类)其他支出(款)其他支出(项):支出决算数为10.00万元，比上年决算增加0.00万元，增长0.00%,主要原因是：为民办实事项目经费与上年一致无变化。</w:t>
      </w:r>
    </w:p>
    <w:p w14:paraId="7369FC0A">
      <w:pPr>
        <w:spacing w:line="640" w:lineRule="exact"/>
        <w:ind w:firstLine="640"/>
        <w:jc w:val="both"/>
        <w:outlineLvl w:val="2"/>
      </w:pPr>
      <w:r>
        <w:rPr>
          <w:rFonts w:ascii="黑体" w:hAnsi="黑体" w:eastAsia="黑体"/>
          <w:sz w:val="32"/>
        </w:rPr>
        <w:t>六、一般公共预算财政拨款基本支出决算情况说明</w:t>
      </w:r>
    </w:p>
    <w:p w14:paraId="495B636D">
      <w:pPr>
        <w:spacing w:line="580" w:lineRule="exact"/>
        <w:ind w:firstLine="640"/>
        <w:jc w:val="both"/>
      </w:pPr>
      <w:r>
        <w:rPr>
          <w:rFonts w:ascii="仿宋_GB2312" w:hAnsi="仿宋_GB2312" w:eastAsia="仿宋_GB2312"/>
          <w:b w:val="0"/>
          <w:sz w:val="32"/>
        </w:rPr>
        <w:t>2024年度一般公共预算财政拨款基本支出544.58万元，其中：</w:t>
      </w:r>
      <w:r>
        <w:rPr>
          <w:rFonts w:ascii="仿宋_GB2312" w:hAnsi="仿宋_GB2312" w:eastAsia="仿宋_GB2312"/>
          <w:b/>
          <w:sz w:val="32"/>
        </w:rPr>
        <w:t>人员经费509.52万元，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7A1EB540">
      <w:pPr>
        <w:spacing w:line="580" w:lineRule="exact"/>
        <w:ind w:firstLine="640"/>
        <w:jc w:val="both"/>
      </w:pPr>
      <w:r>
        <w:rPr>
          <w:rFonts w:ascii="仿宋_GB2312" w:hAnsi="仿宋_GB2312" w:eastAsia="仿宋_GB2312"/>
          <w:b/>
          <w:sz w:val="32"/>
        </w:rPr>
        <w:t>公用经费35.06万元，</w:t>
      </w:r>
      <w:r>
        <w:rPr>
          <w:rFonts w:ascii="仿宋_GB2312" w:hAnsi="仿宋_GB2312" w:eastAsia="仿宋_GB2312"/>
          <w:b w:val="0"/>
          <w:sz w:val="32"/>
        </w:rPr>
        <w:t>包括：办公费、印刷费、手续费、水费、电费、邮电费、差旅费、维修（护）费、专用材料费、劳务费、工会经费、公务用车运行维护费、其他交通费用。</w:t>
      </w:r>
    </w:p>
    <w:p w14:paraId="3DD60607">
      <w:pPr>
        <w:spacing w:line="640" w:lineRule="exact"/>
        <w:ind w:firstLine="640"/>
        <w:jc w:val="both"/>
        <w:outlineLvl w:val="2"/>
      </w:pPr>
      <w:r>
        <w:rPr>
          <w:rFonts w:ascii="黑体" w:hAnsi="黑体" w:eastAsia="黑体"/>
          <w:sz w:val="32"/>
        </w:rPr>
        <w:t>七、政府性基金预算财政拨款收入支出决算情况说明</w:t>
      </w:r>
    </w:p>
    <w:p w14:paraId="15D2B54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E5B586F">
      <w:pPr>
        <w:spacing w:line="640" w:lineRule="exact"/>
        <w:ind w:firstLine="640"/>
        <w:jc w:val="both"/>
        <w:outlineLvl w:val="2"/>
      </w:pPr>
      <w:r>
        <w:rPr>
          <w:rFonts w:ascii="黑体" w:hAnsi="黑体" w:eastAsia="黑体"/>
          <w:sz w:val="32"/>
        </w:rPr>
        <w:t>八、国有资本经营预算财政拨款收入支出决算情况说明</w:t>
      </w:r>
    </w:p>
    <w:p w14:paraId="0021F67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91514D5">
      <w:pPr>
        <w:spacing w:line="640" w:lineRule="exact"/>
        <w:ind w:firstLine="640"/>
        <w:jc w:val="both"/>
        <w:outlineLvl w:val="2"/>
      </w:pPr>
      <w:r>
        <w:rPr>
          <w:rFonts w:ascii="黑体" w:hAnsi="黑体" w:eastAsia="黑体"/>
          <w:sz w:val="32"/>
        </w:rPr>
        <w:t>九、财政拨款“三公”经费支出决算情况说明</w:t>
      </w:r>
    </w:p>
    <w:p w14:paraId="7A01B21B">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增加0.00万元，增长0.00%，主要原因是：本部门财政拨款“三公”经费与上年一致无变化。其中：因公出国（境）费支出0.00万元，占0.00%，比上年增加0.00万元，增长0.00%，主要原因是：2023年与2024年均未安排因公出国（境）费支出。公务用车购置及运行维护费支出2.40万元，占100.00%，比上年增加0.00万元，增长0.00%，主要原因是：本部门公务用车运行维护费与上年一致无变化。公务接待费支出0.00万元，占0.00%，比上年增加0.00万元，增长0.00%，主要原因是：2023年与2024年均未安排公务接待费支出。</w:t>
      </w:r>
    </w:p>
    <w:p w14:paraId="55B7C96B">
      <w:pPr>
        <w:spacing w:line="580" w:lineRule="exact"/>
        <w:ind w:firstLine="640"/>
        <w:jc w:val="both"/>
      </w:pPr>
      <w:r>
        <w:rPr>
          <w:rFonts w:ascii="仿宋_GB2312" w:hAnsi="仿宋_GB2312" w:eastAsia="仿宋_GB2312"/>
          <w:b/>
          <w:sz w:val="32"/>
        </w:rPr>
        <w:t>具体情况如下：</w:t>
      </w:r>
    </w:p>
    <w:p w14:paraId="36150DE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6834951">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32FE4BC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869FE3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2.40万元，决算数2.40万元，预决算差异率0.00%，主要原因是：严格按照预算执行，预决算无差异。公务接待费全年预算数0.00万元，决算数0.00万元，预决算差异率0.00%，主要原因是：本部门无公务接待费。</w:t>
      </w:r>
    </w:p>
    <w:p w14:paraId="4B390288">
      <w:pPr>
        <w:spacing w:line="640" w:lineRule="exact"/>
        <w:ind w:firstLine="640"/>
        <w:jc w:val="both"/>
        <w:outlineLvl w:val="2"/>
      </w:pPr>
      <w:r>
        <w:rPr>
          <w:rFonts w:ascii="黑体" w:hAnsi="黑体" w:eastAsia="黑体"/>
          <w:sz w:val="32"/>
        </w:rPr>
        <w:t>十、其他重要事项的情况说明</w:t>
      </w:r>
    </w:p>
    <w:p w14:paraId="37FC7274">
      <w:pPr>
        <w:spacing w:line="640" w:lineRule="exact"/>
        <w:ind w:firstLine="640"/>
        <w:jc w:val="both"/>
        <w:outlineLvl w:val="3"/>
      </w:pPr>
      <w:r>
        <w:rPr>
          <w:rFonts w:ascii="楷体_GB2312" w:hAnsi="楷体_GB2312" w:eastAsia="楷体_GB2312"/>
          <w:b/>
          <w:sz w:val="32"/>
        </w:rPr>
        <w:t>（一）机关运行经费及公用经费支出情况</w:t>
      </w:r>
    </w:p>
    <w:p w14:paraId="1F8CF97A">
      <w:pPr>
        <w:spacing w:line="580" w:lineRule="exact"/>
        <w:ind w:firstLine="640"/>
        <w:jc w:val="both"/>
      </w:pPr>
      <w:r>
        <w:rPr>
          <w:rFonts w:ascii="仿宋_GB2312" w:hAnsi="仿宋_GB2312" w:eastAsia="仿宋_GB2312"/>
          <w:b w:val="0"/>
          <w:sz w:val="32"/>
        </w:rPr>
        <w:t>2024年度新疆喀什地区瓜果蔬菜产业发展中心（事业单位）公用经费支出35.06万元，比上年增加9.72万元，增长38.36%，主要原因是：本年更新、维护补充办公用品，导致公用经费较上年增加。</w:t>
      </w:r>
    </w:p>
    <w:p w14:paraId="302B3A36">
      <w:pPr>
        <w:spacing w:line="640" w:lineRule="exact"/>
        <w:ind w:firstLine="640"/>
        <w:jc w:val="both"/>
        <w:outlineLvl w:val="3"/>
      </w:pPr>
      <w:r>
        <w:rPr>
          <w:rFonts w:ascii="楷体_GB2312" w:hAnsi="楷体_GB2312" w:eastAsia="楷体_GB2312"/>
          <w:b/>
          <w:sz w:val="32"/>
        </w:rPr>
        <w:t>（二）政府采购情况</w:t>
      </w:r>
    </w:p>
    <w:p w14:paraId="70392BB0">
      <w:pPr>
        <w:spacing w:line="580" w:lineRule="exact"/>
        <w:ind w:firstLine="640"/>
        <w:jc w:val="both"/>
      </w:pPr>
      <w:r>
        <w:rPr>
          <w:rFonts w:ascii="仿宋_GB2312" w:hAnsi="仿宋_GB2312" w:eastAsia="仿宋_GB2312"/>
          <w:b w:val="0"/>
          <w:sz w:val="32"/>
        </w:rPr>
        <w:t>2024年度政府采购支出总额48.73万元，其中：政府采购货物支出26.99万元、政府采购工程支出0.00万元、政府采购服务支出21.74万元。</w:t>
      </w:r>
    </w:p>
    <w:p w14:paraId="3DC4BB19">
      <w:pPr>
        <w:spacing w:line="580" w:lineRule="exact"/>
        <w:ind w:firstLine="640"/>
        <w:jc w:val="both"/>
      </w:pPr>
      <w:r>
        <w:rPr>
          <w:rFonts w:ascii="仿宋_GB2312" w:hAnsi="仿宋_GB2312" w:eastAsia="仿宋_GB2312"/>
          <w:b w:val="0"/>
          <w:sz w:val="32"/>
        </w:rPr>
        <w:t>授予中小企业合同金额47.44万元，占政府采购支出总额的97.35%，其中：授予小微企业合同金额32.97万元，占政府采购支出总额的67.66%。</w:t>
      </w:r>
    </w:p>
    <w:p w14:paraId="1D05B73F">
      <w:pPr>
        <w:spacing w:line="640" w:lineRule="exact"/>
        <w:ind w:firstLine="640"/>
        <w:jc w:val="both"/>
        <w:outlineLvl w:val="3"/>
      </w:pPr>
      <w:r>
        <w:rPr>
          <w:rFonts w:ascii="楷体_GB2312" w:hAnsi="楷体_GB2312" w:eastAsia="楷体_GB2312"/>
          <w:b/>
          <w:sz w:val="32"/>
        </w:rPr>
        <w:t>（三）国有资产占用情况说明</w:t>
      </w:r>
    </w:p>
    <w:p w14:paraId="06E8E3EF">
      <w:pPr>
        <w:spacing w:line="580" w:lineRule="exact"/>
        <w:ind w:firstLine="640"/>
        <w:jc w:val="both"/>
      </w:pPr>
      <w:r>
        <w:rPr>
          <w:rFonts w:ascii="仿宋_GB2312" w:hAnsi="仿宋_GB2312" w:eastAsia="仿宋_GB2312"/>
          <w:b w:val="0"/>
          <w:sz w:val="32"/>
        </w:rPr>
        <w:t>截至2024年12月31日，房屋620.96平方米，价值18.38万元。车辆1辆，价值32.78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27D8E54">
      <w:pPr>
        <w:spacing w:line="640" w:lineRule="exact"/>
        <w:ind w:firstLine="640"/>
        <w:jc w:val="both"/>
        <w:outlineLvl w:val="2"/>
      </w:pPr>
      <w:r>
        <w:rPr>
          <w:rFonts w:ascii="黑体" w:hAnsi="黑体" w:eastAsia="黑体"/>
          <w:sz w:val="32"/>
        </w:rPr>
        <w:t>十一、预算绩效的情况说明</w:t>
      </w:r>
    </w:p>
    <w:p w14:paraId="2952171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706.19万元，实际执行总额703.15万元；预算绩效评价项目7个，全年预算数147.73万元，全年执行数147.73万元。预算绩效管理取得的成效：一是加强预算绩效目标管理工作。明确预算项目绩效目标编制要求，分类别建立科学合理、细化量化、可比可测预算绩效指标体系，突出结果导向，重点考核实绩。二是加强绩效业务学习及培训，提高业务人员绩效管理意识，进一步加强预算绩效管理工作，优化项目支出绩效指标体系，完善预算绩效管理制度，有效推动</w:t>
      </w:r>
      <w:r>
        <w:rPr>
          <w:rFonts w:hint="eastAsia" w:ascii="仿宋_GB2312" w:hAnsi="仿宋_GB2312" w:eastAsia="仿宋_GB2312"/>
          <w:b w:val="0"/>
          <w:sz w:val="32"/>
          <w:lang w:eastAsia="zh-CN"/>
        </w:rPr>
        <w:t>本部门</w:t>
      </w:r>
      <w:r>
        <w:rPr>
          <w:rFonts w:ascii="仿宋_GB2312" w:hAnsi="仿宋_GB2312" w:eastAsia="仿宋_GB2312"/>
          <w:b w:val="0"/>
          <w:sz w:val="32"/>
        </w:rPr>
        <w:t>下一年度预算绩效管理工作常态化、规范化。三是通过强化专业培训、学习考察、业务交流等措施，帮助和促进本部门现有人员提高绩效管理业务水平、实际工作能力。强化预算绩效执行工作，指定专人负责预算执行监督管理，进一步推动预算绩效管理工作。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因为单位机构改革，年中进行了资金调整，导致预算执行率存在差异。下一步改进措施：一是加大绩效工作宣传力度，强化绩效理念。完善绩效指标，提高整体绩效目标质量。提升预算精细化管理水平</w:t>
      </w:r>
      <w:r>
        <w:rPr>
          <w:rFonts w:hint="eastAsia" w:ascii="仿宋_GB2312" w:hAnsi="仿宋_GB2312" w:eastAsia="仿宋_GB2312"/>
          <w:b w:val="0"/>
          <w:sz w:val="32"/>
          <w:lang w:eastAsia="zh-CN"/>
        </w:rPr>
        <w:t>。</w:t>
      </w:r>
      <w:r>
        <w:rPr>
          <w:rFonts w:ascii="仿宋_GB2312" w:hAnsi="仿宋_GB2312" w:eastAsia="仿宋_GB2312"/>
          <w:b w:val="0"/>
          <w:sz w:val="32"/>
        </w:rPr>
        <w:t>二是继续完善预算绩效管理相关工作制度，建立全过程预算绩效管理链条，有效贯彻落实全面实施绩效管理的精神。具体附部门整体支出绩效自评表，项目支出绩效自评表和部门评价报告。</w:t>
      </w:r>
    </w:p>
    <w:p w14:paraId="1A3FD30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31F390">
        <w:tblPrEx>
          <w:tblCellMar>
            <w:top w:w="0" w:type="dxa"/>
            <w:left w:w="108" w:type="dxa"/>
            <w:bottom w:w="0" w:type="dxa"/>
            <w:right w:w="108" w:type="dxa"/>
          </w:tblCellMar>
        </w:tblPrEx>
        <w:tc>
          <w:tcPr>
            <w:tcW w:w="8847" w:type="dxa"/>
            <w:gridSpan w:val="9"/>
            <w:vAlign w:val="center"/>
          </w:tcPr>
          <w:p w14:paraId="35C7D365">
            <w:pPr>
              <w:jc w:val="center"/>
            </w:pPr>
            <w:r>
              <w:rPr>
                <w:rFonts w:ascii="宋体" w:hAnsi="宋体" w:eastAsia="宋体"/>
                <w:sz w:val="24"/>
              </w:rPr>
              <w:t>部门整体支出绩效自评表</w:t>
            </w:r>
          </w:p>
        </w:tc>
      </w:tr>
      <w:tr w14:paraId="7BEC5581">
        <w:tblPrEx>
          <w:tblCellMar>
            <w:top w:w="0" w:type="dxa"/>
            <w:left w:w="108" w:type="dxa"/>
            <w:bottom w:w="0" w:type="dxa"/>
            <w:right w:w="108" w:type="dxa"/>
          </w:tblCellMar>
        </w:tblPrEx>
        <w:tc>
          <w:tcPr>
            <w:tcW w:w="8847" w:type="dxa"/>
            <w:gridSpan w:val="9"/>
            <w:vAlign w:val="center"/>
          </w:tcPr>
          <w:p w14:paraId="74468E2F">
            <w:pPr>
              <w:jc w:val="center"/>
            </w:pPr>
            <w:r>
              <w:rPr>
                <w:rFonts w:ascii="宋体" w:hAnsi="宋体" w:eastAsia="宋体"/>
                <w:sz w:val="24"/>
              </w:rPr>
              <w:t>（2024年度）</w:t>
            </w:r>
          </w:p>
        </w:tc>
      </w:tr>
      <w:tr w14:paraId="44DCCC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3180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3E3D5A">
            <w:pPr>
              <w:jc w:val="center"/>
            </w:pPr>
            <w:r>
              <w:rPr>
                <w:rFonts w:ascii="宋体" w:hAnsi="宋体" w:eastAsia="宋体"/>
                <w:sz w:val="16"/>
              </w:rPr>
              <w:t>新疆喀什地区瓜果蔬菜产业发展中心</w:t>
            </w:r>
          </w:p>
        </w:tc>
      </w:tr>
      <w:tr w14:paraId="253ADF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0E4E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CDB1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BA5E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7576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2CE2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9280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00EC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FD48">
            <w:pPr>
              <w:jc w:val="center"/>
            </w:pPr>
            <w:r>
              <w:rPr>
                <w:rFonts w:ascii="宋体" w:hAnsi="宋体" w:eastAsia="宋体"/>
                <w:sz w:val="16"/>
              </w:rPr>
              <w:t>得分</w:t>
            </w:r>
          </w:p>
        </w:tc>
      </w:tr>
      <w:tr w14:paraId="49879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517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6858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643F5">
            <w:pPr>
              <w:jc w:val="center"/>
            </w:pPr>
            <w:r>
              <w:rPr>
                <w:rFonts w:ascii="宋体" w:hAnsi="宋体" w:eastAsia="宋体"/>
                <w:sz w:val="16"/>
              </w:rPr>
              <w:t>731.54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55FE8">
            <w:pPr>
              <w:jc w:val="center"/>
            </w:pPr>
            <w:r>
              <w:rPr>
                <w:rFonts w:ascii="宋体" w:hAnsi="宋体" w:eastAsia="宋体"/>
                <w:sz w:val="16"/>
              </w:rPr>
              <w:t>706.19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8225">
            <w:pPr>
              <w:jc w:val="center"/>
            </w:pPr>
            <w:r>
              <w:rPr>
                <w:rFonts w:ascii="宋体" w:hAnsi="宋体" w:eastAsia="宋体"/>
                <w:sz w:val="16"/>
              </w:rPr>
              <w:t>703.15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729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BDBA6">
            <w:pPr>
              <w:jc w:val="center"/>
            </w:pPr>
            <w:r>
              <w:rPr>
                <w:rFonts w:ascii="宋体" w:hAnsi="宋体" w:eastAsia="宋体"/>
                <w:sz w:val="16"/>
              </w:rPr>
              <w:t>99.57%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AB71">
            <w:pPr>
              <w:jc w:val="center"/>
            </w:pPr>
            <w:r>
              <w:rPr>
                <w:rFonts w:ascii="宋体" w:hAnsi="宋体" w:eastAsia="宋体"/>
                <w:sz w:val="16"/>
              </w:rPr>
              <w:t>9.96</w:t>
            </w:r>
          </w:p>
        </w:tc>
      </w:tr>
      <w:tr w14:paraId="6C67CF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3FC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1512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8198C">
            <w:pPr>
              <w:jc w:val="center"/>
            </w:pPr>
            <w:r>
              <w:rPr>
                <w:rFonts w:ascii="宋体" w:hAnsi="宋体" w:eastAsia="宋体"/>
                <w:sz w:val="16"/>
              </w:rPr>
              <w:t>24.72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FE983">
            <w:pPr>
              <w:jc w:val="center"/>
            </w:pPr>
            <w:r>
              <w:rPr>
                <w:rFonts w:ascii="宋体" w:hAnsi="宋体" w:eastAsia="宋体"/>
                <w:sz w:val="16"/>
              </w:rPr>
              <w:t>139.93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BFD1E">
            <w:pPr>
              <w:jc w:val="center"/>
            </w:pPr>
            <w:r>
              <w:rPr>
                <w:rFonts w:ascii="宋体" w:hAnsi="宋体" w:eastAsia="宋体"/>
                <w:sz w:val="16"/>
              </w:rPr>
              <w:t>139.93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0C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D23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7DBE">
            <w:pPr>
              <w:jc w:val="center"/>
            </w:pPr>
            <w:r>
              <w:rPr>
                <w:rFonts w:ascii="宋体" w:hAnsi="宋体" w:eastAsia="宋体"/>
                <w:sz w:val="16"/>
              </w:rPr>
              <w:t>—</w:t>
            </w:r>
          </w:p>
        </w:tc>
      </w:tr>
      <w:tr w14:paraId="32E8D0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388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2166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7ACB">
            <w:pPr>
              <w:jc w:val="center"/>
            </w:pPr>
            <w:r>
              <w:rPr>
                <w:rFonts w:ascii="宋体" w:hAnsi="宋体" w:eastAsia="宋体"/>
                <w:sz w:val="16"/>
              </w:rPr>
              <w:t>706.82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86480">
            <w:pPr>
              <w:jc w:val="center"/>
            </w:pPr>
            <w:r>
              <w:rPr>
                <w:rFonts w:ascii="宋体" w:hAnsi="宋体" w:eastAsia="宋体"/>
                <w:sz w:val="16"/>
              </w:rPr>
              <w:t>566.26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E084F">
            <w:pPr>
              <w:jc w:val="center"/>
            </w:pPr>
            <w:r>
              <w:rPr>
                <w:rFonts w:ascii="宋体" w:hAnsi="宋体" w:eastAsia="宋体"/>
                <w:sz w:val="16"/>
              </w:rPr>
              <w:t>563.22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9A8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145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472F7">
            <w:pPr>
              <w:jc w:val="center"/>
            </w:pPr>
            <w:r>
              <w:rPr>
                <w:rFonts w:ascii="宋体" w:hAnsi="宋体" w:eastAsia="宋体"/>
                <w:sz w:val="16"/>
              </w:rPr>
              <w:t>—</w:t>
            </w:r>
          </w:p>
        </w:tc>
      </w:tr>
      <w:tr w14:paraId="75CBBF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F5C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9E8D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42B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B6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E9A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E7D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70A5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5772">
            <w:pPr>
              <w:jc w:val="center"/>
            </w:pPr>
            <w:r>
              <w:rPr>
                <w:rFonts w:ascii="宋体" w:hAnsi="宋体" w:eastAsia="宋体"/>
                <w:sz w:val="16"/>
              </w:rPr>
              <w:t>—</w:t>
            </w:r>
          </w:p>
        </w:tc>
      </w:tr>
      <w:tr w14:paraId="78602A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C821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1EEC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E3BC9F">
            <w:pPr>
              <w:jc w:val="center"/>
            </w:pPr>
            <w:r>
              <w:rPr>
                <w:rFonts w:ascii="宋体" w:hAnsi="宋体" w:eastAsia="宋体"/>
                <w:sz w:val="16"/>
              </w:rPr>
              <w:t>实际完成情况</w:t>
            </w:r>
          </w:p>
        </w:tc>
      </w:tr>
      <w:tr w14:paraId="1E3D2D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0FEC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5B77DB">
            <w:pPr>
              <w:jc w:val="both"/>
            </w:pPr>
            <w:r>
              <w:rPr>
                <w:rFonts w:ascii="宋体" w:hAnsi="宋体" w:eastAsia="宋体"/>
                <w:sz w:val="16"/>
              </w:rPr>
              <w:t>2024年度</w:t>
            </w:r>
            <w:r>
              <w:rPr>
                <w:rFonts w:hint="eastAsia" w:ascii="宋体" w:hAnsi="宋体"/>
                <w:sz w:val="16"/>
                <w:lang w:eastAsia="zh-CN"/>
              </w:rPr>
              <w:t>本部门</w:t>
            </w:r>
            <w:r>
              <w:rPr>
                <w:rFonts w:ascii="宋体" w:hAnsi="宋体" w:eastAsia="宋体"/>
                <w:sz w:val="16"/>
              </w:rPr>
              <w:t>部门预算资金为731.54万元。2023年</w:t>
            </w:r>
            <w:r>
              <w:rPr>
                <w:rFonts w:hint="eastAsia" w:ascii="宋体" w:hAnsi="宋体"/>
                <w:sz w:val="16"/>
                <w:lang w:eastAsia="zh-CN"/>
              </w:rPr>
              <w:t>本部门</w:t>
            </w:r>
            <w:r>
              <w:rPr>
                <w:rFonts w:ascii="宋体" w:hAnsi="宋体" w:eastAsia="宋体"/>
                <w:sz w:val="16"/>
              </w:rPr>
              <w:t>坚持以习近平新时代中国特色社会主义思想为指导，深入学习贯彻党的二十大精神，学习贯彻习近平总书记视察新疆重要讲话精神重要指示精神和关于“三农”工作的重要论述，按照自治区党委十届六次全会安排部署，完整准确贯彻</w:t>
            </w:r>
            <w:r>
              <w:rPr>
                <w:rFonts w:hint="eastAsia" w:ascii="宋体" w:hAnsi="宋体"/>
                <w:sz w:val="16"/>
                <w:lang w:eastAsia="zh-CN"/>
              </w:rPr>
              <w:t>新时代党的治疆方略</w:t>
            </w:r>
            <w:r>
              <w:rPr>
                <w:rFonts w:ascii="宋体" w:hAnsi="宋体" w:eastAsia="宋体"/>
                <w:sz w:val="16"/>
              </w:rPr>
              <w:t>，牢牢扭住社会长治久安总目标，以瓜果蔬菜产业提质增效、农民增收为目标，充分履行瓜果蔬菜产业发展中心部门职能，抓好设施农业建设，2024年计划新建日光温室1万座，抓好蔬菜产业布局，落实150万亩蔬菜种植任务，抓好蔬菜生产保供，力争亩均单产2.6万吨以上，总产达到390万吨，发展专业蔬菜种植乡镇4个，发展订单蔬菜40万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9D9E35">
            <w:pPr>
              <w:jc w:val="both"/>
            </w:pPr>
            <w:r>
              <w:rPr>
                <w:rFonts w:hint="eastAsia" w:ascii="宋体" w:hAnsi="宋体"/>
                <w:sz w:val="16"/>
                <w:lang w:eastAsia="zh-CN"/>
              </w:rPr>
              <w:t>本部门</w:t>
            </w:r>
            <w:r>
              <w:rPr>
                <w:rFonts w:ascii="宋体" w:hAnsi="宋体" w:eastAsia="宋体"/>
                <w:sz w:val="16"/>
              </w:rPr>
              <w:t>按照地委、行署、自治区农业农村厅及农业农村局党组要求，2024年地区瓜果蔬菜产业发展中心年初预算资金为731.54万元，预算调整后资金为706.19万元，执行数为703.15万元，结转3.03万元。根据年初中共喀什地区地委扩大会议工作要求，2024年</w:t>
            </w:r>
            <w:r>
              <w:rPr>
                <w:rFonts w:hint="eastAsia" w:ascii="宋体" w:hAnsi="宋体"/>
                <w:sz w:val="16"/>
                <w:lang w:eastAsia="zh-CN"/>
              </w:rPr>
              <w:t>本部门</w:t>
            </w:r>
            <w:r>
              <w:rPr>
                <w:rFonts w:ascii="宋体" w:hAnsi="宋体" w:eastAsia="宋体"/>
                <w:sz w:val="16"/>
              </w:rPr>
              <w:t>派出技术骨干开展技术服务指导150天，2024年</w:t>
            </w:r>
            <w:r>
              <w:rPr>
                <w:rFonts w:hint="eastAsia" w:ascii="宋体" w:hAnsi="宋体"/>
                <w:sz w:val="16"/>
                <w:lang w:eastAsia="zh-CN"/>
              </w:rPr>
              <w:t>本部门</w:t>
            </w:r>
            <w:r>
              <w:rPr>
                <w:rFonts w:ascii="宋体" w:hAnsi="宋体" w:eastAsia="宋体"/>
                <w:sz w:val="16"/>
              </w:rPr>
              <w:t>完成蔬菜种植150.25万亩，新建日光温室2366座，发展专业蔬菜种植乡镇81个，订单蔬菜达到41万亩，蔬菜总产达418万吨。</w:t>
            </w:r>
          </w:p>
        </w:tc>
      </w:tr>
      <w:tr w14:paraId="3FB989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E46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290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11EF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6064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267D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519B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1BCD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E751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5859B">
            <w:pPr>
              <w:jc w:val="center"/>
            </w:pPr>
            <w:r>
              <w:rPr>
                <w:rFonts w:ascii="宋体" w:hAnsi="宋体" w:eastAsia="宋体"/>
                <w:sz w:val="16"/>
              </w:rPr>
              <w:t>得分</w:t>
            </w:r>
          </w:p>
        </w:tc>
      </w:tr>
      <w:tr w14:paraId="7CD438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AC6F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92C9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92B5">
            <w:pPr>
              <w:jc w:val="center"/>
            </w:pPr>
            <w:r>
              <w:rPr>
                <w:rFonts w:ascii="宋体" w:hAnsi="宋体" w:eastAsia="宋体"/>
                <w:sz w:val="16"/>
              </w:rPr>
              <w:t>全年完成蔬菜种植亩数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4F7C8">
            <w:pPr>
              <w:jc w:val="center"/>
            </w:pPr>
            <w:r>
              <w:rPr>
                <w:rFonts w:ascii="宋体" w:hAnsi="宋体" w:eastAsia="宋体"/>
                <w:sz w:val="16"/>
              </w:rPr>
              <w:t>&gt;=150.25万亩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F21C7">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6FB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26BC0">
            <w:pPr>
              <w:jc w:val="center"/>
            </w:pPr>
            <w:r>
              <w:rPr>
                <w:rFonts w:ascii="宋体" w:hAnsi="宋体" w:eastAsia="宋体"/>
                <w:sz w:val="16"/>
              </w:rPr>
              <w:t>150.25万亩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DC1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6CF08">
            <w:pPr>
              <w:jc w:val="center"/>
            </w:pPr>
            <w:r>
              <w:rPr>
                <w:rFonts w:ascii="宋体" w:hAnsi="宋体" w:eastAsia="宋体"/>
                <w:sz w:val="16"/>
              </w:rPr>
              <w:t>15</w:t>
            </w:r>
          </w:p>
        </w:tc>
      </w:tr>
      <w:tr w14:paraId="37F4BA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683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5BD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730A3">
            <w:pPr>
              <w:jc w:val="center"/>
            </w:pPr>
            <w:r>
              <w:rPr>
                <w:rFonts w:ascii="宋体" w:hAnsi="宋体" w:eastAsia="宋体"/>
                <w:sz w:val="16"/>
              </w:rPr>
              <w:t>新建日光温室数量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DFA0">
            <w:pPr>
              <w:jc w:val="center"/>
            </w:pPr>
            <w:r>
              <w:rPr>
                <w:rFonts w:ascii="宋体" w:hAnsi="宋体" w:eastAsia="宋体"/>
                <w:sz w:val="16"/>
              </w:rPr>
              <w:t>&gt;=2366座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D5E59">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23D9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E18B8">
            <w:pPr>
              <w:jc w:val="center"/>
            </w:pPr>
            <w:r>
              <w:rPr>
                <w:rFonts w:ascii="宋体" w:hAnsi="宋体" w:eastAsia="宋体"/>
                <w:sz w:val="16"/>
              </w:rPr>
              <w:t>2366座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A31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5D038">
            <w:pPr>
              <w:jc w:val="center"/>
            </w:pPr>
            <w:r>
              <w:rPr>
                <w:rFonts w:ascii="宋体" w:hAnsi="宋体" w:eastAsia="宋体"/>
                <w:sz w:val="16"/>
              </w:rPr>
              <w:t>15</w:t>
            </w:r>
          </w:p>
        </w:tc>
      </w:tr>
      <w:tr w14:paraId="77C3B1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24A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D9B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68E86">
            <w:pPr>
              <w:jc w:val="center"/>
            </w:pPr>
            <w:r>
              <w:rPr>
                <w:rFonts w:ascii="宋体" w:hAnsi="宋体" w:eastAsia="宋体"/>
                <w:sz w:val="16"/>
              </w:rPr>
              <w:t>蔬菜</w:t>
            </w:r>
            <w:r>
              <w:rPr>
                <w:rFonts w:hint="eastAsia" w:ascii="宋体" w:hAnsi="宋体"/>
                <w:sz w:val="16"/>
                <w:lang w:eastAsia="zh-CN"/>
              </w:rPr>
              <w:t>总产量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8A47B">
            <w:pPr>
              <w:jc w:val="center"/>
            </w:pPr>
            <w:r>
              <w:rPr>
                <w:rFonts w:ascii="宋体" w:hAnsi="宋体" w:eastAsia="宋体"/>
                <w:sz w:val="16"/>
              </w:rPr>
              <w:t>&gt;=418万吨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E45AF">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C3D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5AE10">
            <w:pPr>
              <w:jc w:val="center"/>
            </w:pPr>
            <w:r>
              <w:rPr>
                <w:rFonts w:ascii="宋体" w:hAnsi="宋体" w:eastAsia="宋体"/>
                <w:sz w:val="16"/>
              </w:rPr>
              <w:t>418万吨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231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71741">
            <w:pPr>
              <w:jc w:val="center"/>
            </w:pPr>
            <w:r>
              <w:rPr>
                <w:rFonts w:ascii="宋体" w:hAnsi="宋体" w:eastAsia="宋体"/>
                <w:sz w:val="16"/>
              </w:rPr>
              <w:t>20</w:t>
            </w:r>
          </w:p>
        </w:tc>
      </w:tr>
      <w:tr w14:paraId="7A2551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4A849">
            <w:pPr>
              <w:jc w:val="center"/>
            </w:pPr>
            <w:r>
              <w:rPr>
                <w:rFonts w:ascii="宋体" w:hAnsi="宋体" w:eastAsia="宋体"/>
                <w:sz w:val="16"/>
              </w:rPr>
              <w:t>社会效应</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AE8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987D7">
            <w:pPr>
              <w:jc w:val="center"/>
            </w:pPr>
            <w:r>
              <w:rPr>
                <w:rFonts w:ascii="宋体" w:hAnsi="宋体" w:eastAsia="宋体"/>
                <w:sz w:val="16"/>
              </w:rPr>
              <w:t>发展专业蔬菜种植村个数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F6232">
            <w:pPr>
              <w:jc w:val="center"/>
            </w:pPr>
            <w:r>
              <w:rPr>
                <w:rFonts w:ascii="宋体" w:hAnsi="宋体" w:eastAsia="宋体"/>
                <w:sz w:val="16"/>
              </w:rPr>
              <w:t>&gt;=81个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1BE53">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DC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38D71">
            <w:pPr>
              <w:jc w:val="center"/>
            </w:pPr>
            <w:r>
              <w:rPr>
                <w:rFonts w:ascii="宋体" w:hAnsi="宋体" w:eastAsia="宋体"/>
                <w:sz w:val="16"/>
              </w:rPr>
              <w: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E7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41E4A">
            <w:pPr>
              <w:jc w:val="center"/>
            </w:pPr>
            <w:r>
              <w:rPr>
                <w:rFonts w:ascii="宋体" w:hAnsi="宋体" w:eastAsia="宋体"/>
                <w:sz w:val="16"/>
              </w:rPr>
              <w:t>20</w:t>
            </w:r>
          </w:p>
        </w:tc>
      </w:tr>
      <w:tr w14:paraId="4DCAF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ECF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B2F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6C789">
            <w:pPr>
              <w:jc w:val="center"/>
            </w:pPr>
            <w:r>
              <w:rPr>
                <w:rFonts w:ascii="宋体" w:hAnsi="宋体" w:eastAsia="宋体"/>
                <w:sz w:val="16"/>
              </w:rPr>
              <w:t>发展订单蔬菜亩数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BBA7C">
            <w:pPr>
              <w:jc w:val="center"/>
            </w:pPr>
            <w:r>
              <w:rPr>
                <w:rFonts w:ascii="宋体" w:hAnsi="宋体" w:eastAsia="宋体"/>
                <w:sz w:val="16"/>
              </w:rPr>
              <w:t>&gt;=41万亩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EF384">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EBC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A6AD2">
            <w:pPr>
              <w:jc w:val="center"/>
            </w:pPr>
            <w:r>
              <w:rPr>
                <w:rFonts w:ascii="宋体" w:hAnsi="宋体" w:eastAsia="宋体"/>
                <w:sz w:val="16"/>
              </w:rPr>
              <w:t>41万亩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883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07E9A">
            <w:pPr>
              <w:jc w:val="center"/>
            </w:pPr>
            <w:r>
              <w:rPr>
                <w:rFonts w:ascii="宋体" w:hAnsi="宋体" w:eastAsia="宋体"/>
                <w:sz w:val="16"/>
              </w:rPr>
              <w:t>20</w:t>
            </w:r>
          </w:p>
        </w:tc>
      </w:tr>
    </w:tbl>
    <w:p w14:paraId="08E809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C6A4C90">
        <w:tblPrEx>
          <w:tblCellMar>
            <w:top w:w="0" w:type="dxa"/>
            <w:left w:w="108" w:type="dxa"/>
            <w:bottom w:w="0" w:type="dxa"/>
            <w:right w:w="108" w:type="dxa"/>
          </w:tblCellMar>
        </w:tblPrEx>
        <w:tc>
          <w:tcPr>
            <w:tcW w:w="8848" w:type="dxa"/>
            <w:gridSpan w:val="14"/>
            <w:vAlign w:val="center"/>
          </w:tcPr>
          <w:p w14:paraId="25952C00">
            <w:pPr>
              <w:jc w:val="center"/>
            </w:pPr>
            <w:r>
              <w:rPr>
                <w:rFonts w:ascii="宋体" w:hAnsi="宋体" w:eastAsia="宋体"/>
                <w:sz w:val="24"/>
              </w:rPr>
              <w:t>项目支出绩效自评表</w:t>
            </w:r>
          </w:p>
        </w:tc>
      </w:tr>
      <w:tr w14:paraId="49122B49">
        <w:tblPrEx>
          <w:tblCellMar>
            <w:top w:w="0" w:type="dxa"/>
            <w:left w:w="108" w:type="dxa"/>
            <w:bottom w:w="0" w:type="dxa"/>
            <w:right w:w="108" w:type="dxa"/>
          </w:tblCellMar>
        </w:tblPrEx>
        <w:tc>
          <w:tcPr>
            <w:tcW w:w="8848" w:type="dxa"/>
            <w:gridSpan w:val="14"/>
            <w:vAlign w:val="center"/>
          </w:tcPr>
          <w:p w14:paraId="43FF9EB6">
            <w:pPr>
              <w:jc w:val="center"/>
            </w:pPr>
            <w:r>
              <w:rPr>
                <w:rFonts w:ascii="宋体" w:hAnsi="宋体" w:eastAsia="宋体"/>
                <w:sz w:val="24"/>
              </w:rPr>
              <w:t>(2024年度)</w:t>
            </w:r>
          </w:p>
        </w:tc>
      </w:tr>
      <w:tr w14:paraId="0D1E88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B0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BEF241">
            <w:pPr>
              <w:jc w:val="center"/>
            </w:pPr>
            <w:r>
              <w:rPr>
                <w:rFonts w:ascii="宋体" w:hAnsi="宋体" w:eastAsia="宋体"/>
                <w:sz w:val="16"/>
              </w:rPr>
              <w:t>2024年喀什地区林果全产业链提质增效专家技术服务项目</w:t>
            </w:r>
          </w:p>
        </w:tc>
      </w:tr>
      <w:tr w14:paraId="518656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2B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C82A7">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C6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60492">
            <w:pPr>
              <w:jc w:val="center"/>
            </w:pPr>
            <w:r>
              <w:rPr>
                <w:rFonts w:ascii="宋体" w:hAnsi="宋体" w:eastAsia="宋体"/>
                <w:sz w:val="16"/>
              </w:rPr>
              <w:t>新疆喀什地区瓜果蔬菜产业发展中心</w:t>
            </w:r>
          </w:p>
        </w:tc>
      </w:tr>
      <w:tr w14:paraId="4E8700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F63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9C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22B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44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C07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DD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B2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C967">
            <w:pPr>
              <w:jc w:val="center"/>
            </w:pPr>
            <w:r>
              <w:rPr>
                <w:rFonts w:ascii="宋体" w:hAnsi="宋体" w:eastAsia="宋体"/>
                <w:sz w:val="16"/>
              </w:rPr>
              <w:t>得分</w:t>
            </w:r>
          </w:p>
        </w:tc>
      </w:tr>
      <w:tr w14:paraId="4EB90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03B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E7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028E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649B">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4F31">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D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E2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4E03">
            <w:pPr>
              <w:jc w:val="center"/>
            </w:pPr>
            <w:r>
              <w:rPr>
                <w:rFonts w:ascii="宋体" w:hAnsi="宋体" w:eastAsia="宋体"/>
                <w:sz w:val="16"/>
              </w:rPr>
              <w:t>10.00分</w:t>
            </w:r>
          </w:p>
        </w:tc>
      </w:tr>
      <w:tr w14:paraId="438E8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5E8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2B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6477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A6F4C">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3986">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BE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AF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04A1">
            <w:pPr>
              <w:jc w:val="center"/>
            </w:pPr>
            <w:r>
              <w:rPr>
                <w:rFonts w:ascii="宋体" w:hAnsi="宋体" w:eastAsia="宋体"/>
                <w:sz w:val="16"/>
              </w:rPr>
              <w:t>—</w:t>
            </w:r>
          </w:p>
        </w:tc>
      </w:tr>
      <w:tr w14:paraId="18209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1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A63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8A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DB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97D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42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80A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7C0B">
            <w:pPr>
              <w:jc w:val="center"/>
            </w:pPr>
            <w:r>
              <w:rPr>
                <w:rFonts w:ascii="宋体" w:hAnsi="宋体" w:eastAsia="宋体"/>
                <w:sz w:val="16"/>
              </w:rPr>
              <w:t>—</w:t>
            </w:r>
          </w:p>
        </w:tc>
      </w:tr>
      <w:tr w14:paraId="161405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114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171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D7B60">
            <w:pPr>
              <w:jc w:val="center"/>
            </w:pPr>
            <w:r>
              <w:rPr>
                <w:rFonts w:ascii="宋体" w:hAnsi="宋体" w:eastAsia="宋体"/>
                <w:sz w:val="16"/>
              </w:rPr>
              <w:t>实际完成情况</w:t>
            </w:r>
          </w:p>
        </w:tc>
      </w:tr>
      <w:tr w14:paraId="07A7B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0B4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6FFB1">
            <w:pPr>
              <w:jc w:val="both"/>
            </w:pPr>
            <w:r>
              <w:rPr>
                <w:rFonts w:ascii="宋体" w:hAnsi="宋体" w:eastAsia="宋体"/>
                <w:sz w:val="16"/>
              </w:rPr>
              <w:t>通过喀什地区林果全产业链提质增效技术服务补助项目实施，对我区核桃、红枣、杏、巴旦姆、新梅、葡萄、葡萄、石榴、桃等特色主栽树种开展服务培训指导工作，全年派出10名技术骨干进行技术指导服务180天，推动在林果业关键环节管理措施到位，标准园改造25万亩，林果基地标准化生产建设水平有效提升，促进林果业提质增效，促农增收，受益农户达到100%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5021A4">
            <w:pPr>
              <w:jc w:val="both"/>
            </w:pPr>
            <w:r>
              <w:rPr>
                <w:rFonts w:ascii="宋体" w:hAnsi="宋体" w:eastAsia="宋体"/>
                <w:sz w:val="16"/>
              </w:rPr>
              <w:br w:type="textWrapping"/>
            </w:r>
            <w:r>
              <w:rPr>
                <w:rFonts w:hint="eastAsia" w:ascii="宋体" w:hAnsi="宋体"/>
                <w:sz w:val="16"/>
                <w:lang w:eastAsia="zh-CN"/>
              </w:rPr>
              <w:t>截至2024</w:t>
            </w:r>
            <w:r>
              <w:rPr>
                <w:rFonts w:ascii="宋体" w:hAnsi="宋体" w:eastAsia="宋体"/>
                <w:sz w:val="16"/>
              </w:rPr>
              <w:t>年8月30日</w:t>
            </w:r>
            <w:r>
              <w:rPr>
                <w:rFonts w:hint="eastAsia" w:ascii="宋体" w:hAnsi="宋体"/>
                <w:sz w:val="16"/>
                <w:lang w:eastAsia="zh-CN"/>
              </w:rPr>
              <w:t>本部门</w:t>
            </w:r>
            <w:r>
              <w:rPr>
                <w:rFonts w:ascii="宋体" w:hAnsi="宋体" w:eastAsia="宋体"/>
                <w:sz w:val="16"/>
              </w:rPr>
              <w:t>派出10名技术骨干进行技术指导服务100天，通过技术服务有效推动林果业管理措施到位，林果基地标准化生产建设水平有效提升，促进林果业提质增效，促农增收。</w:t>
            </w:r>
          </w:p>
        </w:tc>
      </w:tr>
      <w:tr w14:paraId="28FA36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D13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8D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5D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02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B9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09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AA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0D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26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5A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F5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62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8F69">
            <w:pPr>
              <w:jc w:val="center"/>
            </w:pPr>
            <w:r>
              <w:rPr>
                <w:rFonts w:ascii="宋体" w:hAnsi="宋体" w:eastAsia="宋体"/>
                <w:sz w:val="16"/>
              </w:rPr>
              <w:t>偏差原因分析及改进措施</w:t>
            </w:r>
          </w:p>
        </w:tc>
      </w:tr>
      <w:tr w14:paraId="3F550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BEB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74C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5B7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2AF9">
            <w:pPr>
              <w:jc w:val="center"/>
            </w:pPr>
            <w:r>
              <w:rPr>
                <w:rFonts w:ascii="宋体" w:hAnsi="宋体" w:eastAsia="宋体"/>
                <w:sz w:val="16"/>
              </w:rPr>
              <w:t>技术服务人数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E310">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2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9A6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F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7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58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3EFF">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CA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CCF6A">
            <w:pPr>
              <w:jc w:val="center"/>
            </w:pPr>
          </w:p>
        </w:tc>
      </w:tr>
      <w:tr w14:paraId="2AEF3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8A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66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98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3B8A">
            <w:pPr>
              <w:jc w:val="center"/>
            </w:pPr>
            <w:r>
              <w:rPr>
                <w:rFonts w:ascii="宋体" w:hAnsi="宋体" w:eastAsia="宋体"/>
                <w:sz w:val="16"/>
              </w:rPr>
              <w:t>技术服务天数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EEF9">
            <w:pPr>
              <w:jc w:val="center"/>
            </w:pPr>
            <w:r>
              <w:rPr>
                <w:rFonts w:ascii="宋体" w:hAnsi="宋体" w:eastAsia="宋体"/>
                <w:sz w:val="16"/>
              </w:rPr>
              <w:t>&gt;=100天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BE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9BB0">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3B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8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D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9EB9">
            <w:pPr>
              <w:jc w:val="center"/>
            </w:pPr>
            <w:r>
              <w:rPr>
                <w:rFonts w:ascii="宋体" w:hAnsi="宋体" w:eastAsia="宋体"/>
                <w:sz w:val="16"/>
              </w:rPr>
              <w: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9D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1CB1">
            <w:pPr>
              <w:jc w:val="center"/>
            </w:pPr>
          </w:p>
        </w:tc>
      </w:tr>
      <w:tr w14:paraId="5FC32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C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0C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FB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8A18">
            <w:pPr>
              <w:jc w:val="center"/>
            </w:pPr>
            <w:r>
              <w:rPr>
                <w:rFonts w:ascii="宋体" w:hAnsi="宋体" w:eastAsia="宋体"/>
                <w:sz w:val="16"/>
              </w:rPr>
              <w:t>标准园改造面积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0BAA">
            <w:pPr>
              <w:jc w:val="center"/>
            </w:pPr>
            <w:r>
              <w:rPr>
                <w:rFonts w:ascii="宋体" w:hAnsi="宋体" w:eastAsia="宋体"/>
                <w:sz w:val="16"/>
              </w:rPr>
              <w:t>&gt;=25万亩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1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BF61">
            <w:pPr>
              <w:jc w:val="center"/>
            </w:pPr>
            <w:r>
              <w:rPr>
                <w:rFonts w:ascii="宋体" w:hAnsi="宋体" w:eastAsia="宋体"/>
                <w:sz w:val="16"/>
              </w:rPr>
              <w:t>91.5万亩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8D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E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677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7E90">
            <w:pPr>
              <w:jc w:val="center"/>
            </w:pPr>
            <w:r>
              <w:rPr>
                <w:rFonts w:ascii="宋体" w:hAnsi="宋体" w:eastAsia="宋体"/>
                <w:sz w:val="16"/>
              </w:rPr>
              <w: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F6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5602">
            <w:pPr>
              <w:jc w:val="center"/>
            </w:pPr>
          </w:p>
        </w:tc>
      </w:tr>
      <w:tr w14:paraId="6D682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4A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FB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80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C87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21D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9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9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0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2F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3C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2604">
            <w:pPr>
              <w:jc w:val="center"/>
            </w:pPr>
            <w:r>
              <w:rPr>
                <w:rFonts w:ascii="宋体" w:hAnsi="宋体" w:eastAsia="宋体"/>
                <w:sz w:val="16"/>
              </w:rPr>
              <w:t>2024年8月29日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6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D5C2">
            <w:pPr>
              <w:jc w:val="center"/>
            </w:pPr>
          </w:p>
        </w:tc>
      </w:tr>
      <w:tr w14:paraId="602BC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F2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E1A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B03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CF09">
            <w:pPr>
              <w:jc w:val="center"/>
            </w:pPr>
            <w:r>
              <w:rPr>
                <w:rFonts w:ascii="宋体" w:hAnsi="宋体" w:eastAsia="宋体"/>
                <w:sz w:val="16"/>
              </w:rPr>
              <w:t>人员经费成本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163F">
            <w:pPr>
              <w:jc w:val="center"/>
            </w:pPr>
            <w:r>
              <w:rPr>
                <w:rFonts w:ascii="宋体" w:hAnsi="宋体" w:eastAsia="宋体"/>
                <w:sz w:val="16"/>
              </w:rPr>
              <w:t>&lt;=150元/天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C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AE70">
            <w:pPr>
              <w:jc w:val="center"/>
            </w:pPr>
            <w:r>
              <w:rPr>
                <w:rFonts w:ascii="宋体" w:hAnsi="宋体" w:eastAsia="宋体"/>
                <w:sz w:val="16"/>
              </w:rPr>
              <w:t>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0A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5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18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8132">
            <w:pPr>
              <w:jc w:val="center"/>
            </w:pPr>
            <w:r>
              <w:rPr>
                <w:rFonts w:ascii="宋体" w:hAnsi="宋体" w:eastAsia="宋体"/>
                <w:sz w:val="16"/>
              </w:rPr>
              <w:t>=150元/天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3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AD31E">
            <w:pPr>
              <w:jc w:val="center"/>
            </w:pPr>
          </w:p>
        </w:tc>
      </w:tr>
      <w:tr w14:paraId="544EB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0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B9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A0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D20E">
            <w:pPr>
              <w:jc w:val="center"/>
            </w:pPr>
            <w:r>
              <w:rPr>
                <w:rFonts w:ascii="宋体" w:hAnsi="宋体" w:eastAsia="宋体"/>
                <w:sz w:val="16"/>
              </w:rPr>
              <w:t>车辆保障经费成本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F880">
            <w:pPr>
              <w:jc w:val="center"/>
            </w:pPr>
            <w:r>
              <w:rPr>
                <w:rFonts w:ascii="宋体" w:hAnsi="宋体" w:eastAsia="宋体"/>
                <w:sz w:val="16"/>
              </w:rPr>
              <w:t>&lt;=1100元/天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F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8247">
            <w:pPr>
              <w:jc w:val="center"/>
            </w:pPr>
            <w:r>
              <w:rPr>
                <w:rFonts w:ascii="宋体" w:hAnsi="宋体" w:eastAsia="宋体"/>
                <w:sz w:val="16"/>
              </w:rPr>
              <w: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B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7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2B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B956">
            <w:pPr>
              <w:jc w:val="center"/>
            </w:pPr>
            <w:r>
              <w:rPr>
                <w:rFonts w:ascii="宋体" w:hAnsi="宋体" w:eastAsia="宋体"/>
                <w:sz w:val="16"/>
              </w:rPr>
              <w:t>=1100元/天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E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2A089">
            <w:pPr>
              <w:jc w:val="center"/>
            </w:pPr>
          </w:p>
        </w:tc>
      </w:tr>
      <w:tr w14:paraId="76424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A0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43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25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B6A1">
            <w:pPr>
              <w:jc w:val="center"/>
            </w:pPr>
            <w:r>
              <w:rPr>
                <w:rFonts w:ascii="宋体" w:hAnsi="宋体" w:eastAsia="宋体"/>
                <w:sz w:val="16"/>
              </w:rPr>
              <w:t>林果基地标准化生产建设水平有效提升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9D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B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3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28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65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2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DB0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63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6E1F">
            <w:pPr>
              <w:jc w:val="center"/>
            </w:pPr>
          </w:p>
        </w:tc>
      </w:tr>
      <w:tr w14:paraId="09484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63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68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53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BF1B">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986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4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8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7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09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4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483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F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F7623">
            <w:pPr>
              <w:jc w:val="center"/>
            </w:pPr>
          </w:p>
        </w:tc>
      </w:tr>
      <w:tr w14:paraId="2138D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9F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0C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EE6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63610">
            <w:pPr>
              <w:jc w:val="center"/>
            </w:pPr>
            <w:r>
              <w:rPr>
                <w:rFonts w:ascii="宋体" w:hAnsi="宋体" w:eastAsia="宋体"/>
                <w:sz w:val="16"/>
              </w:rPr>
              <w:t>100分</w:t>
            </w:r>
          </w:p>
        </w:tc>
      </w:tr>
    </w:tbl>
    <w:p w14:paraId="7B0258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286C52D">
        <w:tblPrEx>
          <w:tblCellMar>
            <w:top w:w="0" w:type="dxa"/>
            <w:left w:w="108" w:type="dxa"/>
            <w:bottom w:w="0" w:type="dxa"/>
            <w:right w:w="108" w:type="dxa"/>
          </w:tblCellMar>
        </w:tblPrEx>
        <w:tc>
          <w:tcPr>
            <w:tcW w:w="8848" w:type="dxa"/>
            <w:gridSpan w:val="14"/>
            <w:vAlign w:val="center"/>
          </w:tcPr>
          <w:p w14:paraId="65B92CAE">
            <w:pPr>
              <w:jc w:val="center"/>
            </w:pPr>
            <w:r>
              <w:rPr>
                <w:rFonts w:ascii="宋体" w:hAnsi="宋体" w:eastAsia="宋体"/>
                <w:sz w:val="24"/>
              </w:rPr>
              <w:t>项目支出绩效自评表</w:t>
            </w:r>
          </w:p>
        </w:tc>
      </w:tr>
      <w:tr w14:paraId="706E828A">
        <w:tblPrEx>
          <w:tblCellMar>
            <w:top w:w="0" w:type="dxa"/>
            <w:left w:w="108" w:type="dxa"/>
            <w:bottom w:w="0" w:type="dxa"/>
            <w:right w:w="108" w:type="dxa"/>
          </w:tblCellMar>
        </w:tblPrEx>
        <w:tc>
          <w:tcPr>
            <w:tcW w:w="8848" w:type="dxa"/>
            <w:gridSpan w:val="14"/>
            <w:vAlign w:val="center"/>
          </w:tcPr>
          <w:p w14:paraId="3A716633">
            <w:pPr>
              <w:jc w:val="center"/>
            </w:pPr>
            <w:r>
              <w:rPr>
                <w:rFonts w:ascii="宋体" w:hAnsi="宋体" w:eastAsia="宋体"/>
                <w:sz w:val="24"/>
              </w:rPr>
              <w:t>(2024年度)</w:t>
            </w:r>
          </w:p>
        </w:tc>
      </w:tr>
      <w:tr w14:paraId="3A3C16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87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41E508">
            <w:pPr>
              <w:jc w:val="center"/>
            </w:pPr>
            <w:r>
              <w:rPr>
                <w:rFonts w:ascii="宋体" w:hAnsi="宋体" w:eastAsia="宋体"/>
                <w:sz w:val="16"/>
              </w:rPr>
              <w:t>2024年援疆干部南疆工作补贴项目</w:t>
            </w:r>
          </w:p>
        </w:tc>
      </w:tr>
      <w:tr w14:paraId="1EB831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AF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89CDE">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4C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1E167A">
            <w:pPr>
              <w:jc w:val="center"/>
            </w:pPr>
            <w:r>
              <w:rPr>
                <w:rFonts w:ascii="宋体" w:hAnsi="宋体" w:eastAsia="宋体"/>
                <w:sz w:val="16"/>
              </w:rPr>
              <w:t>新疆喀什地区瓜果蔬菜产业发展中心</w:t>
            </w:r>
          </w:p>
        </w:tc>
      </w:tr>
      <w:tr w14:paraId="2A065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3BD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EA6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74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F8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51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71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A9C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2F9B">
            <w:pPr>
              <w:jc w:val="center"/>
            </w:pPr>
            <w:r>
              <w:rPr>
                <w:rFonts w:ascii="宋体" w:hAnsi="宋体" w:eastAsia="宋体"/>
                <w:sz w:val="16"/>
              </w:rPr>
              <w:t>得分</w:t>
            </w:r>
          </w:p>
        </w:tc>
      </w:tr>
      <w:tr w14:paraId="785A9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F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5E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7ADBE">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F4482">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68E8">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21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8EA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55DD">
            <w:pPr>
              <w:jc w:val="center"/>
            </w:pPr>
            <w:r>
              <w:rPr>
                <w:rFonts w:ascii="宋体" w:hAnsi="宋体" w:eastAsia="宋体"/>
                <w:sz w:val="16"/>
              </w:rPr>
              <w:t>10.00分</w:t>
            </w:r>
          </w:p>
        </w:tc>
      </w:tr>
      <w:tr w14:paraId="674C0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89E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57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BA8D">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8827">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91A6">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9B6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577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2143">
            <w:pPr>
              <w:jc w:val="center"/>
            </w:pPr>
            <w:r>
              <w:rPr>
                <w:rFonts w:ascii="宋体" w:hAnsi="宋体" w:eastAsia="宋体"/>
                <w:sz w:val="16"/>
              </w:rPr>
              <w:t>—</w:t>
            </w:r>
          </w:p>
        </w:tc>
      </w:tr>
      <w:tr w14:paraId="69441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2D4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D8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12D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F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1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3D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2F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F14F">
            <w:pPr>
              <w:jc w:val="center"/>
            </w:pPr>
            <w:r>
              <w:rPr>
                <w:rFonts w:ascii="宋体" w:hAnsi="宋体" w:eastAsia="宋体"/>
                <w:sz w:val="16"/>
              </w:rPr>
              <w:t>—</w:t>
            </w:r>
          </w:p>
        </w:tc>
      </w:tr>
      <w:tr w14:paraId="35A113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7AC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5D5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C5AFF6">
            <w:pPr>
              <w:jc w:val="center"/>
            </w:pPr>
            <w:r>
              <w:rPr>
                <w:rFonts w:ascii="宋体" w:hAnsi="宋体" w:eastAsia="宋体"/>
                <w:sz w:val="16"/>
              </w:rPr>
              <w:t>实际完成情况</w:t>
            </w:r>
          </w:p>
        </w:tc>
      </w:tr>
      <w:tr w14:paraId="17F15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472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01F3D">
            <w:pPr>
              <w:jc w:val="both"/>
            </w:pPr>
            <w:r>
              <w:rPr>
                <w:rFonts w:ascii="宋体" w:hAnsi="宋体" w:eastAsia="宋体"/>
                <w:sz w:val="16"/>
              </w:rPr>
              <w:t>2024年度自治区援疆干部南疆工作补贴项目,确保</w:t>
            </w:r>
            <w:r>
              <w:rPr>
                <w:rFonts w:hint="eastAsia" w:ascii="宋体" w:hAnsi="宋体"/>
                <w:sz w:val="16"/>
                <w:lang w:eastAsia="zh-CN"/>
              </w:rPr>
              <w:t>本部门</w:t>
            </w:r>
            <w:r>
              <w:rPr>
                <w:rFonts w:ascii="宋体" w:hAnsi="宋体" w:eastAsia="宋体"/>
                <w:sz w:val="16"/>
              </w:rPr>
              <w:t>1名援疆干部12个月的工资补差到位。通过发放补贴，</w:t>
            </w:r>
            <w:r>
              <w:rPr>
                <w:rFonts w:hint="eastAsia" w:ascii="宋体" w:hAnsi="宋体"/>
                <w:sz w:val="16"/>
                <w:lang w:eastAsia="zh-CN"/>
              </w:rPr>
              <w:t>有效</w:t>
            </w:r>
            <w:r>
              <w:rPr>
                <w:rFonts w:ascii="宋体" w:hAnsi="宋体" w:eastAsia="宋体"/>
                <w:sz w:val="16"/>
              </w:rPr>
              <w:t>发挥援疆干部传帮带作用。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0DBA06">
            <w:pPr>
              <w:jc w:val="both"/>
            </w:pPr>
            <w:r>
              <w:rPr>
                <w:rFonts w:ascii="宋体" w:hAnsi="宋体" w:eastAsia="宋体"/>
                <w:sz w:val="16"/>
              </w:rPr>
              <w:t>截至12月31日，</w:t>
            </w:r>
            <w:r>
              <w:rPr>
                <w:rFonts w:hint="eastAsia" w:ascii="宋体" w:hAnsi="宋体"/>
                <w:sz w:val="16"/>
                <w:lang w:eastAsia="zh-CN"/>
              </w:rPr>
              <w:t>本部门</w:t>
            </w:r>
            <w:r>
              <w:rPr>
                <w:rFonts w:ascii="宋体" w:hAnsi="宋体" w:eastAsia="宋体"/>
                <w:sz w:val="16"/>
              </w:rPr>
              <w:t>保障1名援疆干部1-12月南疆工作补贴，每月1100元，补助12个月，共计13200元，援疆干部在此期间担任</w:t>
            </w:r>
            <w:r>
              <w:rPr>
                <w:rFonts w:hint="eastAsia" w:ascii="宋体" w:hAnsi="宋体"/>
                <w:sz w:val="16"/>
                <w:lang w:eastAsia="zh-CN"/>
              </w:rPr>
              <w:t>本部门</w:t>
            </w:r>
            <w:r>
              <w:rPr>
                <w:rFonts w:ascii="宋体" w:hAnsi="宋体" w:eastAsia="宋体"/>
                <w:sz w:val="16"/>
              </w:rPr>
              <w:t>西甜瓜站站长，积极开展各项工作，通过项目实施，援疆干部有效发挥了传帮带作用。</w:t>
            </w:r>
          </w:p>
        </w:tc>
      </w:tr>
      <w:tr w14:paraId="197FF8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4D0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01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3A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5A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E5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9E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63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F3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FB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C2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BF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E9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8E67">
            <w:pPr>
              <w:jc w:val="center"/>
            </w:pPr>
            <w:r>
              <w:rPr>
                <w:rFonts w:ascii="宋体" w:hAnsi="宋体" w:eastAsia="宋体"/>
                <w:sz w:val="16"/>
              </w:rPr>
              <w:t>偏差原因分析及改进措施</w:t>
            </w:r>
          </w:p>
        </w:tc>
      </w:tr>
      <w:tr w14:paraId="6B0CD2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227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692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64A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9692">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B7C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5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7A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A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69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F3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0CA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ED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1E9D">
            <w:pPr>
              <w:jc w:val="center"/>
            </w:pPr>
          </w:p>
        </w:tc>
      </w:tr>
      <w:tr w14:paraId="303E3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F9E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06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2E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09D5">
            <w:pPr>
              <w:jc w:val="center"/>
            </w:pPr>
            <w:r>
              <w:rPr>
                <w:rFonts w:ascii="宋体" w:hAnsi="宋体" w:eastAsia="宋体"/>
                <w:sz w:val="16"/>
              </w:rPr>
              <w:t>补贴方方次数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755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F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C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C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20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4A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4C0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33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C6A65">
            <w:pPr>
              <w:jc w:val="center"/>
            </w:pPr>
          </w:p>
        </w:tc>
      </w:tr>
      <w:tr w14:paraId="40250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82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20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91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CF4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E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C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22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2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64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1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8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69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6E59">
            <w:pPr>
              <w:jc w:val="center"/>
            </w:pPr>
          </w:p>
        </w:tc>
      </w:tr>
      <w:tr w14:paraId="2322A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38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9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25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12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6CEA">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6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76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84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F6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6F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E382">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C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3AB60">
            <w:pPr>
              <w:jc w:val="center"/>
            </w:pPr>
          </w:p>
        </w:tc>
      </w:tr>
      <w:tr w14:paraId="7FC21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9F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1B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FD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7BF2">
            <w:pPr>
              <w:jc w:val="center"/>
            </w:pPr>
            <w:r>
              <w:rPr>
                <w:rFonts w:ascii="宋体" w:hAnsi="宋体" w:eastAsia="宋体"/>
                <w:sz w:val="16"/>
              </w:rPr>
              <w:t>每月资金保障成本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4829">
            <w:pPr>
              <w:jc w:val="center"/>
            </w:pPr>
            <w:r>
              <w:rPr>
                <w:rFonts w:ascii="宋体" w:hAnsi="宋体" w:eastAsia="宋体"/>
                <w:sz w:val="16"/>
              </w:rPr>
              <w:t>&lt;=1100元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4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30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55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D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96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1D81">
            <w:pPr>
              <w:jc w:val="center"/>
            </w:pPr>
            <w:r>
              <w:rPr>
                <w:rFonts w:ascii="宋体" w:hAnsi="宋体" w:eastAsia="宋体"/>
                <w:sz w:val="16"/>
              </w:rPr>
              <w: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9E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973C">
            <w:pPr>
              <w:jc w:val="center"/>
            </w:pPr>
          </w:p>
        </w:tc>
      </w:tr>
      <w:tr w14:paraId="7B4D5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FE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DB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6A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C9E8">
            <w:pPr>
              <w:jc w:val="center"/>
            </w:pPr>
            <w:r>
              <w:rPr>
                <w:rFonts w:ascii="宋体" w:hAnsi="宋体" w:eastAsia="宋体"/>
                <w:sz w:val="16"/>
              </w:rPr>
              <w:t>援疆干部有效发挥传帮带作用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2AE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1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C4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98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9C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A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297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29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AA5E">
            <w:pPr>
              <w:jc w:val="center"/>
            </w:pPr>
          </w:p>
        </w:tc>
      </w:tr>
      <w:tr w14:paraId="78BE5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CB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C1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9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1F75">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31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3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46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E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62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00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E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6F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0ADC">
            <w:pPr>
              <w:jc w:val="center"/>
            </w:pPr>
          </w:p>
        </w:tc>
      </w:tr>
      <w:tr w14:paraId="4CD5BD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95B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3F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3CF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E9DD4C">
            <w:pPr>
              <w:jc w:val="center"/>
            </w:pPr>
            <w:r>
              <w:rPr>
                <w:rFonts w:ascii="宋体" w:hAnsi="宋体" w:eastAsia="宋体"/>
                <w:sz w:val="16"/>
              </w:rPr>
              <w:t>100分</w:t>
            </w:r>
          </w:p>
        </w:tc>
      </w:tr>
    </w:tbl>
    <w:p w14:paraId="2F8D54A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0E16CAED">
        <w:tblPrEx>
          <w:tblCellMar>
            <w:top w:w="0" w:type="dxa"/>
            <w:left w:w="108" w:type="dxa"/>
            <w:bottom w:w="0" w:type="dxa"/>
            <w:right w:w="108" w:type="dxa"/>
          </w:tblCellMar>
        </w:tblPrEx>
        <w:tc>
          <w:tcPr>
            <w:tcW w:w="8848" w:type="dxa"/>
            <w:gridSpan w:val="14"/>
            <w:vAlign w:val="center"/>
          </w:tcPr>
          <w:p w14:paraId="37F7726B">
            <w:pPr>
              <w:jc w:val="center"/>
            </w:pPr>
            <w:r>
              <w:rPr>
                <w:rFonts w:ascii="宋体" w:hAnsi="宋体" w:eastAsia="宋体"/>
                <w:sz w:val="24"/>
              </w:rPr>
              <w:t>项目支出绩效自评表</w:t>
            </w:r>
          </w:p>
        </w:tc>
      </w:tr>
      <w:tr w14:paraId="409D7F90">
        <w:tblPrEx>
          <w:tblCellMar>
            <w:top w:w="0" w:type="dxa"/>
            <w:left w:w="108" w:type="dxa"/>
            <w:bottom w:w="0" w:type="dxa"/>
            <w:right w:w="108" w:type="dxa"/>
          </w:tblCellMar>
        </w:tblPrEx>
        <w:tc>
          <w:tcPr>
            <w:tcW w:w="8848" w:type="dxa"/>
            <w:gridSpan w:val="14"/>
            <w:vAlign w:val="center"/>
          </w:tcPr>
          <w:p w14:paraId="1E81975B">
            <w:pPr>
              <w:jc w:val="center"/>
            </w:pPr>
            <w:r>
              <w:rPr>
                <w:rFonts w:ascii="宋体" w:hAnsi="宋体" w:eastAsia="宋体"/>
                <w:sz w:val="24"/>
              </w:rPr>
              <w:t>(2024年度)</w:t>
            </w:r>
          </w:p>
        </w:tc>
      </w:tr>
      <w:tr w14:paraId="7D8992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E0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974FF9">
            <w:pPr>
              <w:jc w:val="center"/>
            </w:pPr>
            <w:r>
              <w:rPr>
                <w:rFonts w:ascii="宋体" w:hAnsi="宋体" w:eastAsia="宋体"/>
                <w:sz w:val="16"/>
              </w:rPr>
              <w:t>口感番茄新品种引育及标准生产技术研究项目</w:t>
            </w:r>
          </w:p>
        </w:tc>
      </w:tr>
      <w:tr w14:paraId="643C01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23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A9822">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C8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FEBEBA">
            <w:pPr>
              <w:jc w:val="center"/>
            </w:pPr>
            <w:r>
              <w:rPr>
                <w:rFonts w:ascii="宋体" w:hAnsi="宋体" w:eastAsia="宋体"/>
                <w:sz w:val="16"/>
              </w:rPr>
              <w:t>新疆喀什地区瓜果蔬菜产业发展中心</w:t>
            </w:r>
          </w:p>
        </w:tc>
      </w:tr>
      <w:tr w14:paraId="69DEAA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AC2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08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59A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22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6A2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DB5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96D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CCF9">
            <w:pPr>
              <w:jc w:val="center"/>
            </w:pPr>
            <w:r>
              <w:rPr>
                <w:rFonts w:ascii="宋体" w:hAnsi="宋体" w:eastAsia="宋体"/>
                <w:sz w:val="16"/>
              </w:rPr>
              <w:t>得分</w:t>
            </w:r>
          </w:p>
        </w:tc>
      </w:tr>
      <w:tr w14:paraId="099DD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3A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8E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3B07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6DB1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304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021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0BA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709F">
            <w:pPr>
              <w:jc w:val="center"/>
            </w:pPr>
            <w:r>
              <w:rPr>
                <w:rFonts w:ascii="宋体" w:hAnsi="宋体" w:eastAsia="宋体"/>
                <w:sz w:val="16"/>
              </w:rPr>
              <w:t>10.00分</w:t>
            </w:r>
          </w:p>
        </w:tc>
      </w:tr>
      <w:tr w14:paraId="783F3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1B4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E8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5B0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874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6A54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765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AC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5B55">
            <w:pPr>
              <w:jc w:val="center"/>
            </w:pPr>
            <w:r>
              <w:rPr>
                <w:rFonts w:ascii="宋体" w:hAnsi="宋体" w:eastAsia="宋体"/>
                <w:sz w:val="16"/>
              </w:rPr>
              <w:t>—</w:t>
            </w:r>
          </w:p>
        </w:tc>
      </w:tr>
      <w:tr w14:paraId="76AAB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31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F35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01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18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12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57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2B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75FD">
            <w:pPr>
              <w:jc w:val="center"/>
            </w:pPr>
            <w:r>
              <w:rPr>
                <w:rFonts w:ascii="宋体" w:hAnsi="宋体" w:eastAsia="宋体"/>
                <w:sz w:val="16"/>
              </w:rPr>
              <w:t>—</w:t>
            </w:r>
          </w:p>
        </w:tc>
      </w:tr>
      <w:tr w14:paraId="1408F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54E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7FF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ADED1">
            <w:pPr>
              <w:jc w:val="center"/>
            </w:pPr>
            <w:r>
              <w:rPr>
                <w:rFonts w:ascii="宋体" w:hAnsi="宋体" w:eastAsia="宋体"/>
                <w:sz w:val="16"/>
              </w:rPr>
              <w:t>实际完成情况</w:t>
            </w:r>
          </w:p>
        </w:tc>
      </w:tr>
      <w:tr w14:paraId="6B3D4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949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604BE">
            <w:pPr>
              <w:jc w:val="both"/>
            </w:pPr>
            <w:r>
              <w:rPr>
                <w:rFonts w:ascii="宋体" w:hAnsi="宋体" w:eastAsia="宋体"/>
                <w:sz w:val="16"/>
              </w:rPr>
              <w:t>结合喀什地区的气候、地理条件，搜集国内外优质口感型番茄资源，在喀什地区进行筛选评价，建立喀什地区口感番茄种质资源库；针对喀什地区进行口感型番茄新品种引育，培育出适合喀什地区栽培的优质口感番茄杂交品种；引进经济实用的现代设施设备，研究从品种、育苗、定植、田间管理、病虫害防治、机械装备等的栽培技术，制定一套适合喀什地区的轻简化标准栽培技术体系，并进行示范，对菜农进行技术培训，提高口感型番茄栽培效益，降低种植成本和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4402B1">
            <w:pPr>
              <w:jc w:val="both"/>
            </w:pPr>
            <w:r>
              <w:rPr>
                <w:rFonts w:ascii="宋体" w:hAnsi="宋体" w:eastAsia="宋体"/>
                <w:sz w:val="16"/>
              </w:rPr>
              <w:t>截至12月31日，完成3个技术过程，推广2个新品种，推广品种合格率为100%，通过实施项目，有效激发了科研人员积极主动性。</w:t>
            </w:r>
          </w:p>
        </w:tc>
      </w:tr>
      <w:tr w14:paraId="4307D5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FAC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22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0C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42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1E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9B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AF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91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2D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FD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5C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7D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FC08">
            <w:pPr>
              <w:jc w:val="center"/>
            </w:pPr>
            <w:r>
              <w:rPr>
                <w:rFonts w:ascii="宋体" w:hAnsi="宋体" w:eastAsia="宋体"/>
                <w:sz w:val="16"/>
              </w:rPr>
              <w:t>偏差原因分析及改进措施</w:t>
            </w:r>
          </w:p>
        </w:tc>
      </w:tr>
      <w:tr w14:paraId="632D76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0BF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BFD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37F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7AFF">
            <w:pPr>
              <w:jc w:val="center"/>
            </w:pPr>
            <w:r>
              <w:rPr>
                <w:rFonts w:ascii="宋体" w:hAnsi="宋体" w:eastAsia="宋体"/>
                <w:sz w:val="16"/>
              </w:rPr>
              <w:t>制定规程数量（个）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669E">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6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EE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5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5B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E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E3B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5B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032C">
            <w:pPr>
              <w:jc w:val="center"/>
            </w:pPr>
          </w:p>
        </w:tc>
      </w:tr>
      <w:tr w14:paraId="13A29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0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4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5E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F32E">
            <w:pPr>
              <w:jc w:val="center"/>
            </w:pPr>
            <w:r>
              <w:rPr>
                <w:rFonts w:ascii="宋体" w:hAnsi="宋体" w:eastAsia="宋体"/>
                <w:sz w:val="16"/>
              </w:rPr>
              <w:t>新品种推广数（个）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F6C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6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CB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3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04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E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B22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14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F3E36">
            <w:pPr>
              <w:jc w:val="center"/>
            </w:pPr>
          </w:p>
        </w:tc>
      </w:tr>
      <w:tr w14:paraId="40389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0D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9C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5F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230D">
            <w:pPr>
              <w:jc w:val="center"/>
            </w:pPr>
            <w:r>
              <w:rPr>
                <w:rFonts w:ascii="宋体" w:hAnsi="宋体" w:eastAsia="宋体"/>
                <w:sz w:val="16"/>
              </w:rPr>
              <w:t>推广的番茄产品合格率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F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C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B6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0A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4C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EA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A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97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C76C">
            <w:pPr>
              <w:jc w:val="center"/>
            </w:pPr>
          </w:p>
        </w:tc>
      </w:tr>
      <w:tr w14:paraId="06EE6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9A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7CF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386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FE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5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B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7E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9F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24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0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B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66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D3E1">
            <w:pPr>
              <w:jc w:val="center"/>
            </w:pPr>
          </w:p>
        </w:tc>
      </w:tr>
      <w:tr w14:paraId="6255A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D3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13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D0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2C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92A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1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57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69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BF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A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F83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AD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B55C">
            <w:pPr>
              <w:jc w:val="center"/>
            </w:pPr>
          </w:p>
        </w:tc>
      </w:tr>
      <w:tr w14:paraId="5EACD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20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58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07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7B07">
            <w:pPr>
              <w:jc w:val="center"/>
            </w:pPr>
            <w:r>
              <w:rPr>
                <w:rFonts w:ascii="宋体" w:hAnsi="宋体" w:eastAsia="宋体"/>
                <w:sz w:val="16"/>
              </w:rPr>
              <w:t>技术规程制定新品种推广平均成本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1784">
            <w:pPr>
              <w:jc w:val="center"/>
            </w:pPr>
            <w:r>
              <w:rPr>
                <w:rFonts w:ascii="宋体" w:hAnsi="宋体" w:eastAsia="宋体"/>
                <w:sz w:val="16"/>
              </w:rPr>
              <w:t>&lt;=10000元/个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7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6B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BB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1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D7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3475">
            <w:pPr>
              <w:jc w:val="center"/>
            </w:pPr>
            <w:r>
              <w:rPr>
                <w:rFonts w:ascii="宋体" w:hAnsi="宋体" w:eastAsia="宋体"/>
                <w:sz w:val="16"/>
              </w:rPr>
              <w: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87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11F7C">
            <w:pPr>
              <w:jc w:val="center"/>
            </w:pPr>
          </w:p>
        </w:tc>
      </w:tr>
      <w:tr w14:paraId="70A20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28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44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3F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C891">
            <w:pPr>
              <w:jc w:val="center"/>
            </w:pPr>
            <w:r>
              <w:rPr>
                <w:rFonts w:ascii="宋体" w:hAnsi="宋体" w:eastAsia="宋体"/>
                <w:sz w:val="16"/>
              </w:rPr>
              <w:t>激发科研技术的积极性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4522">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2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BD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9A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DC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E78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868C">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D4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7F5D5">
            <w:pPr>
              <w:jc w:val="center"/>
            </w:pPr>
          </w:p>
        </w:tc>
      </w:tr>
      <w:tr w14:paraId="2EB7B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68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7D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C5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40AC">
            <w:pPr>
              <w:jc w:val="center"/>
            </w:pPr>
            <w:r>
              <w:rPr>
                <w:rFonts w:ascii="宋体" w:hAnsi="宋体" w:eastAsia="宋体"/>
                <w:sz w:val="16"/>
              </w:rPr>
              <w:t>项目主管单位满意度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E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E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A6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C0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FE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6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1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C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7E394">
            <w:pPr>
              <w:jc w:val="center"/>
            </w:pPr>
          </w:p>
        </w:tc>
      </w:tr>
      <w:tr w14:paraId="40F3F1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26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FC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AE7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F2E98D">
            <w:pPr>
              <w:jc w:val="center"/>
            </w:pPr>
            <w:r>
              <w:rPr>
                <w:rFonts w:ascii="宋体" w:hAnsi="宋体" w:eastAsia="宋体"/>
                <w:sz w:val="16"/>
              </w:rPr>
              <w:t>100分</w:t>
            </w:r>
          </w:p>
        </w:tc>
      </w:tr>
    </w:tbl>
    <w:p w14:paraId="60E88C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330DC4">
        <w:tc>
          <w:tcPr>
            <w:tcW w:w="8912" w:type="dxa"/>
            <w:gridSpan w:val="14"/>
            <w:vAlign w:val="center"/>
          </w:tcPr>
          <w:p w14:paraId="2DFEEB13">
            <w:pPr>
              <w:jc w:val="center"/>
            </w:pPr>
            <w:r>
              <w:rPr>
                <w:rFonts w:ascii="宋体" w:hAnsi="宋体" w:eastAsia="宋体"/>
                <w:sz w:val="24"/>
              </w:rPr>
              <w:t>项目支出绩效自评表</w:t>
            </w:r>
          </w:p>
        </w:tc>
      </w:tr>
      <w:tr w14:paraId="3B14A727">
        <w:tblPrEx>
          <w:tblCellMar>
            <w:top w:w="0" w:type="dxa"/>
            <w:left w:w="108" w:type="dxa"/>
            <w:bottom w:w="0" w:type="dxa"/>
            <w:right w:w="108" w:type="dxa"/>
          </w:tblCellMar>
        </w:tblPrEx>
        <w:tc>
          <w:tcPr>
            <w:tcW w:w="8912" w:type="dxa"/>
            <w:gridSpan w:val="14"/>
            <w:vAlign w:val="center"/>
          </w:tcPr>
          <w:p w14:paraId="2D51FC7E">
            <w:pPr>
              <w:jc w:val="center"/>
            </w:pPr>
            <w:r>
              <w:rPr>
                <w:rFonts w:ascii="宋体" w:hAnsi="宋体" w:eastAsia="宋体"/>
                <w:sz w:val="24"/>
              </w:rPr>
              <w:t>(2024年度)</w:t>
            </w:r>
          </w:p>
        </w:tc>
      </w:tr>
      <w:tr w14:paraId="318B36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0DFA">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648AED">
            <w:pPr>
              <w:jc w:val="center"/>
            </w:pPr>
            <w:r>
              <w:rPr>
                <w:rFonts w:ascii="宋体" w:hAnsi="宋体" w:eastAsia="宋体"/>
                <w:sz w:val="16"/>
              </w:rPr>
              <w:t>天山英才培养计划周荣飞项目</w:t>
            </w:r>
          </w:p>
        </w:tc>
      </w:tr>
      <w:tr w14:paraId="5D203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294F">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DF63E">
            <w:pPr>
              <w:jc w:val="center"/>
            </w:pPr>
            <w:r>
              <w:rPr>
                <w:rFonts w:ascii="宋体" w:hAnsi="宋体" w:eastAsia="宋体"/>
                <w:sz w:val="16"/>
              </w:rPr>
              <w:t>喀什地区科技局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AE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7A2633">
            <w:pPr>
              <w:jc w:val="center"/>
            </w:pPr>
            <w:r>
              <w:rPr>
                <w:rFonts w:ascii="宋体" w:hAnsi="宋体" w:eastAsia="宋体"/>
                <w:sz w:val="16"/>
              </w:rPr>
              <w:t>新疆喀什地区瓜果蔬菜产业发展中心</w:t>
            </w:r>
          </w:p>
        </w:tc>
      </w:tr>
      <w:tr w14:paraId="2C03DD30">
        <w:tblPrEx>
          <w:tblCellMar>
            <w:top w:w="0" w:type="dxa"/>
            <w:left w:w="108" w:type="dxa"/>
            <w:bottom w:w="0" w:type="dxa"/>
            <w:right w:w="108" w:type="dxa"/>
          </w:tblCellMar>
        </w:tblPrEx>
        <w:tc>
          <w:tcPr>
            <w:tcW w:w="632" w:type="dxa"/>
            <w:vMerge w:val="restart"/>
            <w:tcBorders>
              <w:top w:val="single" w:color="auto" w:sz="10" w:space="0"/>
              <w:left w:val="single" w:color="auto" w:sz="10" w:space="0"/>
              <w:right w:val="single" w:color="auto" w:sz="10" w:space="0"/>
              <w:insideV w:val="single" w:sz="10" w:space="0"/>
            </w:tcBorders>
            <w:vAlign w:val="center"/>
          </w:tcPr>
          <w:p w14:paraId="042E3B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60C0">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C95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27D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D0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CD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A1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B749">
            <w:pPr>
              <w:jc w:val="center"/>
            </w:pPr>
            <w:r>
              <w:rPr>
                <w:rFonts w:ascii="宋体" w:hAnsi="宋体" w:eastAsia="宋体"/>
                <w:sz w:val="16"/>
              </w:rPr>
              <w:t>得分</w:t>
            </w:r>
          </w:p>
        </w:tc>
      </w:tr>
      <w:tr w14:paraId="55B96795">
        <w:tblPrEx>
          <w:tblCellMar>
            <w:top w:w="0" w:type="dxa"/>
            <w:left w:w="108" w:type="dxa"/>
            <w:bottom w:w="0" w:type="dxa"/>
            <w:right w:w="108" w:type="dxa"/>
          </w:tblCellMar>
        </w:tblPrEx>
        <w:tc>
          <w:tcPr>
            <w:tcW w:w="632" w:type="dxa"/>
            <w:vMerge w:val="continue"/>
            <w:tcBorders>
              <w:left w:val="single" w:color="auto" w:sz="10" w:space="0"/>
              <w:right w:val="single" w:color="auto" w:sz="10" w:space="0"/>
              <w:insideV w:val="single" w:sz="10" w:space="0"/>
            </w:tcBorders>
          </w:tcPr>
          <w:p w14:paraId="074A6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04DB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68F0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31EF">
            <w:pPr>
              <w:jc w:val="center"/>
            </w:pPr>
            <w:r>
              <w:rPr>
                <w:rFonts w:ascii="宋体" w:hAnsi="宋体" w:eastAsia="宋体"/>
                <w:sz w:val="16"/>
              </w:rPr>
              <w:t>3</w:t>
            </w:r>
            <w:bookmarkStart w:id="0" w:name="_GoBack"/>
            <w:bookmarkEnd w:id="0"/>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6800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34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E8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6D2C">
            <w:pPr>
              <w:jc w:val="center"/>
            </w:pPr>
            <w:r>
              <w:rPr>
                <w:rFonts w:ascii="宋体" w:hAnsi="宋体" w:eastAsia="宋体"/>
                <w:sz w:val="16"/>
              </w:rPr>
              <w:t>10.00分</w:t>
            </w:r>
          </w:p>
        </w:tc>
      </w:tr>
      <w:tr w14:paraId="48946429">
        <w:tblPrEx>
          <w:tblCellMar>
            <w:top w:w="0" w:type="dxa"/>
            <w:left w:w="108" w:type="dxa"/>
            <w:bottom w:w="0" w:type="dxa"/>
            <w:right w:w="108" w:type="dxa"/>
          </w:tblCellMar>
        </w:tblPrEx>
        <w:tc>
          <w:tcPr>
            <w:tcW w:w="632" w:type="dxa"/>
            <w:vMerge w:val="continue"/>
            <w:tcBorders>
              <w:left w:val="single" w:color="auto" w:sz="10" w:space="0"/>
              <w:right w:val="single" w:color="auto" w:sz="10" w:space="0"/>
              <w:insideV w:val="single" w:sz="10" w:space="0"/>
            </w:tcBorders>
          </w:tcPr>
          <w:p w14:paraId="286EEE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013B1">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BD8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5F80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295A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74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4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88B1">
            <w:pPr>
              <w:jc w:val="center"/>
            </w:pPr>
            <w:r>
              <w:rPr>
                <w:rFonts w:ascii="宋体" w:hAnsi="宋体" w:eastAsia="宋体"/>
                <w:sz w:val="16"/>
              </w:rPr>
              <w:t>—</w:t>
            </w:r>
          </w:p>
        </w:tc>
      </w:tr>
      <w:tr w14:paraId="304BDC74">
        <w:tblPrEx>
          <w:tblCellMar>
            <w:top w:w="0" w:type="dxa"/>
            <w:left w:w="108" w:type="dxa"/>
            <w:bottom w:w="0" w:type="dxa"/>
            <w:right w:w="108" w:type="dxa"/>
          </w:tblCellMar>
        </w:tblPrEx>
        <w:tc>
          <w:tcPr>
            <w:tcW w:w="632" w:type="dxa"/>
            <w:vMerge w:val="continue"/>
            <w:tcBorders>
              <w:left w:val="single" w:color="auto" w:sz="10" w:space="0"/>
              <w:bottom w:val="single" w:color="auto" w:sz="10" w:space="0"/>
              <w:right w:val="single" w:color="auto" w:sz="10" w:space="0"/>
              <w:insideV w:val="single" w:sz="10" w:space="0"/>
            </w:tcBorders>
          </w:tcPr>
          <w:p w14:paraId="3BC7FE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908E1">
            <w:pPr>
              <w:jc w:val="center"/>
              <w:rPr>
                <w:rFonts w:ascii="宋体" w:hAnsi="宋体" w:eastAsia="宋体"/>
                <w:sz w:val="16"/>
              </w:rP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FB9A">
            <w:pPr>
              <w:jc w:val="center"/>
              <w:rPr>
                <w:rFonts w:ascii="宋体" w:hAnsi="宋体" w:eastAsia="宋体"/>
                <w:sz w:val="16"/>
              </w:rP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61404">
            <w:pPr>
              <w:jc w:val="center"/>
              <w:rPr>
                <w:rFonts w:ascii="宋体" w:hAnsi="宋体" w:eastAsia="宋体"/>
                <w:sz w:val="16"/>
              </w:rP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D8C58">
            <w:pPr>
              <w:jc w:val="center"/>
              <w:rPr>
                <w:rFonts w:ascii="宋体" w:hAnsi="宋体" w:eastAsia="宋体"/>
                <w:sz w:val="16"/>
              </w:rP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F3B68">
            <w:pPr>
              <w:jc w:val="center"/>
              <w:rPr>
                <w:rFonts w:ascii="宋体" w:hAnsi="宋体" w:eastAsia="宋体"/>
                <w:sz w:val="16"/>
              </w:rP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6B299">
            <w:pPr>
              <w:jc w:val="center"/>
              <w:rPr>
                <w:rFonts w:ascii="宋体" w:hAnsi="宋体" w:eastAsia="宋体"/>
                <w:sz w:val="16"/>
              </w:rP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0368">
            <w:pPr>
              <w:jc w:val="center"/>
              <w:rPr>
                <w:rFonts w:ascii="宋体" w:hAnsi="宋体" w:eastAsia="宋体"/>
                <w:sz w:val="16"/>
              </w:rPr>
            </w:pPr>
            <w:r>
              <w:rPr>
                <w:rFonts w:ascii="宋体" w:hAnsi="宋体" w:eastAsia="宋体"/>
                <w:sz w:val="16"/>
              </w:rPr>
              <w:t>—</w:t>
            </w:r>
          </w:p>
        </w:tc>
      </w:tr>
      <w:tr w14:paraId="05FE7B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DA6B6">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A48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C27293">
            <w:pPr>
              <w:jc w:val="center"/>
            </w:pPr>
            <w:r>
              <w:rPr>
                <w:rFonts w:ascii="宋体" w:hAnsi="宋体" w:eastAsia="宋体"/>
                <w:sz w:val="16"/>
              </w:rPr>
              <w:t>实际完成情况</w:t>
            </w:r>
          </w:p>
        </w:tc>
      </w:tr>
      <w:tr w14:paraId="4402D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70906"/>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16C8A">
            <w:pPr>
              <w:jc w:val="both"/>
            </w:pPr>
            <w:r>
              <w:rPr>
                <w:rFonts w:ascii="宋体" w:hAnsi="宋体" w:eastAsia="宋体"/>
                <w:sz w:val="16"/>
              </w:rPr>
              <w:t>在2023年实验数据的基础上进行对比分析，继续测定新梅黄化症果园土壤</w:t>
            </w:r>
            <w:r>
              <w:rPr>
                <w:rFonts w:hint="eastAsia" w:ascii="宋体" w:hAnsi="宋体"/>
                <w:sz w:val="16"/>
                <w:lang w:eastAsia="zh-CN"/>
              </w:rPr>
              <w:t>根际</w:t>
            </w:r>
            <w:r>
              <w:rPr>
                <w:rFonts w:ascii="宋体" w:hAnsi="宋体" w:eastAsia="宋体"/>
                <w:sz w:val="16"/>
              </w:rPr>
              <w:t>盐理化指标、叶片微量元素离子含量，灌溉施肥基础数据，继续开展不同土壤、叶片树体管理模式实验。在前期不同砧木苗木定植的基础上，进行主栽品质与不同砧木的嫁接组合，进行观察对黄化症状抗性研究。整理2023年实验数据，继续检测分析新梅黄化症对果园产量、单果重量、可溶性固形物等重要经济性状关键组分的影响。组织果农、基层技术员开展新梅黄化症综合防治关键技术培训 40 人次。培养新梅栽培及黄化症防治专业技术人员 2-3 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21AB3">
            <w:pPr>
              <w:jc w:val="both"/>
            </w:pPr>
            <w:r>
              <w:rPr>
                <w:rFonts w:ascii="宋体" w:hAnsi="宋体" w:eastAsia="宋体"/>
                <w:sz w:val="16"/>
              </w:rPr>
              <w:t>截至12月31日，新梅黄化症综合防治技术示范面积达到100亩，完成新梅黄化综合防治关键技术培训40人，培训人员满意度为100% ，黄化综合防治关键技术有效提高了优质果率80% ，新梅黄化综合防治关键技术研究与示范亩均成本为3000元，通过实施该项目，示范园新梅黄化综合防治关键技术防治率达到了预期目标，技术人员对新梅黄化症防治水平得到提升。</w:t>
            </w:r>
          </w:p>
        </w:tc>
      </w:tr>
      <w:tr w14:paraId="2FCAD7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1BA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0C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81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786F">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5DA9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0A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14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7B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B2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D1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86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1A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1DA41">
            <w:pPr>
              <w:jc w:val="center"/>
            </w:pPr>
            <w:r>
              <w:rPr>
                <w:rFonts w:ascii="宋体" w:hAnsi="宋体" w:eastAsia="宋体"/>
                <w:sz w:val="16"/>
              </w:rPr>
              <w:t>偏差原因分析及改进措施</w:t>
            </w:r>
          </w:p>
        </w:tc>
      </w:tr>
      <w:tr w14:paraId="1303AB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B9D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5B0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011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171A">
            <w:pPr>
              <w:jc w:val="center"/>
            </w:pPr>
            <w:r>
              <w:rPr>
                <w:rFonts w:ascii="宋体" w:hAnsi="宋体" w:eastAsia="宋体"/>
                <w:sz w:val="16"/>
              </w:rPr>
              <w:t>新梅黄化症综合防治关键技术示范面积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225CF7">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F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B7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7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F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33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5AB7">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B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C31E">
            <w:pPr>
              <w:jc w:val="center"/>
            </w:pPr>
          </w:p>
        </w:tc>
      </w:tr>
      <w:tr w14:paraId="321C2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5A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C6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58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9AF2">
            <w:pPr>
              <w:jc w:val="center"/>
            </w:pPr>
            <w:r>
              <w:rPr>
                <w:rFonts w:ascii="宋体" w:hAnsi="宋体" w:eastAsia="宋体"/>
                <w:sz w:val="16"/>
              </w:rPr>
              <w:t>新梅黄化症综合防治关键技术培训人数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9B6AA7">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C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0E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E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5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5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F611">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52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54CE">
            <w:pPr>
              <w:jc w:val="center"/>
            </w:pPr>
          </w:p>
        </w:tc>
      </w:tr>
      <w:tr w14:paraId="15996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68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F0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F1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AE98">
            <w:pPr>
              <w:jc w:val="center"/>
            </w:pPr>
            <w:r>
              <w:rPr>
                <w:rFonts w:ascii="宋体" w:hAnsi="宋体" w:eastAsia="宋体"/>
                <w:sz w:val="16"/>
              </w:rPr>
              <w:t>新梅黄化症综合防治关键技术防治率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95763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2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54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7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B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B6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C0D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7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150C">
            <w:pPr>
              <w:jc w:val="center"/>
            </w:pPr>
          </w:p>
        </w:tc>
      </w:tr>
      <w:tr w14:paraId="7C6B5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9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74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46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08E2">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8A61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0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5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6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7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7C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2F9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5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84D6">
            <w:pPr>
              <w:jc w:val="center"/>
            </w:pPr>
          </w:p>
        </w:tc>
      </w:tr>
      <w:tr w14:paraId="39062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56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7B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8A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1432">
            <w:pPr>
              <w:jc w:val="center"/>
            </w:pPr>
            <w:r>
              <w:rPr>
                <w:rFonts w:ascii="宋体" w:hAnsi="宋体" w:eastAsia="宋体"/>
                <w:sz w:val="16"/>
              </w:rPr>
              <w:t>新梅黄化症综合防治关键技术研究与示范</w:t>
            </w:r>
            <w:r>
              <w:rPr>
                <w:rFonts w:hint="eastAsia" w:ascii="宋体" w:hAnsi="宋体"/>
                <w:sz w:val="16"/>
                <w:lang w:eastAsia="zh-CN"/>
              </w:rPr>
              <w:t>年内</w:t>
            </w:r>
            <w:r>
              <w:rPr>
                <w:rFonts w:ascii="宋体" w:hAnsi="宋体" w:eastAsia="宋体"/>
                <w:sz w:val="16"/>
              </w:rPr>
              <w:t>亩均成本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3E0181">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2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A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79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2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2B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1046">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3C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87F97">
            <w:pPr>
              <w:jc w:val="center"/>
            </w:pPr>
          </w:p>
        </w:tc>
      </w:tr>
      <w:tr w14:paraId="283A9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66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F9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EA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D1C2">
            <w:pPr>
              <w:jc w:val="center"/>
            </w:pPr>
            <w:r>
              <w:rPr>
                <w:rFonts w:ascii="宋体" w:hAnsi="宋体" w:eastAsia="宋体"/>
                <w:sz w:val="16"/>
              </w:rPr>
              <w:t>黄化症综合防治技术提高新梅优质果率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3B1EA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1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F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A4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1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74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EE2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EC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9181">
            <w:pPr>
              <w:jc w:val="center"/>
            </w:pPr>
          </w:p>
        </w:tc>
      </w:tr>
      <w:tr w14:paraId="15A9C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49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E7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A4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99CF">
            <w:pPr>
              <w:jc w:val="center"/>
            </w:pPr>
            <w:r>
              <w:rPr>
                <w:rFonts w:ascii="宋体" w:hAnsi="宋体" w:eastAsia="宋体"/>
                <w:sz w:val="16"/>
              </w:rPr>
              <w:t>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AD2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F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A7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2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60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6E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2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91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81B21">
            <w:pPr>
              <w:jc w:val="center"/>
            </w:pPr>
          </w:p>
        </w:tc>
      </w:tr>
      <w:tr w14:paraId="40ABF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6AC6">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17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706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0192E">
            <w:pPr>
              <w:jc w:val="center"/>
            </w:pPr>
            <w:r>
              <w:rPr>
                <w:rFonts w:ascii="宋体" w:hAnsi="宋体" w:eastAsia="宋体"/>
                <w:sz w:val="16"/>
              </w:rPr>
              <w:t>100分</w:t>
            </w:r>
          </w:p>
        </w:tc>
      </w:tr>
    </w:tbl>
    <w:p w14:paraId="427A46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874DE8C">
        <w:tblPrEx>
          <w:tblCellMar>
            <w:top w:w="0" w:type="dxa"/>
            <w:left w:w="108" w:type="dxa"/>
            <w:bottom w:w="0" w:type="dxa"/>
            <w:right w:w="108" w:type="dxa"/>
          </w:tblCellMar>
        </w:tblPrEx>
        <w:tc>
          <w:tcPr>
            <w:tcW w:w="8848" w:type="dxa"/>
            <w:gridSpan w:val="14"/>
            <w:vAlign w:val="center"/>
          </w:tcPr>
          <w:p w14:paraId="1BFEAA9A">
            <w:pPr>
              <w:jc w:val="center"/>
            </w:pPr>
            <w:r>
              <w:rPr>
                <w:rFonts w:ascii="宋体" w:hAnsi="宋体" w:eastAsia="宋体"/>
                <w:sz w:val="24"/>
              </w:rPr>
              <w:t>项目支出绩效自评表</w:t>
            </w:r>
          </w:p>
        </w:tc>
      </w:tr>
      <w:tr w14:paraId="292E2394">
        <w:tblPrEx>
          <w:tblCellMar>
            <w:top w:w="0" w:type="dxa"/>
            <w:left w:w="108" w:type="dxa"/>
            <w:bottom w:w="0" w:type="dxa"/>
            <w:right w:w="108" w:type="dxa"/>
          </w:tblCellMar>
        </w:tblPrEx>
        <w:tc>
          <w:tcPr>
            <w:tcW w:w="8848" w:type="dxa"/>
            <w:gridSpan w:val="14"/>
            <w:vAlign w:val="center"/>
          </w:tcPr>
          <w:p w14:paraId="709F675C">
            <w:pPr>
              <w:jc w:val="center"/>
            </w:pPr>
            <w:r>
              <w:rPr>
                <w:rFonts w:ascii="宋体" w:hAnsi="宋体" w:eastAsia="宋体"/>
                <w:sz w:val="24"/>
              </w:rPr>
              <w:t>(2024年度)</w:t>
            </w:r>
          </w:p>
        </w:tc>
      </w:tr>
      <w:tr w14:paraId="24FFDB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6C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51E31D">
            <w:pPr>
              <w:jc w:val="center"/>
            </w:pPr>
            <w:r>
              <w:rPr>
                <w:rFonts w:ascii="宋体" w:hAnsi="宋体" w:eastAsia="宋体"/>
                <w:sz w:val="16"/>
              </w:rPr>
              <w:t>天池英才引进计划人才毕金峰、刘璇项目</w:t>
            </w:r>
          </w:p>
        </w:tc>
      </w:tr>
      <w:tr w14:paraId="0B1FA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15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35D23">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36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5A5029">
            <w:pPr>
              <w:jc w:val="center"/>
            </w:pPr>
            <w:r>
              <w:rPr>
                <w:rFonts w:ascii="宋体" w:hAnsi="宋体" w:eastAsia="宋体"/>
                <w:sz w:val="16"/>
              </w:rPr>
              <w:t>新疆喀什地区瓜果蔬菜产业发展中心</w:t>
            </w:r>
          </w:p>
        </w:tc>
      </w:tr>
      <w:tr w14:paraId="00D4C1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A1D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A55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64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45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043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535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13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F40E">
            <w:pPr>
              <w:jc w:val="center"/>
            </w:pPr>
            <w:r>
              <w:rPr>
                <w:rFonts w:ascii="宋体" w:hAnsi="宋体" w:eastAsia="宋体"/>
                <w:sz w:val="16"/>
              </w:rPr>
              <w:t>得分</w:t>
            </w:r>
          </w:p>
        </w:tc>
      </w:tr>
      <w:tr w14:paraId="3FFD9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4E7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2E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6D073">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21A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CF43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43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EA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908C">
            <w:pPr>
              <w:jc w:val="center"/>
            </w:pPr>
            <w:r>
              <w:rPr>
                <w:rFonts w:ascii="宋体" w:hAnsi="宋体" w:eastAsia="宋体"/>
                <w:sz w:val="16"/>
              </w:rPr>
              <w:t>10.00分</w:t>
            </w:r>
          </w:p>
        </w:tc>
      </w:tr>
      <w:tr w14:paraId="69390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27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301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61A4A">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F238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E112">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64F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79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1CC3">
            <w:pPr>
              <w:jc w:val="center"/>
            </w:pPr>
            <w:r>
              <w:rPr>
                <w:rFonts w:ascii="宋体" w:hAnsi="宋体" w:eastAsia="宋体"/>
                <w:sz w:val="16"/>
              </w:rPr>
              <w:t>—</w:t>
            </w:r>
          </w:p>
        </w:tc>
      </w:tr>
      <w:tr w14:paraId="593DC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F45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DB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4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84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56C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1A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09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8D00">
            <w:pPr>
              <w:jc w:val="center"/>
            </w:pPr>
            <w:r>
              <w:rPr>
                <w:rFonts w:ascii="宋体" w:hAnsi="宋体" w:eastAsia="宋体"/>
                <w:sz w:val="16"/>
              </w:rPr>
              <w:t>—</w:t>
            </w:r>
          </w:p>
        </w:tc>
      </w:tr>
      <w:tr w14:paraId="21BD25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8F2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40F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9E9FD">
            <w:pPr>
              <w:jc w:val="center"/>
            </w:pPr>
            <w:r>
              <w:rPr>
                <w:rFonts w:ascii="宋体" w:hAnsi="宋体" w:eastAsia="宋体"/>
                <w:sz w:val="16"/>
              </w:rPr>
              <w:t>实际完成情况</w:t>
            </w:r>
          </w:p>
        </w:tc>
      </w:tr>
      <w:tr w14:paraId="7ADE6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0A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1AD11">
            <w:pPr>
              <w:jc w:val="both"/>
            </w:pPr>
            <w:r>
              <w:rPr>
                <w:rFonts w:ascii="宋体" w:hAnsi="宋体" w:eastAsia="宋体"/>
                <w:sz w:val="16"/>
              </w:rPr>
              <w:t>通过引进人才一是开展喀什特色优质果蔬传统加工产业升级与梯次高值利用关键技术研究与示范；形成喀什特色优质果蔬关键加工技术3项；研发新产品4个；服务喀什地区果蔬加工企业5家，培训企业工人、技术与管理人员100余人次，达到助力喀什市果蔬及特色优质农产品全产业链高质量发展的效果。二是开展针对喀什特色果蔬品质挖掘及提质增效加工关键技术研究与示范研究，为当地果蔬加工产业提供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819AC">
            <w:pPr>
              <w:jc w:val="both"/>
            </w:pPr>
            <w:r>
              <w:rPr>
                <w:rFonts w:hint="eastAsia" w:ascii="宋体" w:hAnsi="宋体"/>
                <w:sz w:val="16"/>
                <w:lang w:eastAsia="zh-CN"/>
              </w:rPr>
              <w:t>截至2024</w:t>
            </w:r>
            <w:r>
              <w:rPr>
                <w:rFonts w:ascii="宋体" w:hAnsi="宋体" w:eastAsia="宋体"/>
                <w:sz w:val="16"/>
              </w:rPr>
              <w:t>年5月31日，毕金峰、刘璇2名专家在喀什地区对10余家企业进行了调研，并与5家企业签订服务协议；开展果蔬加工讲座培训3次，培训人员100人次；形成特色果品加工技术3项；开发以伽师瓜为主要原料的新产品4个；通过项目实施，对喀什特色果蔬品质挖掘及提质增效加工关键技术研究与示范研究，为当地果蔬加工产业提供技术支撑。</w:t>
            </w:r>
          </w:p>
        </w:tc>
      </w:tr>
      <w:tr w14:paraId="2120AE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87A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70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24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30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EC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F0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E0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13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90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A6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1F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7E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0CD32">
            <w:pPr>
              <w:jc w:val="center"/>
            </w:pPr>
            <w:r>
              <w:rPr>
                <w:rFonts w:ascii="宋体" w:hAnsi="宋体" w:eastAsia="宋体"/>
                <w:sz w:val="16"/>
              </w:rPr>
              <w:t>偏差原因分析及改进措施</w:t>
            </w:r>
          </w:p>
        </w:tc>
      </w:tr>
      <w:tr w14:paraId="796BE5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C7F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682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9B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ACCC">
            <w:pPr>
              <w:jc w:val="center"/>
            </w:pPr>
            <w:r>
              <w:rPr>
                <w:rFonts w:ascii="宋体" w:hAnsi="宋体" w:eastAsia="宋体"/>
                <w:sz w:val="16"/>
              </w:rPr>
              <w:t>引进人才人数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9D8F">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1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409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F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83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AB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E04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20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F2790">
            <w:pPr>
              <w:jc w:val="center"/>
            </w:pPr>
          </w:p>
        </w:tc>
      </w:tr>
      <w:tr w14:paraId="7AAF4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EB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74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78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405E">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AD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4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4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E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16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58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0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7B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E62AC">
            <w:pPr>
              <w:jc w:val="center"/>
            </w:pPr>
          </w:p>
        </w:tc>
      </w:tr>
      <w:tr w14:paraId="6729D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A8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5FC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2A7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6B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8DC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4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71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9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8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74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DCC8">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94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C5A6">
            <w:pPr>
              <w:jc w:val="center"/>
            </w:pPr>
          </w:p>
        </w:tc>
      </w:tr>
      <w:tr w14:paraId="7C1F7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75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C9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8A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D19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D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1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7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43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C9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CA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3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B0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BDFE2">
            <w:pPr>
              <w:jc w:val="center"/>
            </w:pPr>
          </w:p>
        </w:tc>
      </w:tr>
      <w:tr w14:paraId="664B8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B3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42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A3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32B4">
            <w:pPr>
              <w:jc w:val="center"/>
            </w:pPr>
            <w:r>
              <w:rPr>
                <w:rFonts w:ascii="宋体" w:hAnsi="宋体" w:eastAsia="宋体"/>
                <w:sz w:val="16"/>
              </w:rPr>
              <w:t>专家平均发放标准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9E5F">
            <w:pPr>
              <w:jc w:val="center"/>
            </w:pPr>
            <w:r>
              <w:rPr>
                <w:rFonts w:ascii="宋体" w:hAnsi="宋体" w:eastAsia="宋体"/>
                <w:sz w:val="16"/>
              </w:rPr>
              <w:t>&lt;=22.50万元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C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3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D1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F6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B0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39F9">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A5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23F5">
            <w:pPr>
              <w:jc w:val="center"/>
            </w:pPr>
          </w:p>
        </w:tc>
      </w:tr>
      <w:tr w14:paraId="60363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EE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48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C5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6B9E">
            <w:pPr>
              <w:jc w:val="center"/>
            </w:pPr>
            <w:r>
              <w:rPr>
                <w:rFonts w:ascii="宋体" w:hAnsi="宋体" w:eastAsia="宋体"/>
                <w:sz w:val="16"/>
              </w:rPr>
              <w:t>产品加工转化率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3FA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7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63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8B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B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A2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900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C0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805D1">
            <w:pPr>
              <w:jc w:val="center"/>
            </w:pPr>
          </w:p>
        </w:tc>
      </w:tr>
      <w:tr w14:paraId="45813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1B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4B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35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2327">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A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A6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2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0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FA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A1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0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2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7BEF3">
            <w:pPr>
              <w:jc w:val="center"/>
            </w:pPr>
          </w:p>
        </w:tc>
      </w:tr>
      <w:tr w14:paraId="0B44E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E79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AA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3C3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C1CBD">
            <w:pPr>
              <w:jc w:val="center"/>
            </w:pPr>
            <w:r>
              <w:rPr>
                <w:rFonts w:ascii="宋体" w:hAnsi="宋体" w:eastAsia="宋体"/>
                <w:sz w:val="16"/>
              </w:rPr>
              <w:t>100分</w:t>
            </w:r>
          </w:p>
        </w:tc>
      </w:tr>
    </w:tbl>
    <w:p w14:paraId="4BA541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85D0480">
        <w:tblPrEx>
          <w:tblCellMar>
            <w:top w:w="0" w:type="dxa"/>
            <w:left w:w="108" w:type="dxa"/>
            <w:bottom w:w="0" w:type="dxa"/>
            <w:right w:w="108" w:type="dxa"/>
          </w:tblCellMar>
        </w:tblPrEx>
        <w:tc>
          <w:tcPr>
            <w:tcW w:w="8848" w:type="dxa"/>
            <w:gridSpan w:val="14"/>
            <w:vAlign w:val="center"/>
          </w:tcPr>
          <w:p w14:paraId="7D006EF3">
            <w:pPr>
              <w:jc w:val="center"/>
            </w:pPr>
            <w:r>
              <w:rPr>
                <w:rFonts w:ascii="宋体" w:hAnsi="宋体" w:eastAsia="宋体"/>
                <w:sz w:val="24"/>
              </w:rPr>
              <w:t>项目支出绩效自评表</w:t>
            </w:r>
          </w:p>
        </w:tc>
      </w:tr>
      <w:tr w14:paraId="6AAF44D5">
        <w:tblPrEx>
          <w:tblCellMar>
            <w:top w:w="0" w:type="dxa"/>
            <w:left w:w="108" w:type="dxa"/>
            <w:bottom w:w="0" w:type="dxa"/>
            <w:right w:w="108" w:type="dxa"/>
          </w:tblCellMar>
        </w:tblPrEx>
        <w:tc>
          <w:tcPr>
            <w:tcW w:w="8848" w:type="dxa"/>
            <w:gridSpan w:val="14"/>
            <w:vAlign w:val="center"/>
          </w:tcPr>
          <w:p w14:paraId="6E1C6BAE">
            <w:pPr>
              <w:jc w:val="center"/>
            </w:pPr>
            <w:r>
              <w:rPr>
                <w:rFonts w:ascii="宋体" w:hAnsi="宋体" w:eastAsia="宋体"/>
                <w:sz w:val="24"/>
              </w:rPr>
              <w:t>(2024年度)</w:t>
            </w:r>
          </w:p>
        </w:tc>
      </w:tr>
      <w:tr w14:paraId="6DB5B9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C8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179B54">
            <w:pPr>
              <w:jc w:val="center"/>
            </w:pPr>
            <w:r>
              <w:rPr>
                <w:rFonts w:ascii="宋体" w:hAnsi="宋体" w:eastAsia="宋体"/>
                <w:sz w:val="16"/>
              </w:rPr>
              <w:t>新疆特色水果精深加工创新团队项目</w:t>
            </w:r>
          </w:p>
        </w:tc>
      </w:tr>
      <w:tr w14:paraId="32643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BC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41ABF">
            <w:pPr>
              <w:jc w:val="center"/>
            </w:pPr>
            <w:r>
              <w:rPr>
                <w:rFonts w:ascii="宋体" w:hAnsi="宋体" w:eastAsia="宋体"/>
                <w:sz w:val="16"/>
              </w:rPr>
              <w:t>喀什地区林业局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A7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26F61">
            <w:pPr>
              <w:jc w:val="center"/>
            </w:pPr>
            <w:r>
              <w:rPr>
                <w:rFonts w:ascii="宋体" w:hAnsi="宋体" w:eastAsia="宋体"/>
                <w:sz w:val="16"/>
              </w:rPr>
              <w:t>新疆喀什地区瓜果蔬菜产业发展中心</w:t>
            </w:r>
          </w:p>
        </w:tc>
      </w:tr>
      <w:tr w14:paraId="3C791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B32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93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CD2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33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30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015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135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3E2E">
            <w:pPr>
              <w:jc w:val="center"/>
            </w:pPr>
            <w:r>
              <w:rPr>
                <w:rFonts w:ascii="宋体" w:hAnsi="宋体" w:eastAsia="宋体"/>
                <w:sz w:val="16"/>
              </w:rPr>
              <w:t>得分</w:t>
            </w:r>
          </w:p>
        </w:tc>
      </w:tr>
      <w:tr w14:paraId="00321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53D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F44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627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9D00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463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70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F5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4044">
            <w:pPr>
              <w:jc w:val="center"/>
            </w:pPr>
            <w:r>
              <w:rPr>
                <w:rFonts w:ascii="宋体" w:hAnsi="宋体" w:eastAsia="宋体"/>
                <w:sz w:val="16"/>
              </w:rPr>
              <w:t>10.00分</w:t>
            </w:r>
          </w:p>
        </w:tc>
      </w:tr>
      <w:tr w14:paraId="7B12C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4F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FA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F48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92C8">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03ED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D2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AA5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9578">
            <w:pPr>
              <w:jc w:val="center"/>
            </w:pPr>
            <w:r>
              <w:rPr>
                <w:rFonts w:ascii="宋体" w:hAnsi="宋体" w:eastAsia="宋体"/>
                <w:sz w:val="16"/>
              </w:rPr>
              <w:t>—</w:t>
            </w:r>
          </w:p>
        </w:tc>
      </w:tr>
      <w:tr w14:paraId="5F135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8E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79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6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32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8E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7DE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8AA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F5FC">
            <w:pPr>
              <w:jc w:val="center"/>
            </w:pPr>
            <w:r>
              <w:rPr>
                <w:rFonts w:ascii="宋体" w:hAnsi="宋体" w:eastAsia="宋体"/>
                <w:sz w:val="16"/>
              </w:rPr>
              <w:t>—</w:t>
            </w:r>
          </w:p>
        </w:tc>
      </w:tr>
      <w:tr w14:paraId="221939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DFE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57D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C666BB">
            <w:pPr>
              <w:jc w:val="center"/>
            </w:pPr>
            <w:r>
              <w:rPr>
                <w:rFonts w:ascii="宋体" w:hAnsi="宋体" w:eastAsia="宋体"/>
                <w:sz w:val="16"/>
              </w:rPr>
              <w:t>实际完成情况</w:t>
            </w:r>
          </w:p>
        </w:tc>
      </w:tr>
      <w:tr w14:paraId="47673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452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2B7C2">
            <w:pPr>
              <w:jc w:val="both"/>
            </w:pPr>
            <w:r>
              <w:rPr>
                <w:rFonts w:ascii="宋体" w:hAnsi="宋体" w:eastAsia="宋体"/>
                <w:sz w:val="16"/>
              </w:rPr>
              <w:t>项目总金额40万元，项目实施计划开发精深加工产品数量不少于2个，制定产品生产技术规程不少于2项，对新疆石榴、杏等特色水果中活性物质进行优化组方，实现多种成分协同增效，研制功效明显、有效成分明确、安全性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FB0B9B">
            <w:pPr>
              <w:jc w:val="both"/>
            </w:pPr>
            <w:r>
              <w:rPr>
                <w:rFonts w:ascii="宋体" w:hAnsi="宋体" w:eastAsia="宋体"/>
                <w:sz w:val="16"/>
              </w:rPr>
              <w:t>截至12月31日，完成开发精深加工产品2个，制定产品加工技术规程2项，项目按时完成项目任务。通过项目实施，石榴与杏产业链有效延伸，石榴和杏产业经济贡献度得到良好提升。</w:t>
            </w:r>
          </w:p>
        </w:tc>
      </w:tr>
      <w:tr w14:paraId="24F4E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09D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1A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2A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CF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F1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AC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51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1F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A9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66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81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16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2E13">
            <w:pPr>
              <w:jc w:val="center"/>
            </w:pPr>
            <w:r>
              <w:rPr>
                <w:rFonts w:ascii="宋体" w:hAnsi="宋体" w:eastAsia="宋体"/>
                <w:sz w:val="16"/>
              </w:rPr>
              <w:t>偏差原因分析及改进措施</w:t>
            </w:r>
          </w:p>
        </w:tc>
      </w:tr>
      <w:tr w14:paraId="44224E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7BF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F98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B1A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6ABE">
            <w:pPr>
              <w:jc w:val="center"/>
            </w:pPr>
            <w:r>
              <w:rPr>
                <w:rFonts w:ascii="宋体" w:hAnsi="宋体" w:eastAsia="宋体"/>
                <w:sz w:val="16"/>
              </w:rPr>
              <w:t>开发精深加工产品数量（个）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C294">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4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A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F2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86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E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E2A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3D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7F767">
            <w:pPr>
              <w:jc w:val="center"/>
            </w:pPr>
          </w:p>
        </w:tc>
      </w:tr>
      <w:tr w14:paraId="00B3F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53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CB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9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A300">
            <w:pPr>
              <w:jc w:val="center"/>
            </w:pPr>
            <w:r>
              <w:rPr>
                <w:rFonts w:ascii="宋体" w:hAnsi="宋体" w:eastAsia="宋体"/>
                <w:sz w:val="16"/>
              </w:rPr>
              <w:t>制定产品生产技术规程（个）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ED7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7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2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6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D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2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F9F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E8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3FF1">
            <w:pPr>
              <w:jc w:val="center"/>
            </w:pPr>
          </w:p>
        </w:tc>
      </w:tr>
      <w:tr w14:paraId="68F74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3F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1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7C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2254">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0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8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5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2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5B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FE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BF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C3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AD09">
            <w:pPr>
              <w:jc w:val="center"/>
            </w:pPr>
          </w:p>
        </w:tc>
      </w:tr>
      <w:tr w14:paraId="4F302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A3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0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2E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70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D79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0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91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7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7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42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0F10">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6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4643">
            <w:pPr>
              <w:jc w:val="center"/>
            </w:pPr>
          </w:p>
        </w:tc>
      </w:tr>
      <w:tr w14:paraId="6E610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E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3D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D5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9428">
            <w:pPr>
              <w:jc w:val="center"/>
            </w:pPr>
            <w:r>
              <w:rPr>
                <w:rFonts w:ascii="宋体" w:hAnsi="宋体" w:eastAsia="宋体"/>
                <w:sz w:val="16"/>
              </w:rPr>
              <w:t>研发产品平均支出成本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BBAF">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9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20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1C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B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69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69CB">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18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0ACE">
            <w:pPr>
              <w:jc w:val="center"/>
            </w:pPr>
          </w:p>
        </w:tc>
      </w:tr>
      <w:tr w14:paraId="758FD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5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3E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EF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BC04">
            <w:pPr>
              <w:jc w:val="center"/>
            </w:pPr>
            <w:r>
              <w:rPr>
                <w:rFonts w:ascii="宋体" w:hAnsi="宋体" w:eastAsia="宋体"/>
                <w:sz w:val="16"/>
              </w:rPr>
              <w:t>石榴、杏产业经济贡献度（%）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3A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F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0B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A5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A6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8C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AD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D7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A7935">
            <w:pPr>
              <w:jc w:val="center"/>
            </w:pPr>
          </w:p>
        </w:tc>
      </w:tr>
      <w:tr w14:paraId="71367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8F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2A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7A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A249">
            <w:pPr>
              <w:jc w:val="center"/>
            </w:pPr>
            <w:r>
              <w:rPr>
                <w:rFonts w:ascii="宋体" w:hAnsi="宋体" w:eastAsia="宋体"/>
                <w:sz w:val="16"/>
              </w:rPr>
              <w:t>验收单位满意度（%）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D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D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C5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09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9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E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5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F318">
            <w:pPr>
              <w:jc w:val="center"/>
            </w:pPr>
          </w:p>
        </w:tc>
      </w:tr>
      <w:tr w14:paraId="6C20D1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CD1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629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7FB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5B2AC">
            <w:pPr>
              <w:jc w:val="center"/>
            </w:pPr>
            <w:r>
              <w:rPr>
                <w:rFonts w:ascii="宋体" w:hAnsi="宋体" w:eastAsia="宋体"/>
                <w:sz w:val="16"/>
              </w:rPr>
              <w:t>100分</w:t>
            </w:r>
          </w:p>
        </w:tc>
      </w:tr>
    </w:tbl>
    <w:p w14:paraId="73F7EA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13D8A7">
        <w:tc>
          <w:tcPr>
            <w:tcW w:w="8848" w:type="dxa"/>
            <w:gridSpan w:val="14"/>
            <w:vAlign w:val="center"/>
          </w:tcPr>
          <w:p w14:paraId="7E0719F4">
            <w:pPr>
              <w:jc w:val="center"/>
            </w:pPr>
            <w:r>
              <w:rPr>
                <w:rFonts w:ascii="宋体" w:hAnsi="宋体" w:eastAsia="宋体"/>
                <w:sz w:val="24"/>
              </w:rPr>
              <w:t>项目支出绩效自评表</w:t>
            </w:r>
          </w:p>
        </w:tc>
      </w:tr>
      <w:tr w14:paraId="39E5525E">
        <w:tblPrEx>
          <w:tblCellMar>
            <w:top w:w="0" w:type="dxa"/>
            <w:left w:w="108" w:type="dxa"/>
            <w:bottom w:w="0" w:type="dxa"/>
            <w:right w:w="108" w:type="dxa"/>
          </w:tblCellMar>
        </w:tblPrEx>
        <w:tc>
          <w:tcPr>
            <w:tcW w:w="8848" w:type="dxa"/>
            <w:gridSpan w:val="14"/>
            <w:vAlign w:val="center"/>
          </w:tcPr>
          <w:p w14:paraId="3D8D9EC6">
            <w:pPr>
              <w:jc w:val="center"/>
            </w:pPr>
            <w:r>
              <w:rPr>
                <w:rFonts w:ascii="宋体" w:hAnsi="宋体" w:eastAsia="宋体"/>
                <w:sz w:val="24"/>
              </w:rPr>
              <w:t>(2024年度)</w:t>
            </w:r>
          </w:p>
        </w:tc>
      </w:tr>
      <w:tr w14:paraId="5DD52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34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1F0408">
            <w:pPr>
              <w:jc w:val="center"/>
            </w:pPr>
            <w:r>
              <w:rPr>
                <w:rFonts w:ascii="宋体" w:hAnsi="宋体" w:eastAsia="宋体"/>
                <w:sz w:val="16"/>
              </w:rPr>
              <w:t>瓜果蔬菜产业提质增效技术服务指导项目</w:t>
            </w:r>
          </w:p>
        </w:tc>
      </w:tr>
      <w:tr w14:paraId="0272F4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53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E40FB">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8C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21793">
            <w:pPr>
              <w:jc w:val="center"/>
            </w:pPr>
            <w:r>
              <w:rPr>
                <w:rFonts w:ascii="宋体" w:hAnsi="宋体" w:eastAsia="宋体"/>
                <w:sz w:val="16"/>
              </w:rPr>
              <w:t>新疆喀什地区瓜果蔬菜产业发展中心</w:t>
            </w:r>
          </w:p>
        </w:tc>
      </w:tr>
      <w:tr w14:paraId="4DF37A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9F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2AC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B0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707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AD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5D0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B6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2246">
            <w:pPr>
              <w:jc w:val="center"/>
            </w:pPr>
            <w:r>
              <w:rPr>
                <w:rFonts w:ascii="宋体" w:hAnsi="宋体" w:eastAsia="宋体"/>
                <w:sz w:val="16"/>
              </w:rPr>
              <w:t>得分</w:t>
            </w:r>
          </w:p>
        </w:tc>
      </w:tr>
      <w:tr w14:paraId="42536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1C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181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9A0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3CD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630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DA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1E24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87E0">
            <w:pPr>
              <w:jc w:val="center"/>
            </w:pPr>
            <w:r>
              <w:rPr>
                <w:rFonts w:ascii="宋体" w:hAnsi="宋体" w:eastAsia="宋体"/>
                <w:sz w:val="16"/>
              </w:rPr>
              <w:t>10.00分</w:t>
            </w:r>
          </w:p>
        </w:tc>
      </w:tr>
      <w:tr w14:paraId="63CE6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5B0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62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004B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3AC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ED7E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6A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15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6F37">
            <w:pPr>
              <w:jc w:val="center"/>
            </w:pPr>
            <w:r>
              <w:rPr>
                <w:rFonts w:ascii="宋体" w:hAnsi="宋体" w:eastAsia="宋体"/>
                <w:sz w:val="16"/>
              </w:rPr>
              <w:t>—</w:t>
            </w:r>
          </w:p>
        </w:tc>
      </w:tr>
      <w:tr w14:paraId="70698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3C3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AB3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83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82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83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36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DFA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0429">
            <w:pPr>
              <w:jc w:val="center"/>
            </w:pPr>
            <w:r>
              <w:rPr>
                <w:rFonts w:ascii="宋体" w:hAnsi="宋体" w:eastAsia="宋体"/>
                <w:sz w:val="16"/>
              </w:rPr>
              <w:t>—</w:t>
            </w:r>
          </w:p>
        </w:tc>
      </w:tr>
      <w:tr w14:paraId="6EA156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43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C60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18BCC">
            <w:pPr>
              <w:jc w:val="center"/>
            </w:pPr>
            <w:r>
              <w:rPr>
                <w:rFonts w:ascii="宋体" w:hAnsi="宋体" w:eastAsia="宋体"/>
                <w:sz w:val="16"/>
              </w:rPr>
              <w:t>实际完成情况</w:t>
            </w:r>
          </w:p>
        </w:tc>
      </w:tr>
      <w:tr w14:paraId="56F6C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C48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06976">
            <w:pPr>
              <w:jc w:val="both"/>
            </w:pPr>
            <w:r>
              <w:rPr>
                <w:rFonts w:ascii="宋体" w:hAnsi="宋体" w:eastAsia="宋体"/>
                <w:sz w:val="16"/>
              </w:rPr>
              <w:t>2024年度计划派出10名专业技术人员全年常态化、分片区赴各县市开展瓜果蔬菜产业提质增效技术指导服务工作150天以上，以不断提高蔬菜产业的科学化管理、生态化发展、产业化经营，全面推进喀什蔬菜产业快速健康发展；林果方面重点开展基地示范园建设、关键技术措施、果品生产加工、市场信息收集分析、宣传推介等方面开展指导服务，以不断提高林果产业的科学化管理、生态化发展、产业化经营，全面推进喀什林果产业快速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14382">
            <w:pPr>
              <w:jc w:val="both"/>
            </w:pPr>
            <w:r>
              <w:rPr>
                <w:rFonts w:ascii="宋体" w:hAnsi="宋体" w:eastAsia="宋体"/>
                <w:sz w:val="16"/>
              </w:rPr>
              <w:t>截至12月31日地区瓜果蔬菜产业发展中心派出10名技术干部，完成150天重点开展基地示范建设、关键技术措施、果品生产加工、市场信息收集分析、宣传推介等技术服务指导，单位及时支付项目资金作保障，通过项目实施，地区瓜果蔬菜产业得到持续提高，群众满意度为100%。全面推进了喀什瓜果蔬菜产业快速健康发展。</w:t>
            </w:r>
          </w:p>
        </w:tc>
      </w:tr>
      <w:tr w14:paraId="5B18D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E17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EB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B9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21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1E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99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7B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76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C1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DC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E4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C2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F616">
            <w:pPr>
              <w:jc w:val="center"/>
            </w:pPr>
            <w:r>
              <w:rPr>
                <w:rFonts w:ascii="宋体" w:hAnsi="宋体" w:eastAsia="宋体"/>
                <w:sz w:val="16"/>
              </w:rPr>
              <w:t>偏差原因分析及改进措施</w:t>
            </w:r>
          </w:p>
        </w:tc>
      </w:tr>
      <w:tr w14:paraId="389613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5A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091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F6A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7331">
            <w:pPr>
              <w:jc w:val="center"/>
            </w:pPr>
            <w:r>
              <w:rPr>
                <w:rFonts w:ascii="宋体" w:hAnsi="宋体" w:eastAsia="宋体"/>
                <w:sz w:val="16"/>
              </w:rPr>
              <w:t>技术指导服务人数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702F">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A20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6216">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E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66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F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841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E1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D30AB">
            <w:pPr>
              <w:jc w:val="center"/>
            </w:pPr>
          </w:p>
        </w:tc>
      </w:tr>
      <w:tr w14:paraId="6DDFF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64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15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9D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BB71">
            <w:pPr>
              <w:jc w:val="center"/>
            </w:pPr>
            <w:r>
              <w:rPr>
                <w:rFonts w:ascii="宋体" w:hAnsi="宋体" w:eastAsia="宋体"/>
                <w:sz w:val="16"/>
              </w:rPr>
              <w:t>技术指导服务天数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2FBA">
            <w:pPr>
              <w:jc w:val="center"/>
            </w:pPr>
            <w:r>
              <w:rPr>
                <w:rFonts w:ascii="宋体" w:hAnsi="宋体" w:eastAsia="宋体"/>
                <w:sz w:val="16"/>
              </w:rPr>
              <w:t>&gt;=150天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7B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06D8">
            <w:pPr>
              <w:jc w:val="center"/>
            </w:pPr>
            <w:r>
              <w:rPr>
                <w:rFonts w:ascii="宋体" w:hAnsi="宋体" w:eastAsia="宋体"/>
                <w:sz w:val="16"/>
              </w:rPr>
              <w: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5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6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D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3307">
            <w:pPr>
              <w:jc w:val="center"/>
            </w:pPr>
            <w:r>
              <w:rPr>
                <w:rFonts w:ascii="宋体" w:hAnsi="宋体" w:eastAsia="宋体"/>
                <w:sz w:val="16"/>
              </w:rPr>
              <w: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06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59FA">
            <w:pPr>
              <w:jc w:val="center"/>
            </w:pPr>
          </w:p>
        </w:tc>
      </w:tr>
      <w:tr w14:paraId="05D56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80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47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D2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7704">
            <w:pPr>
              <w:jc w:val="center"/>
            </w:pPr>
            <w:r>
              <w:rPr>
                <w:rFonts w:ascii="宋体" w:hAnsi="宋体" w:eastAsia="宋体"/>
                <w:sz w:val="16"/>
              </w:rPr>
              <w:t>技术指导服务有效率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8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43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E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2E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CF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5D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0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67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F486">
            <w:pPr>
              <w:jc w:val="center"/>
            </w:pPr>
          </w:p>
        </w:tc>
      </w:tr>
      <w:tr w14:paraId="1EDB9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BB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64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011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86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75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6E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5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BC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4E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48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7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B7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0234B">
            <w:pPr>
              <w:jc w:val="center"/>
            </w:pPr>
          </w:p>
        </w:tc>
      </w:tr>
      <w:tr w14:paraId="5D499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A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E89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FC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A85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B68D">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5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C9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0D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A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C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9FC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47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B1727">
            <w:pPr>
              <w:jc w:val="center"/>
            </w:pPr>
          </w:p>
        </w:tc>
      </w:tr>
      <w:tr w14:paraId="24718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84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C2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DC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AEF2">
            <w:pPr>
              <w:jc w:val="center"/>
            </w:pPr>
            <w:r>
              <w:rPr>
                <w:rFonts w:ascii="宋体" w:hAnsi="宋体" w:eastAsia="宋体"/>
                <w:sz w:val="16"/>
              </w:rPr>
              <w:t>技术服务人均成本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A0C4">
            <w:pPr>
              <w:jc w:val="center"/>
            </w:pPr>
            <w:r>
              <w:rPr>
                <w:rFonts w:ascii="宋体" w:hAnsi="宋体" w:eastAsia="宋体"/>
                <w:sz w:val="16"/>
              </w:rPr>
              <w:t>&lt;=100元/人天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16A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05F8">
            <w:pPr>
              <w:jc w:val="center"/>
            </w:pPr>
            <w:r>
              <w:rPr>
                <w:rFonts w:ascii="宋体" w:hAnsi="宋体" w:eastAsia="宋体"/>
                <w:sz w:val="16"/>
              </w:rPr>
              <w:t>100元/人天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73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03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E4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031E">
            <w:pPr>
              <w:jc w:val="center"/>
            </w:pPr>
            <w:r>
              <w:rPr>
                <w:rFonts w:ascii="宋体" w:hAnsi="宋体" w:eastAsia="宋体"/>
                <w:sz w:val="16"/>
              </w:rPr>
              <w:t>100元/人.天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F2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F9026">
            <w:pPr>
              <w:jc w:val="center"/>
            </w:pPr>
          </w:p>
        </w:tc>
      </w:tr>
      <w:tr w14:paraId="57B6B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99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F4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C9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F548">
            <w:pPr>
              <w:jc w:val="center"/>
            </w:pPr>
            <w:r>
              <w:rPr>
                <w:rFonts w:ascii="宋体" w:hAnsi="宋体" w:eastAsia="宋体"/>
                <w:sz w:val="16"/>
              </w:rPr>
              <w:t>瓜果蔬菜产业提质增效持续提高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D4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7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A9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A2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5F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D0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71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13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1037">
            <w:pPr>
              <w:jc w:val="center"/>
            </w:pPr>
          </w:p>
        </w:tc>
      </w:tr>
      <w:tr w14:paraId="2D390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CD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4D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F7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7371">
            <w:pPr>
              <w:jc w:val="center"/>
            </w:pPr>
            <w:r>
              <w:rPr>
                <w:rFonts w:ascii="宋体" w:hAnsi="宋体" w:eastAsia="宋体"/>
                <w:sz w:val="16"/>
              </w:rPr>
              <w:t>技术指导服务群众满意度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F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F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F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A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78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9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B7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5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BA92">
            <w:pPr>
              <w:jc w:val="center"/>
            </w:pPr>
          </w:p>
        </w:tc>
      </w:tr>
      <w:tr w14:paraId="051F16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A71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CC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C63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AB1E2">
            <w:pPr>
              <w:jc w:val="center"/>
            </w:pPr>
            <w:r>
              <w:rPr>
                <w:rFonts w:ascii="宋体" w:hAnsi="宋体" w:eastAsia="宋体"/>
                <w:sz w:val="16"/>
              </w:rPr>
              <w:t>100分</w:t>
            </w:r>
          </w:p>
        </w:tc>
      </w:tr>
    </w:tbl>
    <w:p w14:paraId="6F445E46">
      <w:r>
        <w:br w:type="page"/>
      </w:r>
    </w:p>
    <w:p w14:paraId="05DC72A5">
      <w:pPr>
        <w:spacing w:line="640" w:lineRule="exact"/>
        <w:ind w:firstLine="640"/>
        <w:jc w:val="both"/>
        <w:outlineLvl w:val="2"/>
      </w:pPr>
      <w:r>
        <w:rPr>
          <w:rFonts w:ascii="黑体" w:hAnsi="黑体" w:eastAsia="黑体"/>
          <w:sz w:val="32"/>
        </w:rPr>
        <w:t>十二、其他需说明的事项</w:t>
      </w:r>
    </w:p>
    <w:p w14:paraId="2C29EF0B">
      <w:pPr>
        <w:spacing w:line="580" w:lineRule="exact"/>
        <w:ind w:firstLine="640"/>
        <w:jc w:val="both"/>
      </w:pPr>
      <w:r>
        <w:rPr>
          <w:rFonts w:ascii="仿宋_GB2312" w:hAnsi="仿宋_GB2312" w:eastAsia="仿宋_GB2312"/>
          <w:b w:val="0"/>
          <w:sz w:val="32"/>
        </w:rPr>
        <w:t>本部门无其他需说明的事项。</w:t>
      </w:r>
    </w:p>
    <w:p w14:paraId="38AB55BC">
      <w:r>
        <w:br w:type="page"/>
      </w:r>
    </w:p>
    <w:p w14:paraId="715BD6CC">
      <w:pPr>
        <w:spacing w:line="240" w:lineRule="auto"/>
        <w:jc w:val="center"/>
        <w:outlineLvl w:val="1"/>
      </w:pPr>
      <w:r>
        <w:rPr>
          <w:rFonts w:ascii="黑体" w:hAnsi="黑体" w:eastAsia="黑体"/>
          <w:sz w:val="32"/>
        </w:rPr>
        <w:t>第三部分 专业名词解释</w:t>
      </w:r>
    </w:p>
    <w:p w14:paraId="710C28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DD91C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99C0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C1C4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391B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CEF78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58097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11199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7FF9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2089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08E38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ABF05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A7B6E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D2852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1B415D">
      <w:r>
        <w:br w:type="page"/>
      </w:r>
    </w:p>
    <w:p w14:paraId="18A52826">
      <w:pPr>
        <w:spacing w:line="240" w:lineRule="auto"/>
        <w:jc w:val="center"/>
        <w:outlineLvl w:val="1"/>
      </w:pPr>
      <w:r>
        <w:rPr>
          <w:rFonts w:ascii="黑体" w:hAnsi="黑体" w:eastAsia="黑体"/>
          <w:sz w:val="32"/>
        </w:rPr>
        <w:t>第四部分 部门决算报表（见附表）</w:t>
      </w:r>
    </w:p>
    <w:p w14:paraId="25EA969E">
      <w:pPr>
        <w:spacing w:line="240" w:lineRule="auto"/>
        <w:ind w:firstLine="640"/>
        <w:jc w:val="both"/>
      </w:pPr>
      <w:r>
        <w:rPr>
          <w:rFonts w:ascii="仿宋_GB2312" w:hAnsi="仿宋_GB2312" w:eastAsia="仿宋_GB2312"/>
          <w:b w:val="0"/>
          <w:sz w:val="32"/>
        </w:rPr>
        <w:t>一、《收入支出决算总表》</w:t>
      </w:r>
    </w:p>
    <w:p w14:paraId="1EA5DA4C">
      <w:pPr>
        <w:spacing w:line="240" w:lineRule="auto"/>
        <w:ind w:firstLine="640"/>
        <w:jc w:val="both"/>
      </w:pPr>
      <w:r>
        <w:rPr>
          <w:rFonts w:ascii="仿宋_GB2312" w:hAnsi="仿宋_GB2312" w:eastAsia="仿宋_GB2312"/>
          <w:b w:val="0"/>
          <w:sz w:val="32"/>
        </w:rPr>
        <w:t>二、《收入决算表》</w:t>
      </w:r>
    </w:p>
    <w:p w14:paraId="4A0EDB83">
      <w:pPr>
        <w:spacing w:line="240" w:lineRule="auto"/>
        <w:ind w:firstLine="640"/>
        <w:jc w:val="both"/>
      </w:pPr>
      <w:r>
        <w:rPr>
          <w:rFonts w:ascii="仿宋_GB2312" w:hAnsi="仿宋_GB2312" w:eastAsia="仿宋_GB2312"/>
          <w:b w:val="0"/>
          <w:sz w:val="32"/>
        </w:rPr>
        <w:t>三、《支出决算表》</w:t>
      </w:r>
    </w:p>
    <w:p w14:paraId="6D48F127">
      <w:pPr>
        <w:spacing w:line="240" w:lineRule="auto"/>
        <w:ind w:firstLine="640"/>
        <w:jc w:val="both"/>
      </w:pPr>
      <w:r>
        <w:rPr>
          <w:rFonts w:ascii="仿宋_GB2312" w:hAnsi="仿宋_GB2312" w:eastAsia="仿宋_GB2312"/>
          <w:b w:val="0"/>
          <w:sz w:val="32"/>
        </w:rPr>
        <w:t>四、《财政拨款收入支出决算总表》</w:t>
      </w:r>
    </w:p>
    <w:p w14:paraId="233B8CC8">
      <w:pPr>
        <w:spacing w:line="240" w:lineRule="auto"/>
        <w:ind w:firstLine="640"/>
        <w:jc w:val="both"/>
      </w:pPr>
      <w:r>
        <w:rPr>
          <w:rFonts w:ascii="仿宋_GB2312" w:hAnsi="仿宋_GB2312" w:eastAsia="仿宋_GB2312"/>
          <w:b w:val="0"/>
          <w:sz w:val="32"/>
        </w:rPr>
        <w:t>五、《一般公共预算财政拨款支出决算表》</w:t>
      </w:r>
    </w:p>
    <w:p w14:paraId="7B746287">
      <w:pPr>
        <w:spacing w:line="240" w:lineRule="auto"/>
        <w:ind w:firstLine="640"/>
        <w:jc w:val="both"/>
      </w:pPr>
      <w:r>
        <w:rPr>
          <w:rFonts w:ascii="仿宋_GB2312" w:hAnsi="仿宋_GB2312" w:eastAsia="仿宋_GB2312"/>
          <w:b w:val="0"/>
          <w:sz w:val="32"/>
        </w:rPr>
        <w:t>六、《一般公共预算财政拨款基本支出决算表》</w:t>
      </w:r>
    </w:p>
    <w:p w14:paraId="5282A9BE">
      <w:pPr>
        <w:spacing w:line="240" w:lineRule="auto"/>
        <w:ind w:firstLine="640"/>
        <w:jc w:val="both"/>
      </w:pPr>
      <w:r>
        <w:rPr>
          <w:rFonts w:ascii="仿宋_GB2312" w:hAnsi="仿宋_GB2312" w:eastAsia="仿宋_GB2312"/>
          <w:b w:val="0"/>
          <w:sz w:val="32"/>
        </w:rPr>
        <w:t>七、《政府性基金预算财政拨款收入支出决算表》</w:t>
      </w:r>
    </w:p>
    <w:p w14:paraId="72B1640A">
      <w:pPr>
        <w:spacing w:line="240" w:lineRule="auto"/>
        <w:ind w:firstLine="640"/>
        <w:jc w:val="both"/>
      </w:pPr>
      <w:r>
        <w:rPr>
          <w:rFonts w:ascii="仿宋_GB2312" w:hAnsi="仿宋_GB2312" w:eastAsia="仿宋_GB2312"/>
          <w:b w:val="0"/>
          <w:sz w:val="32"/>
        </w:rPr>
        <w:t>八、《国有资本经营预算财政拨款收入支出决算表》</w:t>
      </w:r>
    </w:p>
    <w:p w14:paraId="52066E8F">
      <w:pPr>
        <w:spacing w:line="240" w:lineRule="auto"/>
        <w:ind w:firstLine="640"/>
        <w:jc w:val="both"/>
      </w:pPr>
      <w:r>
        <w:rPr>
          <w:rFonts w:ascii="仿宋_GB2312" w:hAnsi="仿宋_GB2312" w:eastAsia="仿宋_GB2312"/>
          <w:b w:val="0"/>
          <w:sz w:val="32"/>
        </w:rPr>
        <w:t>九、《财政拨款“三公”经费支出决算表》</w:t>
      </w:r>
    </w:p>
    <w:p w14:paraId="10A34B24">
      <w:pPr>
        <w:spacing w:line="240" w:lineRule="auto"/>
        <w:ind w:firstLine="640"/>
        <w:jc w:val="both"/>
      </w:pPr>
    </w:p>
    <w:p w14:paraId="2ABA1B8F">
      <w:pPr>
        <w:spacing w:line="240" w:lineRule="auto"/>
        <w:ind w:firstLine="640"/>
        <w:jc w:val="both"/>
      </w:pPr>
    </w:p>
    <w:p w14:paraId="092D1429">
      <w:pPr>
        <w:spacing w:line="240" w:lineRule="auto"/>
        <w:ind w:firstLine="640"/>
        <w:jc w:val="both"/>
      </w:pPr>
    </w:p>
    <w:p w14:paraId="2E79433D">
      <w:pPr>
        <w:spacing w:line="240" w:lineRule="auto"/>
        <w:ind w:firstLine="640"/>
        <w:jc w:val="both"/>
      </w:pPr>
    </w:p>
    <w:p w14:paraId="57FEAB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B13EFA-B117-4852-B884-A8BF46F802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66CBF2A-3EDE-4675-BBB3-DA0C148BD8BC}"/>
  </w:font>
  <w:font w:name="仿宋_GB2312">
    <w:altName w:val="仿宋"/>
    <w:panose1 w:val="02010609030101010101"/>
    <w:charset w:val="86"/>
    <w:family w:val="modern"/>
    <w:pitch w:val="default"/>
    <w:sig w:usb0="00000000" w:usb1="00000000" w:usb2="00000000" w:usb3="00000000" w:csb0="00040000" w:csb1="00000000"/>
    <w:embedRegular r:id="rId3" w:fontKey="{9ED8F6A0-487D-4B65-8414-7278A8A9F5E9}"/>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8CA91130-4641-4973-B43C-FB3FE9B3E8DB}"/>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E222B5"/>
    <w:rsid w:val="25275618"/>
    <w:rsid w:val="27CE017C"/>
    <w:rsid w:val="27CF2642"/>
    <w:rsid w:val="282459E2"/>
    <w:rsid w:val="29116777"/>
    <w:rsid w:val="2A053397"/>
    <w:rsid w:val="2A444FB1"/>
    <w:rsid w:val="2A6064E2"/>
    <w:rsid w:val="2C1965E9"/>
    <w:rsid w:val="2D1136DF"/>
    <w:rsid w:val="2DAE0E44"/>
    <w:rsid w:val="2E251120"/>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662D8F"/>
    <w:rsid w:val="4B4C0111"/>
    <w:rsid w:val="4BB23021"/>
    <w:rsid w:val="4F3F074E"/>
    <w:rsid w:val="50DB5F45"/>
    <w:rsid w:val="52407D77"/>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3804</Words>
  <Characters>4427</Characters>
  <Lines>0</Lines>
  <Paragraphs>0</Paragraphs>
  <TotalTime>0</TotalTime>
  <ScaleCrop>false</ScaleCrop>
  <LinksUpToDate>false</LinksUpToDate>
  <CharactersWithSpaces>4435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2025-11-11T07:36:08Z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