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2024年度喀什地区吐曼河等6条中小河流洪水影响区洪水风险图编制项目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新疆维吾尔自治区喀什地区水利局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新疆维吾尔自治区喀什地区水利局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刘成红</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为深入贯彻“两个坚持、三个转变”防灾减灾救灾理念，落实水利部关于完善流域防洪工程体系、加强洪水风险管理的部署要 求， 坚持需求牵引、 应用至上、数字赋能、提升能力，充分利用洪水风险图编制技术新理念、新技术和数字李生水利建设成果，按照分门别类、科学合理动(态)静(态)结合原则，持续开展洪水风险图编制和洪水风险评估区划，逐步实现洪水风险图覆盖范围更广、洪水风险分析能力更快捷、成果应用更广泛目标，进一步夯实洪水风险管理基础，完善自治区水旱灾害防御工作体系推动水利高质量发展。2024年度喀什地区吐曼河等6条中小河流洪水影响区洪水风险图编制项目是2024年新增项目，由自治区财政厅《关于下达2024年中央水利发展资金预算的通知》（新财农〔2024〕24号）、自治区水利厅《关于开展2024年度自治区重点地区洪水风险图编制工作的通知》等文件为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洪水风险图编制技术要求》等相关技术文件，在现状基础资料收集整理和评估基础上，构建洪水风险分析模型(当洪水影响区内分布有人口较为密集的城区或城镇群时，模型应满足实时演进分析要求)，根据洪水来源及组合、洪水量级、溃口等情况设定计算方案，开展有堤段堤防溃决、漫溢及无堤段河道典型重现期的洪水分析、洪水影响分析与损失评估、避洪转移分析和结果合理性分析，提取洪水风险要素、避洪转移信息以及其他相关制图要素，绘制洪水淹没范围、淹没水深、淹没历时、洪水前锋到达时间等基本洪水风险图和避洪转移图等专题洪水风险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地喀什地区水利局编制人数74个，其中：行政编制15个、参公编制26个、事业编制33个。实有在职人数55人，其中：行政编制14个、参公编制20个、事业编制21个。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喀地财农[2024] 3号共安排下达资金180万元，为财政资金，最终确定项目资金总数为180万元。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截至2024年12月31日，实际支出179万元，预算执行率99.4%。</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为深入贯彻“两个坚持、三个转变”防灾减灾救灾理念，落实水利部关于完善流域防洪工程体系、加强洪水风险管理的部署要求， 坚持需求牵引、 应用至上、数字赋能、提升能力，充分利用洪水风险图编制技术新理念、新技术和数字李生水利建设成果，按照分门别类、科学合理动(态)静(态)结合原则，本年完成洪水风险图编制河流数量6个，规划编制平均成本30万元/个。持续开展洪水风险图编制和洪水风险评估区划，逐步实现洪水风险图覆盖范围更广、洪水风险分析能力更快捷、成果应用更广泛目标，规划编制达标率达到100%，进一步夯实洪水风险管理基础，完善自治区水旱灾害防御工作体系推动水利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（一）主要江河防洪保护区（逐个保护区撰写）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1.编制区域自然与历史洪水概况。包括：自然地理概况，地理坐标范围，所属行政区域（到县级），社会经济概况，洪水灾害特征及历史洪灾等（1000字以内）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基础资料情况。已有基础底图（1:10000）的数量、时效性、比例尺、投影与坐标系、高程基准等（如有缺失，需提出补充或补测图件的范围、方式）。现有编制单元涉及洪水过程、历史洪水情况的有关工程设计或技术咨询报告等。并提出基础底图及相关报告资料检查评估的内容、要求及整编处理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拟采取的洪水分析方法。依据《洪水风险图编制技术要求》等技术文件，针对河道洪水，设定每一处防洪保护区的洪水分析方案（模拟方案），说明洪水来源、计算分区、河道洪水(暴雨)量级、洪水组合方式、溃口(漫溢)设置等主要内容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设计洪水分析方案。根据编制单元的特点，结合专家经验综合确定防洪保护区洪水风险图编制的洪水量级。选取原则如下：宜选取防洪保护区现状、规划防洪标准和超规划防洪标准所对应的洪水量级，若超规划防洪标准所对应的洪水量级小于100年一遇，应逐次选取更高量级的洪水直至100年一遇洪水。除上述规定的洪水量级外，还宜选取超现状河道堤顶高程（或海堤顶高程）的洪水量级开展堤防漫溢洪水方案计算，堤顶高程分别按现状堤顶高程和不计堤防超高两种情况考虑；必要时，可选取历史典型洪水作为洪水量级之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2024年度喀什地区吐曼河等6条中小河流洪水影响区洪水风险图编制项目实施符合习近平总书记关于防汛抢险救灾工作重要指示批示精神，落实“两个坚持、三个转变”防灾减灾救灾理念，严格落实“四预”措施，加强“四情”管控是防灾减灾救灾工作重要举措，实施本项目效益明显，切实可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验收阶段的具体工作：2024年度喀什地区吐曼河等6条中小河流洪水影响区洪水风险图编制项目成果报自治区通过审核汇总。</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度喀什地区吐曼河等6条中小河流洪水影响区洪水风险图编制项目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2024年度喀什地区吐曼河等6条中小河流洪水影响区洪水风险图编制项目综合评分表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14.7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99.6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王意军任评价组组长，绩效评价工作职责为负责全盘工作，，确保项目顺利组织实施。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刘成红任评价组副组长，绩效评价工作职责为为对项目实施情况进行实地调查。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吾提库尔任评价组成员，绩效评价工作职责为负责资料审核等工作。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度喀什地区吐曼河等6条中小河流洪水影响区洪水风险图编制项目项目产生为深入贯彻“两个坚持、三个转变”防灾减灾救灾理念，落实水利部关于完善流域防洪工程体系、加强洪水风险管理的部署要求， 坚持需求牵引、 应用至上、数字赋能、提升能力，充分利用洪水风险图编制技术新理念、新技术和数字李生水利建设成果，按照分门别类、科学合理动(态)静(态)结合原则，本年完成洪水风险图编制河流数量6个，规划编制平均成本30万元/个。持续开展洪水风险图编制和洪水风险评估区划，逐步实现洪水风险图覆盖范围更广、洪水风险分析能力更快捷、成果应用更广泛目标，规划编制达标率达到100%，进一步夯实洪水风险管理基础，完善自治区水旱灾害防御工作体系推动水利高质量发展。。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文件立项，项目实施符合上级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项目过程：2024年度喀什地区吐曼河等6条中小河流洪水影响区洪水风险图编制项目项目预算安排 180万元，实际支出179万元，预算执行率99.4%。项目资金使用合规，项目财务管理制度健全，财务监控到位，所有资金支付均按照国库集中支付制度严格执行，现有项目管理制度执行情况良好。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此喀什地区开展叶城县柯克亚河、阿克其河、英吉沙县依格孜亚河、喀什市吐曼河、疏附县且木干河、塔什库尔干县辛滚沟等5县市6条中小河流的洪水风险图编制任务，国家补助资金180万元。2024年7月底前，完成中小河流洪水风险图编制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开展有堤段堤防溃决、漫溢及无堤段河道典型重现期的洪水分析、洪水影响分析与损失评估、避洪转移分析和结果合理性分析，提取洪水风险要素、避洪转移信息以及其他相关制图要素，绘制洪水淹没范围、淹没水深、淹没历时、洪水前锋到达时间等基本洪水风险图和避洪转移图等专题洪水风险图，完善自治区水旱灾害防御工作体系推动水利高质量发展。（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度喀什地区吐曼河等6条中小河流洪水影响区洪水风险图编制项目项目进行客观评价，最终评分结果：评价总分99.6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2024年中央农业防灾减灾和水利救灾资金（动物防疫补项目绩效评价评分汇总表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44.6 99.11%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99.6 99.6%</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什单位配置内设机构和人员编制规定》中职责范围中的“负责落实综合防灾减灾规划相关要求，属于我单位履职所需；根据《财政资金直接支付申请书》，本项目资金性质为“公共财政预算”功能分类为“[2130314]防汛”经济分类为“委托业务费”属于公共财政支持范围，符合中央、地方事权支出责任划分原则；经检查我单位财政管理一体化信息系统，本项目不存在重复结合负责落实综合防灾减灾规划相关要求，组织编制洪水干旱灾害防治规划和防护标准并指导实施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（2）立项程序规范性：根据决策依据编制工作计划和项目预算，经过与局分管领导进行沟通、筛选确定经费预算计划，上党委会研究确定最终预算方案，根据评分标准，该指标不扣分，得2分。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①该项目已设置年度绩效目标，具体内容为“深入贯彻“两个坚持、三个转变”防灾减灾救灾理念，落实水利部关于完善流域防洪工程体系、加强洪水风险管理的部署要求， 坚持需求牵引、 应用至上、数字赋能、提升能力，充分利用洪水风险图编制技术新理念、新技术和数字李生水利建设成果，按照分门别类、科学合理动(态)静(态)结合原则，本年完成洪水风险图编制河流数量6个，规划编制平均成本30万元/个。持续开展洪水风险图编制和洪水风险评估区划，逐步实现洪水风险图覆盖范围更广、洪水风险分析能力更快捷、成果应用更广泛目标，规划编制达标率达到100%，进一步夯实洪水风险管理基础，完善自治区水旱灾害防御工作体系推动水利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该项目确定新疆疆南水利勘测设计研究院有限责任公司为成交单位，成交价179万元，截至2024年12月25日前，项目已完成。设计单位已完成基础资料收集整理及技术大纲编制审查工作，开展完6条河流洪水风险图绘制和成果报告编制工作，有效完善自治区水旱灾害防御工作体系，持续推动水利高质量发展。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基础资料收集整理及技术大纲编制审查工作，开展完6条河流洪水风险图绘制和成果报告编制工作，有效完善自治区水旱灾害防御工作体系，持续推动水利高质量发展。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④该项目批复的预算金额为180万元，《项目支出绩效目标表》中预算金额为180万元，预算确定的项目资金与预算确定的项目投资额相匹配。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7个，定量指标5个，定性指标2个，指标量化率为90%，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洪水风险图编制河流数量（个），三级指标的年度指标值与年度绩效目标中任务数一致，已设置时效指标“项目完成时间”、资金支付及时率。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（5）预算编制科学性：本项目实施方案，即预算编制较科学且经过论证；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预算申请内容为深入贯彻“两个坚持、三个转变”防灾减灾救灾理念，落实水利部关于完善流域防洪工程体系、加强洪水风险管理的部署要求， 坚持需求牵引、 应用至上、数字赋能、提升能力，充分利用洪水风险图编制技术新理念、新技术和数字李生水利建设成果，按照分门别类、科学合理动(态)静(态)结合原则，本年完成洪水风险图编制河流数量6个，规划编制平均成本30万元/个。持续开展洪水风险图编制和洪水风险评估区划，逐步实现洪水风险图覆盖范围更广、洪水风险分析能力更快捷、成果应用更广泛目标，规划编制达标率达到100%，进一步夯实洪水风险管理基础，完善自治区水旱灾害防御工作体系推动水利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际内容为该项目确定新疆疆南水利勘测设计研究院有限责任公司为成交单位，成交价179万元，截至2024年12月25日前，项目已完成。设计单位已完成基础资料收集整理及技术大纲编制审查工作，开展完6条河流洪水风险图绘制和成果报告编制工作，有效完善自治区水旱灾害防御工作体系，持续推动水利高质量发展。，预算申请与《2024年度喀什地区吐曼河等6条中小河流洪水影响区洪水风险图编制项目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180万元，我单位在预算申请中严格按照项目实施内容及测算标准进行核算，其中：委托业务费180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度喀什地区吐曼河等6条中小河流洪水影响区洪水风险图编制项目资金的请示》和《2024年度喀什地区吐曼河等6条中小河流洪水影响区洪水风险图编制项目实施方案》为依据进行资金分配，预算资金分配依据充分。根据喀地财农[2024]3号，本项目实际到位资金180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7个三级指标构成，权重分为20分，实际得分20分，得分率为100%。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180万元，其中：财政安排资金180万元，其他资0万元，实际到位资金180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（2）预算执行率：本项目实际支出资金180万元，预算执行率=（实际支出资金/实际到位资金）×100.0%=99.4%；    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地区水利局单位资金管理办法》《地区水利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地区水利局资金管理办法》《地区水利局收支业务管理制度》《地区水利局政府采购业务管理制度》《地区水利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地区水利局财务管理办法》《地区水利局管理制度》《地区水利局采购业务管理制度》《地区水利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喀什一市两县克孜河生态廊道综合治理项目建议书编制项目由王意军作为项目负责人，负责项目的实施工作；组员包括：刘成红和关明，主要负责项目监督管理、验收以及资金核拨等工作。过业务与财务工作共同配合衔接，形成了明确责任分工的项目管理制度，并按照项目管理规定、监督检查制度、预算绩效管理办法等相关制度办法严格落实各环节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工作领导小组，由王意军任组长，负责项目的组织工作；刘成红任副组长出成本四方面的内容，由4个三级指标构成，权重分为45分，实际得分44.6分，得分率为99.11%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洪水风险图编制河流数量（个）指标，预期指标值为6个，实际完成值为6个，指标完成率为100%，与预期目标一致，根据评分标准，该指标不扣分，得10分。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规划编制达标率（%）指标，预期指标值为100%，实际完成值为100%，指标完成率为100%，与预期目标一致，根据评分标准，该指标不扣分，得10分。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项目完成时间指标，预期指标值为2024年12月25日前，实际完成值为2024年12月17日，指标完成率为100%，与预期目标一致，根据评分标准，该指标不扣分，得5分。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指标，预期指标值为100%，实际完成值为99.4%，指标完成率为99.4%，与预期目标不一致，偏差原因：在资金分配支付方面不均衡，影响支付进度，并存在结余。改进措施：合理安排资金支出，尽可能保持支出进度，以便顺利实施项目资金支付及时率；根据评分标准，该指标扣0.1分，得9.9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规划编制平均成本指标，预期指标值为&lt;=30万元/个，实际完成值为29.8万元，指标完成率为99.4%， 偏差原因：节约成本，合同的签订是按照全年计划一次性签订，改进措施：精准编制指标，严格按照预算编制执行。本年支付吐曼河等6条中小河流洪水影响区洪水风险图编制款金额179万元，项目经费都能控制绩效目标范围内，根据评分标准，该指标扣0.3分，得14.7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效益类完善自治区水旱灾害防御工作体系推动水利高质量发展指标，该指标预期指标值为完善，实际完成值为完善，指标完成率为100%，与预期指标一致，根据评分标准，该指标不扣分，得10分。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规划使用人员满意度100%，该指标预期指标值为95%，实际完成值为100%，指标完成率为105%，与预期目标不一致，偏差原因：节约成本，合同的签订是按照全年计划一次性签订，改进措施：精准编制指标，严格按照预算编制执行。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喀什地区吐曼河等6条中小河流洪水影响区洪水风险图编制项目项目预算180万元，到位180万元，实际支出179万元，预算执行率为99.4%，项目绩效指标总体完成率为100.5%，偏差率为10%,偏出去原因偏差原因：指标设置不精准，采取的措施：提高指标值设置水平，合理地、精准地、科学地设置目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加强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3.严格项目资金支出。严格按照单位财务资金收支管理办法执行项目支出，按照项目实施进度及合同约定及时拨付资金，充分发挥项目效益。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4.在项目管理中合理安排人力物力资源，利用好水利局现有资源以及现有干部职工，充分发挥单位职能及作用。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5.指标值设置水平，合理地、精准地、科学地设置目标；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6.加强预算执行管理和绩效理念，提高预算编制水平；</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无</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