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方正小标宋简体" w:eastAsia="方正小标宋简体"/>
          <w:sz w:val="44"/>
          <w:szCs w:val="44"/>
        </w:rPr>
      </w:pPr>
      <w:bookmarkStart w:id="8" w:name="_GoBack"/>
      <w:bookmarkEnd w:id="8"/>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p>
    <w:p>
      <w:pPr>
        <w:spacing w:beforeLines="50"/>
        <w:jc w:val="center"/>
        <w:rPr>
          <w:rFonts w:ascii="方正小标宋简体" w:eastAsia="方正小标宋简体"/>
          <w:sz w:val="44"/>
          <w:szCs w:val="44"/>
        </w:rPr>
      </w:pPr>
      <w:r>
        <w:rPr>
          <w:rFonts w:hint="eastAsia" w:ascii="方正小标宋简体" w:eastAsia="方正小标宋简体"/>
          <w:sz w:val="44"/>
          <w:szCs w:val="44"/>
        </w:rPr>
        <w:t>喀什地区应急管理局安全奖励金项目支出绩效评价报告</w:t>
      </w: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spacing w:beforeLines="50"/>
        <w:jc w:val="center"/>
        <w:rPr>
          <w:rFonts w:ascii="方正小标宋简体" w:eastAsia="方正小标宋简体"/>
          <w:sz w:val="52"/>
          <w:szCs w:val="52"/>
        </w:rPr>
      </w:pP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项目名称：</w:t>
      </w:r>
      <w:r>
        <w:rPr>
          <w:rFonts w:hint="eastAsia" w:hAnsi="宋体" w:eastAsia="仿宋_GB2312" w:cs="宋体"/>
          <w:color w:val="000000" w:themeColor="text1"/>
          <w:kern w:val="0"/>
          <w:sz w:val="36"/>
          <w:szCs w:val="36"/>
        </w:rPr>
        <w:t>安全奖励金项目</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实施单位：</w:t>
      </w:r>
      <w:r>
        <w:rPr>
          <w:rFonts w:hint="eastAsia" w:hAnsi="宋体" w:eastAsia="仿宋_GB2312" w:cs="宋体"/>
          <w:color w:val="000000" w:themeColor="text1"/>
          <w:kern w:val="0"/>
          <w:sz w:val="36"/>
          <w:szCs w:val="36"/>
        </w:rPr>
        <w:t>喀什地区应急管理局</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w:t>
      </w:r>
      <w:r>
        <w:rPr>
          <w:rFonts w:hint="eastAsia" w:hAnsi="宋体" w:eastAsia="仿宋_GB2312" w:cs="宋体"/>
          <w:color w:val="000000" w:themeColor="text1"/>
          <w:kern w:val="0"/>
          <w:sz w:val="36"/>
          <w:szCs w:val="36"/>
        </w:rPr>
        <w:t>喀什地区应急管理局</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pStyle w:val="21"/>
        <w:numPr>
          <w:ilvl w:val="0"/>
          <w:numId w:val="2"/>
        </w:numPr>
        <w:ind w:firstLineChars="0"/>
      </w:pPr>
      <w:r>
        <w:rPr>
          <w:rFonts w:hint="eastAsia"/>
        </w:rPr>
        <w:t>基本情况</w:t>
      </w:r>
    </w:p>
    <w:p>
      <w:pPr>
        <w:pStyle w:val="23"/>
        <w:ind w:left="0" w:firstLine="643" w:firstLineChars="200"/>
      </w:pPr>
      <w:bookmarkStart w:id="0" w:name="_Toc26401549"/>
      <w:r>
        <w:rPr>
          <w:rFonts w:hint="eastAsia"/>
        </w:rPr>
        <w:t>项目概况</w:t>
      </w:r>
      <w:bookmarkEnd w:id="0"/>
    </w:p>
    <w:p>
      <w:pPr>
        <w:pStyle w:val="17"/>
        <w:numPr>
          <w:ilvl w:val="0"/>
          <w:numId w:val="3"/>
        </w:numPr>
        <w:spacing w:beforeLines="50" w:line="600" w:lineRule="exact"/>
        <w:ind w:firstLineChars="0"/>
        <w:rPr>
          <w:rFonts w:ascii="仿宋_GB2312" w:hAnsi="仿宋" w:eastAsia="仿宋_GB2312" w:cs="宋体"/>
          <w:sz w:val="32"/>
          <w:szCs w:val="32"/>
        </w:rPr>
      </w:pPr>
      <w:r>
        <w:rPr>
          <w:rFonts w:hint="eastAsia" w:ascii="仿宋_GB2312" w:hAnsi="仿宋" w:eastAsia="仿宋_GB2312" w:cs="宋体"/>
          <w:sz w:val="32"/>
          <w:szCs w:val="32"/>
        </w:rPr>
        <w:t>项目背景及立项依据</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本项目根据</w:t>
      </w:r>
      <w:r>
        <w:rPr>
          <w:rFonts w:hint="eastAsia" w:ascii="仿宋_GB2312" w:eastAsia="仿宋_GB2312"/>
          <w:spacing w:val="11"/>
          <w:sz w:val="30"/>
          <w:szCs w:val="30"/>
        </w:rPr>
        <w:t>2019年计划参照《关于2015年度地区安全目标管理考核情况的通报》（喀署发〔2015〕12号）对安全目标管理12个县市和10个地直单位进行考核</w:t>
      </w:r>
      <w:r>
        <w:rPr>
          <w:rFonts w:hint="eastAsia" w:ascii="仿宋_GB2312" w:hAnsi="仿宋" w:eastAsia="仿宋_GB2312" w:cs="宋体"/>
          <w:sz w:val="32"/>
          <w:szCs w:val="32"/>
        </w:rPr>
        <w:t>，旨在</w:t>
      </w:r>
      <w:r>
        <w:rPr>
          <w:rFonts w:hint="eastAsia" w:ascii="仿宋_GB2312" w:eastAsia="仿宋_GB2312"/>
          <w:spacing w:val="11"/>
          <w:sz w:val="30"/>
          <w:szCs w:val="30"/>
        </w:rPr>
        <w:t>为了奖励安全先进单位</w:t>
      </w:r>
      <w:r>
        <w:rPr>
          <w:rFonts w:hint="eastAsia" w:ascii="仿宋_GB2312" w:hAnsi="仿宋" w:eastAsia="仿宋_GB2312" w:cs="宋体"/>
          <w:sz w:val="32"/>
          <w:szCs w:val="32"/>
        </w:rPr>
        <w:t>。</w:t>
      </w:r>
    </w:p>
    <w:p>
      <w:pPr>
        <w:pStyle w:val="17"/>
        <w:numPr>
          <w:ilvl w:val="0"/>
          <w:numId w:val="3"/>
        </w:numPr>
        <w:spacing w:beforeLines="50" w:line="600" w:lineRule="exact"/>
        <w:ind w:firstLineChars="0"/>
        <w:rPr>
          <w:rFonts w:ascii="仿宋_GB2312" w:hAnsi="仿宋" w:eastAsia="仿宋_GB2312" w:cs="宋体"/>
          <w:sz w:val="32"/>
          <w:szCs w:val="32"/>
        </w:rPr>
      </w:pPr>
      <w:r>
        <w:rPr>
          <w:rFonts w:hint="eastAsia" w:ascii="仿宋_GB2312" w:hAnsi="仿宋" w:eastAsia="仿宋_GB2312" w:cs="宋体"/>
          <w:sz w:val="32"/>
          <w:szCs w:val="32"/>
        </w:rPr>
        <w:t>项目主要内容及实施情况</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非建设类项目：</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项目实施前通过对地直单位及十二个县市的安全工作进行综合考核及充分调研，制定了相关实施方案，项目实施过程中严格按照实施方案进行实施并及时进行监督管理，项目实施后进行及时验收及后期维护。</w:t>
      </w:r>
    </w:p>
    <w:p>
      <w:pPr>
        <w:tabs>
          <w:tab w:val="left" w:pos="7770"/>
        </w:tabs>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3.项目负责人为李龙布，主要职责为监督项目保质保量按时完成。</w:t>
      </w:r>
    </w:p>
    <w:p>
      <w:pPr>
        <w:pStyle w:val="23"/>
        <w:numPr>
          <w:ilvl w:val="0"/>
          <w:numId w:val="0"/>
        </w:numPr>
        <w:ind w:firstLine="643" w:firstLineChars="200"/>
        <w:rPr>
          <w:rFonts w:hAnsi="仿宋" w:cs="宋体"/>
          <w:color w:val="FF0000"/>
        </w:rPr>
      </w:pPr>
      <w:bookmarkStart w:id="1" w:name="_Toc26401550"/>
      <w:r>
        <w:rPr>
          <w:rFonts w:hint="eastAsia"/>
        </w:rPr>
        <w:t>（二）资金</w:t>
      </w:r>
      <w:bookmarkEnd w:id="1"/>
      <w:r>
        <w:rPr>
          <w:rFonts w:hint="eastAsia"/>
        </w:rPr>
        <w:t>投入和使用情况</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本项目总投资55万元，资金来源为本级部门预算。</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安全奖励金项目资金的使用范围：</w:t>
      </w:r>
      <w:r>
        <w:rPr>
          <w:rFonts w:hint="eastAsia" w:ascii="仿宋" w:hAnsi="仿宋" w:eastAsia="仿宋"/>
          <w:bCs/>
          <w:color w:val="000000" w:themeColor="text1"/>
          <w:spacing w:val="-4"/>
          <w:sz w:val="30"/>
          <w:szCs w:val="30"/>
        </w:rPr>
        <w:t>2019年7月按照《关于2018年度地区生产目标管理考核情况的通报》（喀署发〔2019〕18号），支付喀什市、疏附县、叶城县、巴楚县、岳普湖县人民政府奖励金25万元；支付地区公安局交警支队、地区应急管理局（原安全监督管理局）、地区市场监管局（原质量技术监督局）、地区交通运输局、地区住房和城乡建设局、地区商务局、地区农业机械管理局、地区消防救援支队、</w:t>
      </w:r>
      <w:r>
        <w:rPr>
          <w:rFonts w:hint="eastAsia" w:ascii="仿宋" w:hAnsi="仿宋" w:eastAsia="仿宋"/>
          <w:bCs/>
          <w:color w:val="000000" w:themeColor="text1"/>
          <w:spacing w:val="-4"/>
          <w:sz w:val="30"/>
          <w:szCs w:val="30"/>
          <w:lang w:eastAsia="zh-CN"/>
        </w:rPr>
        <w:t>地区文化广播电视和旅游局</w:t>
      </w:r>
      <w:r>
        <w:rPr>
          <w:rFonts w:hint="eastAsia" w:ascii="仿宋" w:hAnsi="仿宋" w:eastAsia="仿宋"/>
          <w:bCs/>
          <w:color w:val="000000" w:themeColor="text1"/>
          <w:spacing w:val="-4"/>
          <w:sz w:val="30"/>
          <w:szCs w:val="30"/>
        </w:rPr>
        <w:t>（原地区旅游局和原地区广播电影电视局）奖励金30万元。</w:t>
      </w:r>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地区应急管理局制定了安全奖励金资金管理办法，按照</w:t>
      </w:r>
      <w:r>
        <w:rPr>
          <w:rFonts w:hint="eastAsia" w:ascii="仿宋" w:hAnsi="仿宋" w:eastAsia="仿宋"/>
          <w:bCs/>
          <w:color w:val="000000" w:themeColor="text1"/>
          <w:spacing w:val="-4"/>
          <w:sz w:val="30"/>
          <w:szCs w:val="30"/>
        </w:rPr>
        <w:t>喀安监党字[2014]23号资金管理办法和地区财政资金管理制度</w:t>
      </w:r>
      <w:r>
        <w:rPr>
          <w:rFonts w:hint="eastAsia" w:ascii="仿宋_GB2312" w:hAnsi="仿宋" w:eastAsia="仿宋_GB2312" w:cs="宋体"/>
          <w:sz w:val="32"/>
          <w:szCs w:val="32"/>
        </w:rPr>
        <w:t>文件进行使用。</w:t>
      </w:r>
    </w:p>
    <w:p>
      <w:pPr>
        <w:pStyle w:val="23"/>
        <w:ind w:left="0" w:firstLine="643" w:firstLineChars="200"/>
      </w:pPr>
      <w:bookmarkStart w:id="2" w:name="_Toc26401551"/>
      <w:r>
        <w:rPr>
          <w:rFonts w:hint="eastAsia"/>
        </w:rPr>
        <w:t>绩效目标</w:t>
      </w:r>
      <w:bookmarkEnd w:id="2"/>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总体目标为：为了奖励安全先进单位，2019年计划参照《关于2015年度地区安全目标管理考核情况的通报》（喀署发〔2015〕12号）对生产目标管理12个县市和10个地直单位进行考核，根据考核结果，先进县市奖励5万元、先进地直单位奖励3万元。</w:t>
      </w:r>
    </w:p>
    <w:p>
      <w:pPr>
        <w:spacing w:beforeLines="50" w:line="600" w:lineRule="exact"/>
        <w:rPr>
          <w:rFonts w:ascii="仿宋_GB2312" w:hAnsi="仿宋" w:eastAsia="仿宋_GB2312" w:cs="宋体"/>
          <w:color w:val="FF0000"/>
          <w:sz w:val="32"/>
          <w:szCs w:val="32"/>
        </w:rPr>
      </w:pPr>
      <w:r>
        <w:rPr>
          <w:rFonts w:hint="eastAsia" w:ascii="仿宋_GB2312" w:hAnsi="仿宋" w:eastAsia="仿宋_GB2312" w:cs="宋体"/>
          <w:sz w:val="32"/>
          <w:szCs w:val="32"/>
        </w:rPr>
        <w:t>项目共设置</w:t>
      </w:r>
      <w:r>
        <w:rPr>
          <w:rFonts w:ascii="仿宋_GB2312" w:hAnsi="仿宋" w:eastAsia="仿宋_GB2312" w:cs="宋体"/>
          <w:sz w:val="32"/>
          <w:szCs w:val="32"/>
        </w:rPr>
        <w:t>1</w:t>
      </w:r>
      <w:r>
        <w:rPr>
          <w:rFonts w:hint="eastAsia" w:ascii="仿宋_GB2312" w:hAnsi="仿宋" w:eastAsia="仿宋_GB2312" w:cs="宋体"/>
          <w:sz w:val="32"/>
          <w:szCs w:val="32"/>
        </w:rPr>
        <w:t>级指标3个，二级指标7个，三级指标11个，绩效目标申报表详见附件1。</w:t>
      </w:r>
    </w:p>
    <w:p>
      <w:pPr>
        <w:pStyle w:val="21"/>
        <w:numPr>
          <w:ilvl w:val="0"/>
          <w:numId w:val="2"/>
        </w:numPr>
        <w:ind w:firstLineChars="0"/>
      </w:pPr>
      <w:bookmarkStart w:id="3" w:name="_Toc26401552"/>
      <w:r>
        <w:rPr>
          <w:rFonts w:hint="eastAsia"/>
        </w:rPr>
        <w:t>评价工作简述</w:t>
      </w:r>
      <w:bookmarkEnd w:id="3"/>
    </w:p>
    <w:p>
      <w:pPr>
        <w:pStyle w:val="23"/>
        <w:numPr>
          <w:ilvl w:val="0"/>
          <w:numId w:val="4"/>
        </w:numPr>
        <w:ind w:left="0" w:firstLine="643" w:firstLineChars="200"/>
      </w:pPr>
      <w:bookmarkStart w:id="4" w:name="_Toc26401553"/>
      <w:r>
        <w:rPr>
          <w:rFonts w:hint="eastAsia"/>
        </w:rPr>
        <w:t>评价目的</w:t>
      </w:r>
      <w:bookmarkEnd w:id="4"/>
    </w:p>
    <w:p>
      <w:pPr>
        <w:spacing w:beforeLines="50" w:line="600" w:lineRule="exact"/>
        <w:ind w:firstLine="640" w:firstLineChars="200"/>
        <w:rPr>
          <w:rFonts w:ascii="仿宋_GB2312" w:hAnsi="仿宋" w:eastAsia="仿宋_GB2312" w:cs="宋体"/>
          <w:color w:val="FF0000"/>
          <w:sz w:val="32"/>
          <w:szCs w:val="32"/>
        </w:rPr>
      </w:pPr>
      <w:r>
        <w:rPr>
          <w:rFonts w:hint="eastAsia" w:ascii="仿宋_GB2312" w:hAnsi="仿宋" w:eastAsia="仿宋_GB2312" w:cs="宋体"/>
          <w:sz w:val="32"/>
          <w:szCs w:val="32"/>
        </w:rPr>
        <w:t>本次绩效评价遵循财政部《项目</w:t>
      </w:r>
      <w:r>
        <w:rPr>
          <w:rFonts w:ascii="仿宋_GB2312" w:hAnsi="仿宋" w:eastAsia="仿宋_GB2312" w:cs="宋体"/>
          <w:sz w:val="32"/>
          <w:szCs w:val="32"/>
        </w:rPr>
        <w:t>支出绩效评价管理办法》（财预〔2020〕10号）和自治区财政厅</w:t>
      </w:r>
      <w:r>
        <w:rPr>
          <w:rFonts w:hint="eastAsia" w:ascii="仿宋_GB2312" w:hAnsi="仿宋_GB2312" w:eastAsia="仿宋_GB2312" w:cs="仿宋_GB2312"/>
          <w:kern w:val="0"/>
          <w:sz w:val="32"/>
          <w:szCs w:val="32"/>
          <w:shd w:val="clear" w:color="auto" w:fill="FFFFFF"/>
        </w:rPr>
        <w:t>《自治区财政支出绩效评价管理暂行办法》（新财预〔</w:t>
      </w:r>
      <w:r>
        <w:rPr>
          <w:rFonts w:ascii="仿宋_GB2312" w:hAnsi="仿宋_GB2312" w:eastAsia="仿宋_GB2312" w:cs="仿宋_GB2312"/>
          <w:kern w:val="0"/>
          <w:sz w:val="32"/>
          <w:szCs w:val="32"/>
          <w:shd w:val="clear" w:color="auto" w:fill="FFFFFF"/>
        </w:rPr>
        <w:t>2018〕189号</w:t>
      </w:r>
      <w:r>
        <w:rPr>
          <w:rFonts w:hint="eastAsia" w:ascii="仿宋_GB2312" w:hAnsi="仿宋_GB2312" w:eastAsia="仿宋_GB2312" w:cs="仿宋_GB2312"/>
          <w:kern w:val="0"/>
          <w:sz w:val="32"/>
          <w:szCs w:val="32"/>
          <w:shd w:val="clear" w:color="auto" w:fill="FFFFFF"/>
        </w:rPr>
        <w:t>）</w:t>
      </w:r>
      <w:r>
        <w:rPr>
          <w:rFonts w:ascii="仿宋_GB2312" w:hAnsi="仿宋" w:eastAsia="仿宋_GB2312" w:cs="宋体"/>
          <w:sz w:val="32"/>
          <w:szCs w:val="32"/>
        </w:rPr>
        <w:t>等相关政策文件与规定，</w:t>
      </w:r>
      <w:r>
        <w:rPr>
          <w:rFonts w:hint="eastAsia" w:ascii="仿宋_GB2312" w:hAnsi="仿宋" w:eastAsia="仿宋_GB2312" w:cs="宋体"/>
          <w:sz w:val="32"/>
          <w:szCs w:val="32"/>
        </w:rPr>
        <w:t>旨在评价安全奖励金项目实施前期、过程及效果，评价财政预算资金使用的效率及效益。</w:t>
      </w:r>
    </w:p>
    <w:p>
      <w:pPr>
        <w:pStyle w:val="23"/>
        <w:numPr>
          <w:ilvl w:val="0"/>
          <w:numId w:val="4"/>
        </w:numPr>
        <w:ind w:left="0" w:firstLine="643" w:firstLineChars="200"/>
      </w:pPr>
      <w:r>
        <w:rPr>
          <w:rFonts w:hint="eastAsia"/>
        </w:rPr>
        <w:t>本次绩效评价的对象及范围</w:t>
      </w:r>
      <w:bookmarkStart w:id="5" w:name="_Toc26401554"/>
    </w:p>
    <w:p>
      <w:pPr>
        <w:spacing w:beforeLines="50" w:line="600" w:lineRule="exact"/>
        <w:ind w:firstLine="640" w:firstLineChars="200"/>
        <w:rPr>
          <w:rFonts w:ascii="仿宋_GB2312" w:hAnsi="仿宋" w:eastAsia="仿宋_GB2312" w:cs="宋体"/>
          <w:sz w:val="32"/>
          <w:szCs w:val="32"/>
        </w:rPr>
      </w:pPr>
      <w:r>
        <w:rPr>
          <w:rFonts w:ascii="仿宋_GB2312" w:hAnsi="仿宋" w:eastAsia="仿宋_GB2312" w:cs="宋体"/>
          <w:sz w:val="32"/>
          <w:szCs w:val="32"/>
        </w:rPr>
        <w:t>本次评价对象为</w:t>
      </w:r>
      <w:r>
        <w:rPr>
          <w:rFonts w:hint="eastAsia" w:ascii="仿宋_GB2312" w:hAnsi="仿宋" w:eastAsia="仿宋_GB2312" w:cs="宋体"/>
          <w:sz w:val="32"/>
          <w:szCs w:val="32"/>
        </w:rPr>
        <w:t>安全奖励金</w:t>
      </w:r>
      <w:r>
        <w:rPr>
          <w:rFonts w:ascii="仿宋_GB2312" w:hAnsi="仿宋" w:eastAsia="仿宋_GB2312" w:cs="宋体"/>
          <w:sz w:val="32"/>
          <w:szCs w:val="32"/>
        </w:rPr>
        <w:t>项目资金，评价范围包括专项资</w:t>
      </w:r>
      <w:r>
        <w:rPr>
          <w:rFonts w:hint="eastAsia" w:ascii="仿宋_GB2312" w:hAnsi="仿宋" w:eastAsia="仿宋_GB2312" w:cs="宋体"/>
          <w:sz w:val="32"/>
          <w:szCs w:val="32"/>
        </w:rPr>
        <w:t>金的安排、组织及使用效益。</w:t>
      </w:r>
    </w:p>
    <w:p>
      <w:pPr>
        <w:pStyle w:val="23"/>
        <w:numPr>
          <w:ilvl w:val="0"/>
          <w:numId w:val="4"/>
        </w:numPr>
        <w:ind w:left="0" w:firstLine="643" w:firstLineChars="200"/>
      </w:pPr>
      <w:r>
        <w:rPr>
          <w:rFonts w:hint="eastAsia"/>
        </w:rPr>
        <w:t>绩效评价原则</w:t>
      </w:r>
      <w:bookmarkEnd w:id="5"/>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本次绩效评价遵循的原则包括：</w:t>
      </w:r>
    </w:p>
    <w:p>
      <w:pPr>
        <w:pStyle w:val="23"/>
        <w:keepNext w:val="0"/>
        <w:keepLines w:val="0"/>
        <w:numPr>
          <w:ilvl w:val="1"/>
          <w:numId w:val="5"/>
        </w:numPr>
        <w:ind w:left="0" w:firstLine="640" w:firstLineChars="200"/>
        <w:rPr>
          <w:rFonts w:hAnsi="仿宋" w:cs="宋体"/>
          <w:b w:val="0"/>
        </w:rPr>
      </w:pPr>
      <w:r>
        <w:rPr>
          <w:rFonts w:hint="eastAsia" w:hAnsi="仿宋" w:cs="宋体"/>
          <w:b w:val="0"/>
        </w:rPr>
        <w:t>科学公正。绩效评价应当运用科学合理的方法，按照规范的程序，对项目绩效进行客观、公正的反映。</w:t>
      </w:r>
    </w:p>
    <w:p>
      <w:pPr>
        <w:pStyle w:val="23"/>
        <w:keepNext w:val="0"/>
        <w:keepLines w:val="0"/>
        <w:numPr>
          <w:ilvl w:val="1"/>
          <w:numId w:val="5"/>
        </w:numPr>
        <w:ind w:left="0" w:firstLine="640" w:firstLineChars="200"/>
        <w:rPr>
          <w:rFonts w:hAnsi="仿宋" w:cs="宋体"/>
          <w:b w:val="0"/>
        </w:rPr>
      </w:pPr>
      <w:r>
        <w:rPr>
          <w:rFonts w:hint="eastAsia" w:hAnsi="仿宋" w:cs="宋体"/>
          <w:b w:val="0"/>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3"/>
        <w:keepNext w:val="0"/>
        <w:keepLines w:val="0"/>
        <w:numPr>
          <w:ilvl w:val="1"/>
          <w:numId w:val="5"/>
        </w:numPr>
        <w:ind w:left="0" w:firstLine="640" w:firstLineChars="200"/>
        <w:rPr>
          <w:rFonts w:hAnsi="仿宋" w:cs="宋体"/>
          <w:b w:val="0"/>
        </w:rPr>
      </w:pPr>
      <w:r>
        <w:rPr>
          <w:rFonts w:hint="eastAsia" w:hAnsi="仿宋" w:cs="宋体"/>
          <w:b w:val="0"/>
        </w:rPr>
        <w:t>激励约束。绩效评价结果应与预算安排、政策调整、改进管理实质性挂钩，体现奖优罚劣和激励相容导向，有效要安排、低效要压减、无效要问责。</w:t>
      </w:r>
    </w:p>
    <w:p>
      <w:pPr>
        <w:pStyle w:val="23"/>
        <w:keepNext w:val="0"/>
        <w:keepLines w:val="0"/>
        <w:numPr>
          <w:ilvl w:val="1"/>
          <w:numId w:val="5"/>
        </w:numPr>
        <w:ind w:left="0" w:firstLine="640" w:firstLineChars="200"/>
        <w:rPr>
          <w:b w:val="0"/>
        </w:rPr>
      </w:pPr>
      <w:r>
        <w:rPr>
          <w:rFonts w:hint="eastAsia" w:hAnsi="仿宋" w:cs="宋体"/>
          <w:b w:val="0"/>
        </w:rPr>
        <w:t>公开透明。绩效评价结果应依法依规公开，并自觉接受社会监督。</w:t>
      </w:r>
      <w:r>
        <w:rPr>
          <w:rFonts w:hint="eastAsia"/>
          <w:b w:val="0"/>
        </w:rPr>
        <w:t>绩效评价体系</w:t>
      </w:r>
    </w:p>
    <w:p>
      <w:pPr>
        <w:pStyle w:val="23"/>
        <w:numPr>
          <w:ilvl w:val="0"/>
          <w:numId w:val="4"/>
        </w:numPr>
        <w:ind w:left="0" w:firstLine="643" w:firstLineChars="200"/>
      </w:pPr>
      <w:r>
        <w:rPr>
          <w:rFonts w:hint="eastAsia"/>
        </w:rPr>
        <w:t>本项目绩效评价体系</w:t>
      </w:r>
    </w:p>
    <w:p>
      <w:pPr>
        <w:pStyle w:val="23"/>
        <w:numPr>
          <w:ilvl w:val="0"/>
          <w:numId w:val="0"/>
        </w:numPr>
        <w:ind w:firstLine="640" w:firstLineChars="200"/>
        <w:rPr>
          <w:b w:val="0"/>
        </w:rPr>
      </w:pPr>
      <w:r>
        <w:rPr>
          <w:rFonts w:hint="eastAsia"/>
          <w:b w:val="0"/>
        </w:rPr>
        <w:t>本项目绩效评价体系为根据财预</w:t>
      </w:r>
      <w:r>
        <w:rPr>
          <w:rFonts w:hint="eastAsia" w:ascii="仿宋" w:hAnsi="仿宋" w:eastAsia="仿宋"/>
          <w:b w:val="0"/>
        </w:rPr>
        <w:t>﹝</w:t>
      </w:r>
      <w:r>
        <w:rPr>
          <w:rFonts w:hint="eastAsia"/>
          <w:b w:val="0"/>
        </w:rPr>
        <w:t>2</w:t>
      </w:r>
      <w:r>
        <w:rPr>
          <w:b w:val="0"/>
        </w:rPr>
        <w:t>020</w:t>
      </w:r>
      <w:r>
        <w:rPr>
          <w:rFonts w:hint="eastAsia" w:ascii="仿宋" w:hAnsi="仿宋" w:eastAsia="仿宋"/>
          <w:b w:val="0"/>
        </w:rPr>
        <w:t>﹞</w:t>
      </w:r>
      <w:r>
        <w:rPr>
          <w:rFonts w:hint="eastAsia"/>
          <w:b w:val="0"/>
        </w:rPr>
        <w:t>1</w:t>
      </w:r>
      <w:r>
        <w:rPr>
          <w:b w:val="0"/>
        </w:rPr>
        <w:t>0</w:t>
      </w:r>
      <w:r>
        <w:rPr>
          <w:rFonts w:hint="eastAsia"/>
          <w:b w:val="0"/>
        </w:rPr>
        <w:t>号共性指标及个性化指标设置，详见附件4。</w:t>
      </w:r>
    </w:p>
    <w:p>
      <w:pPr>
        <w:pStyle w:val="23"/>
        <w:keepNext w:val="0"/>
        <w:keepLines w:val="0"/>
        <w:numPr>
          <w:ilvl w:val="0"/>
          <w:numId w:val="4"/>
        </w:numPr>
        <w:ind w:left="0" w:firstLine="643" w:firstLineChars="200"/>
      </w:pPr>
      <w:bookmarkStart w:id="6" w:name="_Toc26401555"/>
      <w:r>
        <w:rPr>
          <w:rFonts w:hint="eastAsia"/>
        </w:rPr>
        <w:t>绩效评价方法</w:t>
      </w:r>
      <w:bookmarkEnd w:id="6"/>
    </w:p>
    <w:p>
      <w:pPr>
        <w:spacing w:beforeLines="50" w:line="600" w:lineRule="exact"/>
        <w:ind w:firstLine="645"/>
        <w:rPr>
          <w:rFonts w:ascii="仿宋_GB2312" w:hAnsi="仿宋" w:eastAsia="仿宋_GB2312" w:cs="宋体"/>
          <w:sz w:val="32"/>
          <w:szCs w:val="32"/>
        </w:rPr>
      </w:pPr>
      <w:r>
        <w:rPr>
          <w:rFonts w:hint="eastAsia" w:ascii="仿宋_GB2312" w:hAnsi="仿宋" w:eastAsia="仿宋_GB2312" w:cs="宋体"/>
          <w:sz w:val="32"/>
          <w:szCs w:val="32"/>
        </w:rPr>
        <w:t>本次绩效评价方法的选用简便有效的原则采用问卷调查法。</w:t>
      </w:r>
    </w:p>
    <w:p>
      <w:pPr>
        <w:pStyle w:val="23"/>
        <w:keepNext w:val="0"/>
        <w:keepLines w:val="0"/>
        <w:numPr>
          <w:ilvl w:val="0"/>
          <w:numId w:val="4"/>
        </w:numPr>
        <w:ind w:left="0" w:firstLine="643" w:firstLineChars="200"/>
      </w:pPr>
      <w:r>
        <w:rPr>
          <w:rFonts w:hint="eastAsia"/>
        </w:rPr>
        <w:t>评价标准</w:t>
      </w:r>
    </w:p>
    <w:p>
      <w:pPr>
        <w:pStyle w:val="23"/>
        <w:keepNext w:val="0"/>
        <w:keepLines w:val="0"/>
        <w:numPr>
          <w:ilvl w:val="0"/>
          <w:numId w:val="0"/>
        </w:numPr>
      </w:pPr>
      <w:r>
        <w:rPr>
          <w:rFonts w:hint="eastAsia"/>
          <w:b w:val="0"/>
          <w:bCs w:val="0"/>
        </w:rPr>
        <w:t xml:space="preserve"> 项目评价标准采用计划标准、行业标准、历史标准。</w:t>
      </w:r>
    </w:p>
    <w:p>
      <w:pPr>
        <w:pStyle w:val="23"/>
        <w:keepNext w:val="0"/>
        <w:keepLines w:val="0"/>
        <w:numPr>
          <w:ilvl w:val="0"/>
          <w:numId w:val="4"/>
        </w:numPr>
        <w:ind w:left="0" w:firstLine="643" w:firstLineChars="200"/>
      </w:pPr>
      <w:r>
        <w:rPr>
          <w:rFonts w:hint="eastAsia"/>
        </w:rPr>
        <w:t>绩效评价工作过程</w:t>
      </w:r>
    </w:p>
    <w:p>
      <w:pPr>
        <w:pStyle w:val="23"/>
        <w:keepNext w:val="0"/>
        <w:keepLines w:val="0"/>
        <w:numPr>
          <w:ilvl w:val="0"/>
          <w:numId w:val="0"/>
        </w:numPr>
        <w:ind w:firstLine="640" w:firstLineChars="200"/>
        <w:outlineLvl w:val="9"/>
        <w:rPr>
          <w:b w:val="0"/>
          <w:bCs w:val="0"/>
        </w:rPr>
      </w:pPr>
      <w:r>
        <w:rPr>
          <w:rFonts w:hint="eastAsia"/>
          <w:b w:val="0"/>
          <w:bCs w:val="0"/>
        </w:rPr>
        <w:t>本次评价成立了评价小组，成员如下：</w:t>
      </w:r>
    </w:p>
    <w:tbl>
      <w:tblPr>
        <w:tblStyle w:val="13"/>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评价人</w:t>
            </w:r>
          </w:p>
        </w:tc>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职责</w:t>
            </w:r>
          </w:p>
        </w:tc>
        <w:tc>
          <w:tcPr>
            <w:tcW w:w="2766" w:type="dxa"/>
            <w:vAlign w:val="center"/>
          </w:tcPr>
          <w:p>
            <w:pPr>
              <w:pStyle w:val="23"/>
              <w:keepNext w:val="0"/>
              <w:keepLines w:val="0"/>
              <w:numPr>
                <w:ilvl w:val="0"/>
                <w:numId w:val="0"/>
              </w:numPr>
              <w:spacing w:line="240" w:lineRule="atLeast"/>
              <w:jc w:val="center"/>
              <w:rPr>
                <w:b w:val="0"/>
                <w:bCs w:val="0"/>
              </w:rPr>
            </w:pPr>
            <w:r>
              <w:rPr>
                <w:rFonts w:hint="eastAsia"/>
                <w:b w:val="0"/>
                <w:bCs w:val="0"/>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王武利</w:t>
            </w:r>
          </w:p>
        </w:tc>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评价组组长</w:t>
            </w:r>
          </w:p>
        </w:tc>
        <w:tc>
          <w:tcPr>
            <w:tcW w:w="2766" w:type="dxa"/>
            <w:vAlign w:val="center"/>
          </w:tcPr>
          <w:p>
            <w:pPr>
              <w:pStyle w:val="23"/>
              <w:keepNext w:val="0"/>
              <w:keepLines w:val="0"/>
              <w:numPr>
                <w:ilvl w:val="0"/>
                <w:numId w:val="0"/>
              </w:numPr>
              <w:spacing w:line="240" w:lineRule="atLeast"/>
              <w:jc w:val="center"/>
              <w:rPr>
                <w:b w:val="0"/>
                <w:bCs w:val="0"/>
              </w:rPr>
            </w:pPr>
            <w:r>
              <w:rPr>
                <w:rFonts w:hint="eastAsia"/>
                <w:b w:val="0"/>
                <w:bCs w:val="0"/>
              </w:rPr>
              <w:t>应急管理局局长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张增真</w:t>
            </w:r>
          </w:p>
        </w:tc>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评价组成员</w:t>
            </w:r>
          </w:p>
        </w:tc>
        <w:tc>
          <w:tcPr>
            <w:tcW w:w="2766" w:type="dxa"/>
            <w:vAlign w:val="center"/>
          </w:tcPr>
          <w:p>
            <w:pPr>
              <w:pStyle w:val="23"/>
              <w:keepNext w:val="0"/>
              <w:keepLines w:val="0"/>
              <w:numPr>
                <w:ilvl w:val="0"/>
                <w:numId w:val="0"/>
              </w:numPr>
              <w:spacing w:line="240" w:lineRule="atLeast"/>
              <w:jc w:val="center"/>
              <w:rPr>
                <w:b w:val="0"/>
                <w:bCs w:val="0"/>
              </w:rPr>
            </w:pPr>
            <w:r>
              <w:rPr>
                <w:rFonts w:hint="eastAsia"/>
                <w:b w:val="0"/>
                <w:bCs w:val="0"/>
              </w:rPr>
              <w:t>综合协调科科长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栗宏</w:t>
            </w:r>
          </w:p>
        </w:tc>
        <w:tc>
          <w:tcPr>
            <w:tcW w:w="2765" w:type="dxa"/>
            <w:vAlign w:val="center"/>
          </w:tcPr>
          <w:p>
            <w:pPr>
              <w:pStyle w:val="23"/>
              <w:keepNext w:val="0"/>
              <w:keepLines w:val="0"/>
              <w:numPr>
                <w:ilvl w:val="0"/>
                <w:numId w:val="0"/>
              </w:numPr>
              <w:spacing w:line="240" w:lineRule="atLeast"/>
              <w:jc w:val="center"/>
              <w:rPr>
                <w:b w:val="0"/>
                <w:bCs w:val="0"/>
              </w:rPr>
            </w:pPr>
            <w:r>
              <w:rPr>
                <w:rFonts w:hint="eastAsia"/>
                <w:b w:val="0"/>
                <w:bCs w:val="0"/>
              </w:rPr>
              <w:t>评价组成员</w:t>
            </w:r>
          </w:p>
        </w:tc>
        <w:tc>
          <w:tcPr>
            <w:tcW w:w="2766" w:type="dxa"/>
            <w:vAlign w:val="center"/>
          </w:tcPr>
          <w:p>
            <w:pPr>
              <w:pStyle w:val="23"/>
              <w:keepNext w:val="0"/>
              <w:keepLines w:val="0"/>
              <w:numPr>
                <w:ilvl w:val="0"/>
                <w:numId w:val="0"/>
              </w:numPr>
              <w:spacing w:line="240" w:lineRule="atLeast"/>
              <w:jc w:val="center"/>
              <w:rPr>
                <w:b w:val="0"/>
                <w:bCs w:val="0"/>
              </w:rPr>
            </w:pPr>
            <w:r>
              <w:rPr>
                <w:rFonts w:hint="eastAsia"/>
                <w:b w:val="0"/>
                <w:bCs w:val="0"/>
              </w:rPr>
              <w:t>防灾减灾科科长</w:t>
            </w:r>
          </w:p>
        </w:tc>
      </w:tr>
    </w:tbl>
    <w:p>
      <w:pPr>
        <w:pStyle w:val="23"/>
        <w:keepNext w:val="0"/>
        <w:keepLines w:val="0"/>
        <w:numPr>
          <w:ilvl w:val="0"/>
          <w:numId w:val="0"/>
        </w:numPr>
        <w:ind w:firstLine="640" w:firstLineChars="200"/>
        <w:outlineLvl w:val="9"/>
        <w:rPr>
          <w:b w:val="0"/>
          <w:bCs w:val="0"/>
        </w:rPr>
      </w:pPr>
      <w:r>
        <w:rPr>
          <w:rFonts w:hint="eastAsia"/>
          <w:b w:val="0"/>
          <w:bCs w:val="0"/>
        </w:rPr>
        <w:t>本次评价设计了评价方案、评价指标体系，通过资料分析、调研、访谈满意度调查等方式形成评价结论，在与项目单位沟通后确定评价意见，并出具评价报告。　</w:t>
      </w:r>
    </w:p>
    <w:p>
      <w:pPr>
        <w:pStyle w:val="21"/>
        <w:ind w:left="643" w:firstLine="0" w:firstLineChars="0"/>
        <w:rPr>
          <w:color w:val="FF0000"/>
        </w:rPr>
      </w:pPr>
      <w:bookmarkStart w:id="7" w:name="_Toc26401558"/>
      <w:r>
        <w:rPr>
          <w:rFonts w:hint="eastAsia" w:ascii="黑体" w:hAnsi="黑体"/>
        </w:rPr>
        <w:t>三、综合评价情况及评价结论</w:t>
      </w:r>
    </w:p>
    <w:p>
      <w:pPr>
        <w:pStyle w:val="21"/>
        <w:ind w:firstLine="640"/>
        <w:rPr>
          <w:rFonts w:ascii="仿宋_GB2312" w:eastAsia="仿宋_GB2312" w:hAnsiTheme="majorHAnsi"/>
          <w:b w:val="0"/>
          <w:bCs w:val="0"/>
          <w:kern w:val="2"/>
        </w:rPr>
      </w:pPr>
      <w:r>
        <w:rPr>
          <w:rFonts w:hint="eastAsia" w:ascii="仿宋_GB2312" w:eastAsia="仿宋_GB2312" w:hAnsiTheme="majorHAnsi"/>
          <w:b w:val="0"/>
          <w:bCs w:val="0"/>
          <w:kern w:val="2"/>
        </w:rPr>
        <w:t>经评价组通过实地调研、资料分析等方式，采用综合分析法、成本效益分析法等对项目的决策、管理、绩效进行的综合评价分析，项目得分为100分，评价结果为优，详见附件6。</w:t>
      </w:r>
    </w:p>
    <w:p>
      <w:pPr>
        <w:pStyle w:val="21"/>
        <w:numPr>
          <w:ilvl w:val="0"/>
          <w:numId w:val="2"/>
        </w:numPr>
        <w:ind w:firstLineChars="0"/>
      </w:pPr>
      <w:r>
        <w:rPr>
          <w:rFonts w:hint="eastAsia"/>
        </w:rPr>
        <w:t>绩效评价指标分析</w:t>
      </w:r>
      <w:bookmarkEnd w:id="7"/>
    </w:p>
    <w:p>
      <w:pPr>
        <w:pStyle w:val="17"/>
        <w:numPr>
          <w:ilvl w:val="0"/>
          <w:numId w:val="6"/>
        </w:numPr>
        <w:spacing w:beforeLines="50" w:line="60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项目的决策情况</w:t>
      </w:r>
    </w:p>
    <w:p>
      <w:pPr>
        <w:pStyle w:val="26"/>
        <w:ind w:firstLine="640"/>
        <w:rPr>
          <w:rFonts w:ascii="仿宋_GB2312" w:hAnsi="仿宋" w:cs="宋体"/>
          <w:sz w:val="32"/>
          <w:szCs w:val="32"/>
        </w:rPr>
      </w:pPr>
      <w:r>
        <w:rPr>
          <w:rFonts w:hint="eastAsia" w:ascii="仿宋_GB2312" w:hAnsi="仿宋" w:cs="宋体"/>
          <w:sz w:val="32"/>
          <w:szCs w:val="32"/>
        </w:rPr>
        <w:t>本项目的立项符合相关法规政策及部门职责，依据充分；项目按照规定的程序申请设立；审批文件、材料符合相关要求；项目前期已经过必要的可行性研究、风险评估、绩效评估、集体决策。</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相对应。</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项目在资金投入方面，预算编制经过科学论证、有明确标准，资金额度与年度目标相适应，用以反映和考核项目预算编制的科学性、合理性情况。项目预算资金分配有测算依据，与地方实际相适应。</w:t>
      </w:r>
    </w:p>
    <w:p>
      <w:pPr>
        <w:pStyle w:val="17"/>
        <w:numPr>
          <w:ilvl w:val="0"/>
          <w:numId w:val="6"/>
        </w:numPr>
        <w:spacing w:beforeLines="50" w:line="60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项目的过程情况</w:t>
      </w:r>
    </w:p>
    <w:p>
      <w:pPr>
        <w:spacing w:line="500" w:lineRule="exact"/>
        <w:ind w:firstLine="645"/>
        <w:rPr>
          <w:rFonts w:ascii="仿宋_GB2312" w:hAnsi="仿宋" w:eastAsia="仿宋_GB2312" w:cs="宋体"/>
          <w:sz w:val="32"/>
          <w:szCs w:val="32"/>
        </w:rPr>
      </w:pPr>
      <w:r>
        <w:rPr>
          <w:rFonts w:hint="eastAsia" w:ascii="仿宋_GB2312" w:hAnsi="仿宋" w:eastAsia="仿宋_GB2312" w:cs="宋体"/>
          <w:sz w:val="32"/>
          <w:szCs w:val="32"/>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spacing w:line="500" w:lineRule="exact"/>
        <w:ind w:firstLine="645"/>
        <w:rPr>
          <w:rFonts w:ascii="仿宋_GB2312" w:hAnsi="仿宋" w:eastAsia="仿宋_GB2312" w:cs="宋体"/>
          <w:sz w:val="32"/>
          <w:szCs w:val="32"/>
        </w:rPr>
      </w:pPr>
      <w:r>
        <w:rPr>
          <w:rFonts w:hint="eastAsia" w:ascii="仿宋_GB2312" w:hAnsi="仿宋" w:eastAsia="仿宋_GB2312" w:cs="宋体"/>
          <w:sz w:val="32"/>
          <w:szCs w:val="32"/>
        </w:rPr>
        <w:t>在项目组织实施方面，项目单位已制定或具有相应的财务和业务管理制度，财务和业务管理制度合法、合规、完整。项目实施遵守相关法律法规和相关管理规定。</w:t>
      </w:r>
    </w:p>
    <w:p>
      <w:pPr>
        <w:spacing w:line="500" w:lineRule="exact"/>
        <w:ind w:firstLine="645"/>
        <w:rPr>
          <w:rFonts w:ascii="仿宋_GB2312" w:hAnsi="仿宋" w:eastAsia="仿宋_GB2312" w:cs="宋体"/>
          <w:sz w:val="32"/>
          <w:szCs w:val="32"/>
        </w:rPr>
      </w:pPr>
      <w:r>
        <w:rPr>
          <w:rFonts w:hint="eastAsia" w:ascii="仿宋_GB2312" w:hAnsi="仿宋" w:eastAsia="仿宋_GB2312" w:cs="宋体"/>
          <w:sz w:val="32"/>
          <w:szCs w:val="32"/>
        </w:rPr>
        <w:t>项目调整及支出调整手续完备，项目合同书、验收报告、技术鉴定等资料齐全并及时归档，信息支撑等是否落实到位。</w:t>
      </w:r>
    </w:p>
    <w:p>
      <w:pPr>
        <w:pStyle w:val="17"/>
        <w:numPr>
          <w:ilvl w:val="0"/>
          <w:numId w:val="6"/>
        </w:numPr>
        <w:spacing w:beforeLines="50" w:line="500" w:lineRule="exact"/>
        <w:ind w:left="0" w:firstLine="643"/>
        <w:rPr>
          <w:rFonts w:ascii="仿宋_GB2312" w:hAnsi="仿宋" w:eastAsia="仿宋_GB2312" w:cs="宋体"/>
          <w:b/>
          <w:bCs/>
          <w:sz w:val="32"/>
          <w:szCs w:val="32"/>
        </w:rPr>
      </w:pPr>
      <w:r>
        <w:rPr>
          <w:rFonts w:hint="eastAsia" w:ascii="仿宋_GB2312" w:hAnsi="仿宋" w:eastAsia="仿宋_GB2312" w:cs="宋体"/>
          <w:b/>
          <w:bCs/>
          <w:sz w:val="32"/>
          <w:szCs w:val="32"/>
        </w:rPr>
        <w:t>项目产出情况</w:t>
      </w:r>
    </w:p>
    <w:p>
      <w:pPr>
        <w:spacing w:beforeLines="50" w:line="500" w:lineRule="exact"/>
        <w:ind w:firstLine="660"/>
        <w:rPr>
          <w:rFonts w:ascii="仿宋_GB2312" w:eastAsia="仿宋_GB2312"/>
          <w:sz w:val="32"/>
          <w:szCs w:val="32"/>
        </w:rPr>
      </w:pPr>
      <w:r>
        <w:rPr>
          <w:rFonts w:hint="eastAsia" w:ascii="仿宋_GB2312" w:eastAsia="仿宋_GB2312"/>
          <w:sz w:val="32"/>
          <w:szCs w:val="32"/>
        </w:rPr>
        <w:t>项目产出数量为15，预期指标值为15，实际完成值为15，指标达到预期目标。</w:t>
      </w:r>
    </w:p>
    <w:p>
      <w:pPr>
        <w:spacing w:line="360" w:lineRule="auto"/>
        <w:ind w:firstLine="627" w:firstLineChars="20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w:t>
      </w:r>
      <w:r>
        <w:rPr>
          <w:rFonts w:ascii="楷体" w:hAnsi="楷体" w:eastAsia="楷体"/>
          <w:b/>
          <w:color w:val="000000" w:themeColor="text1"/>
          <w:spacing w:val="-4"/>
          <w:sz w:val="32"/>
          <w:szCs w:val="32"/>
        </w:rPr>
        <w:t>1</w:t>
      </w:r>
      <w:r>
        <w:rPr>
          <w:rFonts w:hint="eastAsia" w:ascii="楷体" w:hAnsi="楷体" w:eastAsia="楷体"/>
          <w:b/>
          <w:color w:val="000000" w:themeColor="text1"/>
          <w:spacing w:val="-4"/>
          <w:sz w:val="32"/>
          <w:szCs w:val="32"/>
        </w:rPr>
        <w:t>）项目完成数量</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1.目标管理考核县市，预期指标是</w:t>
      </w:r>
      <w:r>
        <w:rPr>
          <w:rFonts w:hint="eastAsia" w:ascii="仿宋_GB2312" w:hAnsi="仿宋" w:eastAsia="仿宋_GB2312" w:cs="仿宋"/>
          <w:color w:val="000000" w:themeColor="text1"/>
          <w:spacing w:val="-4"/>
          <w:sz w:val="32"/>
          <w:szCs w:val="32"/>
        </w:rPr>
        <w:t>大于等于</w:t>
      </w:r>
      <w:r>
        <w:rPr>
          <w:rFonts w:hint="eastAsia" w:ascii="仿宋" w:hAnsi="仿宋" w:eastAsia="仿宋"/>
          <w:color w:val="000000" w:themeColor="text1"/>
          <w:sz w:val="32"/>
          <w:szCs w:val="32"/>
        </w:rPr>
        <w:t>12个，实际完成值是12个，指标完成率是100%，达到预期目标。</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2.奖励地直单位数，预期指标是</w:t>
      </w:r>
      <w:r>
        <w:rPr>
          <w:rFonts w:hint="eastAsia" w:ascii="仿宋_GB2312" w:hAnsi="仿宋" w:eastAsia="仿宋_GB2312" w:cs="仿宋"/>
          <w:color w:val="000000" w:themeColor="text1"/>
          <w:spacing w:val="-4"/>
          <w:sz w:val="32"/>
          <w:szCs w:val="32"/>
        </w:rPr>
        <w:t>大于等于</w:t>
      </w:r>
      <w:r>
        <w:rPr>
          <w:rFonts w:hint="eastAsia" w:ascii="仿宋" w:hAnsi="仿宋" w:eastAsia="仿宋"/>
          <w:color w:val="000000" w:themeColor="text1"/>
          <w:sz w:val="32"/>
          <w:szCs w:val="32"/>
        </w:rPr>
        <w:t>10个，实际完成值是10个，指标完成率是100%，达到预期目标。</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3.奖励县市数，预期指标是</w:t>
      </w:r>
      <w:r>
        <w:rPr>
          <w:rFonts w:hint="eastAsia" w:ascii="仿宋_GB2312" w:hAnsi="仿宋" w:eastAsia="仿宋_GB2312" w:cs="仿宋"/>
          <w:color w:val="000000" w:themeColor="text1"/>
          <w:spacing w:val="-4"/>
          <w:sz w:val="32"/>
          <w:szCs w:val="32"/>
        </w:rPr>
        <w:t>大于等于</w:t>
      </w:r>
      <w:r>
        <w:rPr>
          <w:rFonts w:hint="eastAsia" w:ascii="仿宋" w:hAnsi="仿宋" w:eastAsia="仿宋"/>
          <w:color w:val="000000" w:themeColor="text1"/>
          <w:sz w:val="32"/>
          <w:szCs w:val="32"/>
        </w:rPr>
        <w:t>5个，实际完成值是5个，指标完成率是100%，达到预期目标。</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数量指标共计3个，完成3个，达到预期目标。</w:t>
      </w:r>
    </w:p>
    <w:p>
      <w:pPr>
        <w:spacing w:line="360" w:lineRule="auto"/>
        <w:ind w:firstLine="312" w:firstLineChars="100"/>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2</w:t>
      </w:r>
      <w:r>
        <w:rPr>
          <w:rFonts w:hint="eastAsia" w:ascii="楷体" w:hAnsi="楷体" w:eastAsia="楷体" w:cs="仿宋"/>
          <w:color w:val="000000" w:themeColor="text1"/>
          <w:spacing w:val="-4"/>
          <w:sz w:val="32"/>
          <w:szCs w:val="32"/>
        </w:rPr>
        <w:t>）项目完成质量</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1.奖励执行率，预期指标是100%，实际完成值是100%，指标完成率是100%，达到预期目标。</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质量指标共计1个，完成1个，达到预期目标。</w:t>
      </w:r>
    </w:p>
    <w:p>
      <w:pPr>
        <w:spacing w:line="360" w:lineRule="auto"/>
        <w:ind w:firstLine="312" w:firstLineChars="100"/>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3</w:t>
      </w:r>
      <w:r>
        <w:rPr>
          <w:rFonts w:hint="eastAsia" w:ascii="楷体" w:hAnsi="楷体" w:eastAsia="楷体" w:cs="仿宋"/>
          <w:color w:val="000000" w:themeColor="text1"/>
          <w:spacing w:val="-4"/>
          <w:sz w:val="32"/>
          <w:szCs w:val="32"/>
        </w:rPr>
        <w:t>）项目实施进度</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1.奖励金支付及时率，预期指标是100%，实际完成值是100%，指标完成率是100%，达到预期目标。</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时效指标共计1个，完成1个，达到预期目标。</w:t>
      </w:r>
    </w:p>
    <w:p>
      <w:pPr>
        <w:spacing w:line="360" w:lineRule="auto"/>
        <w:ind w:firstLine="468" w:firstLineChars="150"/>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4</w:t>
      </w:r>
      <w:r>
        <w:rPr>
          <w:rFonts w:hint="eastAsia" w:ascii="楷体" w:hAnsi="楷体" w:eastAsia="楷体" w:cs="仿宋"/>
          <w:color w:val="000000" w:themeColor="text1"/>
          <w:spacing w:val="-4"/>
          <w:sz w:val="32"/>
          <w:szCs w:val="32"/>
        </w:rPr>
        <w:t>）项目成本节约情况</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1.单个先进县市奖励费用，预期指标是5万元，实际完成值是5万元，指标完成率是100%，达到预期目标。</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2.单个先进地直单位奖励费用，预期指标是3万元，实际完成值是3万元，指标完成率是100%，达到预期目标。</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成本指标共计2个，完成2个，达到预期目标。</w:t>
      </w:r>
    </w:p>
    <w:p>
      <w:pPr>
        <w:spacing w:line="360" w:lineRule="auto"/>
        <w:ind w:firstLine="936" w:firstLineChars="3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2.</w:t>
      </w:r>
      <w:r>
        <w:rPr>
          <w:rFonts w:hint="eastAsia" w:ascii="楷体" w:hAnsi="楷体" w:eastAsia="楷体" w:cs="仿宋"/>
          <w:color w:val="000000" w:themeColor="text1"/>
          <w:spacing w:val="-4"/>
          <w:sz w:val="32"/>
          <w:szCs w:val="32"/>
        </w:rPr>
        <w:t>效益指标完成情况分析</w:t>
      </w:r>
    </w:p>
    <w:p>
      <w:pPr>
        <w:spacing w:line="360" w:lineRule="auto"/>
        <w:ind w:firstLine="624" w:firstLineChars="200"/>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1</w:t>
      </w:r>
      <w:r>
        <w:rPr>
          <w:rFonts w:hint="eastAsia" w:ascii="楷体" w:hAnsi="楷体" w:eastAsia="楷体" w:cs="仿宋"/>
          <w:color w:val="000000" w:themeColor="text1"/>
          <w:spacing w:val="-4"/>
          <w:sz w:val="32"/>
          <w:szCs w:val="32"/>
        </w:rPr>
        <w:t>）项目实施的经济效益分析</w:t>
      </w:r>
    </w:p>
    <w:p>
      <w:pPr>
        <w:spacing w:line="360" w:lineRule="auto"/>
        <w:ind w:firstLine="876" w:firstLineChars="300"/>
        <w:rPr>
          <w:rFonts w:ascii="仿宋" w:hAnsi="仿宋" w:eastAsia="仿宋" w:cs="仿宋"/>
          <w:color w:val="000000" w:themeColor="text1"/>
          <w:spacing w:val="-4"/>
          <w:sz w:val="30"/>
          <w:szCs w:val="30"/>
        </w:rPr>
      </w:pPr>
      <w:r>
        <w:rPr>
          <w:rFonts w:hint="eastAsia" w:ascii="仿宋" w:hAnsi="仿宋" w:eastAsia="仿宋" w:cs="仿宋"/>
          <w:color w:val="000000" w:themeColor="text1"/>
          <w:spacing w:val="-4"/>
          <w:sz w:val="30"/>
          <w:szCs w:val="30"/>
        </w:rPr>
        <w:t>无。</w:t>
      </w:r>
    </w:p>
    <w:p>
      <w:pPr>
        <w:spacing w:line="360" w:lineRule="auto"/>
        <w:ind w:firstLine="468" w:firstLineChars="150"/>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2</w:t>
      </w:r>
      <w:r>
        <w:rPr>
          <w:rFonts w:hint="eastAsia" w:ascii="楷体" w:hAnsi="楷体" w:eastAsia="楷体" w:cs="仿宋"/>
          <w:color w:val="000000" w:themeColor="text1"/>
          <w:spacing w:val="-4"/>
          <w:sz w:val="32"/>
          <w:szCs w:val="32"/>
        </w:rPr>
        <w:t>）项目实施的社会效益分析</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1.减少生产安全事故，预期指标是逐年减少，实际完成值是100%，指标完成率是100%，,达到预期目标。</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社会效益指标共计1个，完成1个，达到预期目标。</w:t>
      </w:r>
    </w:p>
    <w:p>
      <w:pPr>
        <w:spacing w:line="360" w:lineRule="auto"/>
        <w:ind w:firstLine="624" w:firstLineChars="200"/>
        <w:rPr>
          <w:rFonts w:ascii="楷体" w:hAnsi="楷体" w:eastAsia="楷体" w:cs="仿宋"/>
          <w:bCs/>
          <w:color w:val="000000" w:themeColor="text1"/>
          <w:spacing w:val="-4"/>
          <w:sz w:val="32"/>
          <w:szCs w:val="32"/>
        </w:rPr>
      </w:pP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3</w:t>
      </w:r>
      <w:r>
        <w:rPr>
          <w:rFonts w:hint="eastAsia" w:ascii="楷体" w:hAnsi="楷体" w:eastAsia="楷体" w:cs="仿宋"/>
          <w:color w:val="000000" w:themeColor="text1"/>
          <w:spacing w:val="-4"/>
          <w:sz w:val="32"/>
          <w:szCs w:val="32"/>
        </w:rPr>
        <w:t>）项目实施的生态效益分</w:t>
      </w:r>
      <w:r>
        <w:rPr>
          <w:rFonts w:hint="eastAsia" w:ascii="楷体" w:hAnsi="楷体" w:eastAsia="楷体" w:cs="仿宋"/>
          <w:bCs/>
          <w:color w:val="000000" w:themeColor="text1"/>
          <w:spacing w:val="-4"/>
          <w:sz w:val="32"/>
          <w:szCs w:val="32"/>
        </w:rPr>
        <w:t>析</w:t>
      </w:r>
    </w:p>
    <w:p>
      <w:pPr>
        <w:spacing w:line="360" w:lineRule="auto"/>
        <w:ind w:firstLine="730" w:firstLineChars="250"/>
        <w:rPr>
          <w:rFonts w:ascii="仿宋" w:hAnsi="仿宋" w:eastAsia="仿宋" w:cs="仿宋"/>
          <w:color w:val="000000" w:themeColor="text1"/>
          <w:spacing w:val="-4"/>
          <w:sz w:val="30"/>
          <w:szCs w:val="30"/>
        </w:rPr>
      </w:pPr>
      <w:r>
        <w:rPr>
          <w:rFonts w:hint="eastAsia" w:ascii="仿宋" w:hAnsi="仿宋" w:eastAsia="仿宋" w:cs="仿宋"/>
          <w:color w:val="000000" w:themeColor="text1"/>
          <w:spacing w:val="-4"/>
          <w:sz w:val="30"/>
          <w:szCs w:val="30"/>
        </w:rPr>
        <w:t>无。</w:t>
      </w:r>
    </w:p>
    <w:p>
      <w:pPr>
        <w:spacing w:line="360" w:lineRule="auto"/>
        <w:ind w:firstLine="468" w:firstLineChars="150"/>
        <w:rPr>
          <w:rFonts w:ascii="楷体" w:hAnsi="楷体" w:eastAsia="楷体" w:cs="仿宋"/>
          <w:color w:val="000000" w:themeColor="text1"/>
          <w:spacing w:val="-4"/>
          <w:sz w:val="32"/>
          <w:szCs w:val="32"/>
        </w:rPr>
      </w:pPr>
      <w:r>
        <w:rPr>
          <w:rFonts w:hint="eastAsia" w:ascii="楷体" w:hAnsi="楷体" w:eastAsia="楷体" w:cs="仿宋"/>
          <w:color w:val="000000" w:themeColor="text1"/>
          <w:spacing w:val="-4"/>
          <w:sz w:val="32"/>
          <w:szCs w:val="32"/>
        </w:rPr>
        <w:t>（</w:t>
      </w:r>
      <w:r>
        <w:rPr>
          <w:rFonts w:ascii="楷体" w:hAnsi="楷体" w:eastAsia="楷体" w:cs="仿宋"/>
          <w:color w:val="000000" w:themeColor="text1"/>
          <w:spacing w:val="-4"/>
          <w:sz w:val="32"/>
          <w:szCs w:val="32"/>
        </w:rPr>
        <w:t>4</w:t>
      </w:r>
      <w:r>
        <w:rPr>
          <w:rFonts w:hint="eastAsia" w:ascii="楷体" w:hAnsi="楷体" w:eastAsia="楷体" w:cs="仿宋"/>
          <w:color w:val="000000" w:themeColor="text1"/>
          <w:spacing w:val="-4"/>
          <w:sz w:val="32"/>
          <w:szCs w:val="32"/>
        </w:rPr>
        <w:t>）项目实施的可持续影响分析</w:t>
      </w:r>
    </w:p>
    <w:p>
      <w:pPr>
        <w:ind w:firstLine="730" w:firstLineChars="250"/>
        <w:rPr>
          <w:rFonts w:ascii="仿宋" w:hAnsi="仿宋" w:eastAsia="仿宋" w:cs="仿宋"/>
          <w:color w:val="000000" w:themeColor="text1"/>
          <w:spacing w:val="-4"/>
          <w:sz w:val="30"/>
          <w:szCs w:val="30"/>
        </w:rPr>
      </w:pPr>
      <w:r>
        <w:rPr>
          <w:rFonts w:hint="eastAsia" w:ascii="仿宋" w:hAnsi="仿宋" w:eastAsia="仿宋" w:cs="仿宋"/>
          <w:color w:val="000000" w:themeColor="text1"/>
          <w:spacing w:val="-4"/>
          <w:sz w:val="30"/>
          <w:szCs w:val="30"/>
        </w:rPr>
        <w:t>1.激励先进县市和地直单位持续抓好安全工作，预期指标是长期有效果，实际完成值是100%，指标完成率是100%，,达到预期目标。</w:t>
      </w:r>
    </w:p>
    <w:p>
      <w:pPr>
        <w:ind w:firstLine="584" w:firstLineChars="200"/>
        <w:rPr>
          <w:rFonts w:ascii="仿宋" w:hAnsi="仿宋" w:eastAsia="仿宋" w:cs="仿宋"/>
          <w:color w:val="000000" w:themeColor="text1"/>
          <w:spacing w:val="-4"/>
          <w:sz w:val="30"/>
          <w:szCs w:val="30"/>
        </w:rPr>
      </w:pPr>
      <w:r>
        <w:rPr>
          <w:rFonts w:hint="eastAsia" w:ascii="仿宋" w:hAnsi="仿宋" w:eastAsia="仿宋" w:cs="仿宋"/>
          <w:color w:val="000000" w:themeColor="text1"/>
          <w:spacing w:val="-4"/>
          <w:sz w:val="30"/>
          <w:szCs w:val="30"/>
        </w:rPr>
        <w:t>可持续指标共计1个，完成1个，达到预期目标。</w:t>
      </w:r>
    </w:p>
    <w:p>
      <w:pPr>
        <w:spacing w:line="360" w:lineRule="auto"/>
        <w:ind w:firstLine="624" w:firstLineChars="200"/>
        <w:rPr>
          <w:rFonts w:ascii="楷体" w:hAnsi="楷体" w:eastAsia="楷体" w:cs="仿宋"/>
          <w:color w:val="000000" w:themeColor="text1"/>
          <w:spacing w:val="-4"/>
          <w:sz w:val="32"/>
          <w:szCs w:val="32"/>
        </w:rPr>
      </w:pPr>
      <w:r>
        <w:rPr>
          <w:rFonts w:ascii="楷体" w:hAnsi="楷体" w:eastAsia="楷体" w:cs="仿宋"/>
          <w:color w:val="000000" w:themeColor="text1"/>
          <w:spacing w:val="-4"/>
          <w:sz w:val="32"/>
          <w:szCs w:val="32"/>
        </w:rPr>
        <w:t>3.</w:t>
      </w:r>
      <w:r>
        <w:rPr>
          <w:rFonts w:hint="eastAsia" w:ascii="楷体" w:hAnsi="楷体" w:eastAsia="楷体" w:cs="仿宋"/>
          <w:color w:val="000000" w:themeColor="text1"/>
          <w:spacing w:val="-4"/>
          <w:sz w:val="32"/>
          <w:szCs w:val="32"/>
        </w:rPr>
        <w:t>满意度指标完成情况分析</w:t>
      </w:r>
    </w:p>
    <w:p>
      <w:pPr>
        <w:ind w:firstLine="584" w:firstLineChars="200"/>
        <w:rPr>
          <w:rFonts w:ascii="仿宋" w:hAnsi="仿宋" w:eastAsia="仿宋" w:cs="仿宋"/>
          <w:color w:val="000000" w:themeColor="text1"/>
          <w:spacing w:val="-4"/>
          <w:sz w:val="30"/>
          <w:szCs w:val="30"/>
        </w:rPr>
      </w:pPr>
      <w:r>
        <w:rPr>
          <w:rFonts w:hint="eastAsia" w:ascii="仿宋" w:hAnsi="仿宋" w:eastAsia="仿宋" w:cs="仿宋"/>
          <w:color w:val="000000" w:themeColor="text1"/>
          <w:spacing w:val="-4"/>
          <w:sz w:val="30"/>
          <w:szCs w:val="30"/>
        </w:rPr>
        <w:t>按计划完成项目实施，已做满意度调查问卷，具体如下：</w:t>
      </w:r>
    </w:p>
    <w:p>
      <w:pPr>
        <w:ind w:firstLine="584" w:firstLineChars="200"/>
        <w:rPr>
          <w:rFonts w:ascii="仿宋" w:hAnsi="仿宋" w:eastAsia="仿宋" w:cs="仿宋"/>
          <w:color w:val="000000" w:themeColor="text1"/>
          <w:spacing w:val="-4"/>
          <w:sz w:val="30"/>
          <w:szCs w:val="30"/>
        </w:rPr>
      </w:pPr>
      <w:r>
        <w:rPr>
          <w:rFonts w:hint="eastAsia" w:ascii="仿宋" w:hAnsi="仿宋" w:eastAsia="仿宋" w:cs="仿宋"/>
          <w:color w:val="000000" w:themeColor="text1"/>
          <w:spacing w:val="-4"/>
          <w:sz w:val="30"/>
          <w:szCs w:val="30"/>
        </w:rPr>
        <w:t>1.先进地直单位满意度，预期指标是</w:t>
      </w:r>
      <w:r>
        <w:rPr>
          <w:rFonts w:hint="eastAsia" w:ascii="仿宋_GB2312" w:hAnsi="仿宋" w:eastAsia="仿宋_GB2312" w:cs="仿宋"/>
          <w:color w:val="000000" w:themeColor="text1"/>
          <w:spacing w:val="-4"/>
          <w:sz w:val="32"/>
          <w:szCs w:val="32"/>
        </w:rPr>
        <w:t>大于等于</w:t>
      </w:r>
      <w:r>
        <w:rPr>
          <w:rFonts w:hint="eastAsia" w:ascii="仿宋" w:hAnsi="仿宋" w:eastAsia="仿宋" w:cs="仿宋"/>
          <w:color w:val="000000" w:themeColor="text1"/>
          <w:spacing w:val="-4"/>
          <w:sz w:val="30"/>
          <w:szCs w:val="30"/>
        </w:rPr>
        <w:t>90%，实际完成值是100%，指标完成率是100%，达到预期目标。</w:t>
      </w:r>
    </w:p>
    <w:p>
      <w:pPr>
        <w:rPr>
          <w:rFonts w:ascii="仿宋" w:hAnsi="仿宋" w:eastAsia="仿宋" w:cs="仿宋"/>
          <w:color w:val="000000" w:themeColor="text1"/>
          <w:spacing w:val="-4"/>
          <w:sz w:val="30"/>
          <w:szCs w:val="30"/>
        </w:rPr>
      </w:pPr>
      <w:r>
        <w:rPr>
          <w:rFonts w:hint="eastAsia" w:ascii="仿宋" w:hAnsi="仿宋" w:eastAsia="仿宋" w:cs="仿宋"/>
          <w:color w:val="000000" w:themeColor="text1"/>
          <w:spacing w:val="-4"/>
          <w:sz w:val="30"/>
          <w:szCs w:val="30"/>
        </w:rPr>
        <w:t xml:space="preserve">    2.先进县市满意度，预期指标是</w:t>
      </w:r>
      <w:r>
        <w:rPr>
          <w:rFonts w:hint="eastAsia" w:ascii="仿宋_GB2312" w:hAnsi="仿宋" w:eastAsia="仿宋_GB2312" w:cs="仿宋"/>
          <w:color w:val="000000" w:themeColor="text1"/>
          <w:spacing w:val="-4"/>
          <w:sz w:val="32"/>
          <w:szCs w:val="32"/>
        </w:rPr>
        <w:t>大于等于</w:t>
      </w:r>
      <w:r>
        <w:rPr>
          <w:rFonts w:hint="eastAsia" w:ascii="仿宋" w:hAnsi="仿宋" w:eastAsia="仿宋" w:cs="仿宋"/>
          <w:color w:val="000000" w:themeColor="text1"/>
          <w:spacing w:val="-4"/>
          <w:sz w:val="30"/>
          <w:szCs w:val="30"/>
        </w:rPr>
        <w:t>90%，实际完成值是100%，指标完成率是100%，达到预期目标。</w:t>
      </w:r>
    </w:p>
    <w:p>
      <w:pPr>
        <w:pStyle w:val="21"/>
        <w:numPr>
          <w:ilvl w:val="0"/>
          <w:numId w:val="2"/>
        </w:numPr>
        <w:spacing w:after="0"/>
        <w:ind w:firstLineChars="0"/>
      </w:pPr>
      <w:r>
        <w:rPr>
          <w:rFonts w:hint="eastAsia" w:ascii="黑体" w:hAnsi="黑体"/>
        </w:rPr>
        <w:t>主要经验及做法、存在的问题及原因分析</w:t>
      </w:r>
    </w:p>
    <w:p>
      <w:pPr>
        <w:pStyle w:val="23"/>
        <w:numPr>
          <w:ilvl w:val="0"/>
          <w:numId w:val="7"/>
        </w:numPr>
        <w:spacing w:after="0"/>
        <w:ind w:left="0" w:firstLine="643" w:firstLineChars="200"/>
      </w:pPr>
      <w:r>
        <w:rPr>
          <w:rFonts w:hint="eastAsia"/>
        </w:rPr>
        <w:t>主要经验及做法</w:t>
      </w:r>
    </w:p>
    <w:p>
      <w:pPr>
        <w:pStyle w:val="23"/>
        <w:numPr>
          <w:ilvl w:val="0"/>
          <w:numId w:val="0"/>
        </w:numPr>
        <w:spacing w:after="0"/>
        <w:ind w:firstLine="640" w:firstLineChars="200"/>
        <w:rPr>
          <w:b w:val="0"/>
        </w:rPr>
      </w:pPr>
      <w:r>
        <w:rPr>
          <w:rFonts w:hint="eastAsia"/>
          <w:b w:val="0"/>
        </w:rPr>
        <w:t>本项目实施效果较好的原因主要是管理制度完善、责任落实到位，跟踪考核机制完善且运行有效，在项目实施过程中创新管理办法，采用创新方式使项目取得了良好的效果</w:t>
      </w:r>
    </w:p>
    <w:p>
      <w:pPr>
        <w:pStyle w:val="23"/>
        <w:numPr>
          <w:ilvl w:val="0"/>
          <w:numId w:val="7"/>
        </w:numPr>
        <w:spacing w:after="0"/>
        <w:ind w:left="0" w:firstLine="643" w:firstLineChars="200"/>
      </w:pPr>
      <w:r>
        <w:rPr>
          <w:rFonts w:hint="eastAsia"/>
        </w:rPr>
        <w:t>存在的问题及原因分析</w:t>
      </w:r>
    </w:p>
    <w:p>
      <w:pPr>
        <w:pStyle w:val="23"/>
        <w:numPr>
          <w:ilvl w:val="0"/>
          <w:numId w:val="0"/>
        </w:numPr>
        <w:spacing w:after="0"/>
        <w:rPr>
          <w:b w:val="0"/>
        </w:rPr>
      </w:pPr>
      <w:r>
        <w:rPr>
          <w:rFonts w:hint="eastAsia"/>
          <w:b w:val="0"/>
        </w:rPr>
        <w:t>对县市的激励制度仍需进一步完善，公平公正性及考核办法仍需完善，措施有待进一步加强。</w:t>
      </w:r>
    </w:p>
    <w:p>
      <w:pPr>
        <w:pStyle w:val="21"/>
        <w:numPr>
          <w:ilvl w:val="0"/>
          <w:numId w:val="2"/>
        </w:numPr>
        <w:spacing w:after="0"/>
        <w:ind w:firstLineChars="0"/>
        <w:rPr>
          <w:rFonts w:ascii="黑体" w:hAnsi="黑体"/>
        </w:rPr>
      </w:pPr>
      <w:r>
        <w:rPr>
          <w:rFonts w:hint="eastAsia" w:ascii="黑体" w:hAnsi="黑体"/>
        </w:rPr>
        <w:t>有关建议</w:t>
      </w:r>
    </w:p>
    <w:p>
      <w:pPr>
        <w:pStyle w:val="21"/>
        <w:spacing w:after="0"/>
        <w:ind w:firstLine="0" w:firstLineChars="0"/>
        <w:rPr>
          <w:rFonts w:ascii="黑体" w:hAnsi="黑体"/>
          <w:b w:val="0"/>
        </w:rPr>
      </w:pPr>
      <w:r>
        <w:rPr>
          <w:rFonts w:hint="eastAsia" w:ascii="仿宋_GB2312" w:hAnsi="仿宋" w:eastAsia="仿宋_GB2312" w:cs="宋体"/>
          <w:b w:val="0"/>
          <w:kern w:val="2"/>
        </w:rPr>
        <w:t>年初做好资金计划，按照项目进度及时拨付资金，使资金使用效益最大化，减少不必要的浪费，节约成本。</w:t>
      </w:r>
    </w:p>
    <w:p>
      <w:pPr>
        <w:pStyle w:val="21"/>
        <w:numPr>
          <w:ilvl w:val="0"/>
          <w:numId w:val="2"/>
        </w:numPr>
        <w:spacing w:after="0"/>
        <w:ind w:firstLineChars="0"/>
        <w:rPr>
          <w:rFonts w:ascii="黑体" w:hAnsi="黑体"/>
        </w:rPr>
      </w:pPr>
      <w:r>
        <w:rPr>
          <w:rFonts w:hint="eastAsia" w:ascii="黑体" w:hAnsi="黑体"/>
        </w:rPr>
        <w:t>其他需要说明的问题</w:t>
      </w:r>
    </w:p>
    <w:p>
      <w:pPr>
        <w:spacing w:beforeLines="50" w:line="600" w:lineRule="exact"/>
        <w:ind w:firstLine="640" w:firstLineChars="200"/>
        <w:rPr>
          <w:rFonts w:ascii="仿宋_GB2312" w:hAnsi="仿宋" w:eastAsia="仿宋_GB2312" w:cs="宋体"/>
          <w:bCs/>
          <w:sz w:val="32"/>
          <w:szCs w:val="32"/>
        </w:rPr>
      </w:pPr>
      <w:r>
        <w:rPr>
          <w:rFonts w:hint="eastAsia" w:ascii="仿宋_GB2312" w:hAnsi="仿宋" w:eastAsia="仿宋_GB2312" w:cs="宋体"/>
          <w:bCs/>
          <w:sz w:val="32"/>
          <w:szCs w:val="32"/>
        </w:rPr>
        <w:t>无其他说明内容。</w:t>
      </w:r>
    </w:p>
    <w:p>
      <w:pPr>
        <w:spacing w:beforeLines="50" w:line="600" w:lineRule="exact"/>
        <w:ind w:firstLine="640" w:firstLineChars="200"/>
        <w:rPr>
          <w:rFonts w:ascii="仿宋_GB2312" w:hAnsi="仿宋" w:eastAsia="仿宋_GB2312" w:cs="宋体"/>
          <w:sz w:val="32"/>
          <w:szCs w:val="32"/>
        </w:rPr>
      </w:pP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附件1：喀什地区应急管理局安全奖励金项目支出绩效目标申报表</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附件2：喀什地区应急管理局安全奖励金项目支出绩效目标表</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附件3：喀什地区应急管理局安全奖励金项目支出绩效自评表</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附件4：喀什地区应急管理局安全奖励金项目支出绩效评价指标体系</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附件5：绩效评价依据</w:t>
      </w:r>
    </w:p>
    <w:p>
      <w:pPr>
        <w:spacing w:beforeLines="50" w:line="600" w:lineRule="exact"/>
        <w:ind w:firstLine="640" w:firstLineChars="200"/>
        <w:rPr>
          <w:rFonts w:ascii="仿宋_GB2312" w:hAnsi="仿宋" w:eastAsia="仿宋_GB2312" w:cs="宋体"/>
          <w:sz w:val="32"/>
          <w:szCs w:val="32"/>
        </w:rPr>
      </w:pPr>
      <w:r>
        <w:rPr>
          <w:rFonts w:hint="eastAsia" w:ascii="仿宋_GB2312" w:hAnsi="仿宋" w:eastAsia="仿宋_GB2312" w:cs="宋体"/>
          <w:sz w:val="32"/>
          <w:szCs w:val="32"/>
        </w:rPr>
        <w:t>附件6：喀什地区应急管理局安全奖励金项目支出绩效评价评分表</w:t>
      </w:r>
    </w:p>
    <w:p>
      <w:pPr>
        <w:spacing w:beforeLines="50" w:line="600" w:lineRule="exact"/>
        <w:ind w:firstLine="640" w:firstLineChars="200"/>
        <w:rPr>
          <w:rFonts w:ascii="仿宋_GB2312" w:hAnsi="仿宋" w:eastAsia="仿宋_GB2312" w:cs="宋体"/>
          <w:sz w:val="32"/>
          <w:szCs w:val="32"/>
        </w:rPr>
      </w:pPr>
    </w:p>
    <w:sectPr>
      <w:footerReference r:id="rId3" w:type="default"/>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
    <w:nsid w:val="3A7260C0"/>
    <w:multiLevelType w:val="multilevel"/>
    <w:tmpl w:val="3A7260C0"/>
    <w:lvl w:ilvl="0" w:tentative="0">
      <w:start w:val="1"/>
      <w:numFmt w:val="chineseCountingThousand"/>
      <w:pStyle w:val="2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4">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1"/>
  </w:num>
  <w:num w:numId="2">
    <w:abstractNumId w:val="5"/>
  </w:num>
  <w:num w:numId="3">
    <w:abstractNumId w:val="3"/>
  </w:num>
  <w:num w:numId="4">
    <w:abstractNumId w:val="2"/>
  </w:num>
  <w:num w:numId="5">
    <w:abstractNumId w:val="0"/>
  </w:num>
  <w:num w:numId="6">
    <w:abstractNumId w:val="4"/>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0"/>
  <w:drawingGridHorizontalSpacing w:val="210"/>
  <w:drawingGridVerticalSpacing w:val="158"/>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75715"/>
    <w:rsid w:val="00022413"/>
    <w:rsid w:val="00037F93"/>
    <w:rsid w:val="00042126"/>
    <w:rsid w:val="000C7EF1"/>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97A4D"/>
    <w:rsid w:val="002A1BF4"/>
    <w:rsid w:val="002B3A72"/>
    <w:rsid w:val="002C6231"/>
    <w:rsid w:val="002F7CDC"/>
    <w:rsid w:val="00324E56"/>
    <w:rsid w:val="00331AF1"/>
    <w:rsid w:val="00345A9D"/>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225F1"/>
    <w:rsid w:val="00531253"/>
    <w:rsid w:val="00540B36"/>
    <w:rsid w:val="00563E06"/>
    <w:rsid w:val="0058554B"/>
    <w:rsid w:val="00596DDF"/>
    <w:rsid w:val="005B6EAB"/>
    <w:rsid w:val="005D7AC7"/>
    <w:rsid w:val="00630E69"/>
    <w:rsid w:val="006362B2"/>
    <w:rsid w:val="0065420A"/>
    <w:rsid w:val="006869EC"/>
    <w:rsid w:val="00694A44"/>
    <w:rsid w:val="006D0AA4"/>
    <w:rsid w:val="006F2513"/>
    <w:rsid w:val="006F64CB"/>
    <w:rsid w:val="007161B2"/>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82B10"/>
    <w:rsid w:val="009C0267"/>
    <w:rsid w:val="009E5354"/>
    <w:rsid w:val="00A10F1E"/>
    <w:rsid w:val="00A12A0C"/>
    <w:rsid w:val="00A365D5"/>
    <w:rsid w:val="00A41DB8"/>
    <w:rsid w:val="00A43094"/>
    <w:rsid w:val="00A53361"/>
    <w:rsid w:val="00A5786D"/>
    <w:rsid w:val="00A60191"/>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352CC"/>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EA204A"/>
    <w:rsid w:val="00EF7B48"/>
    <w:rsid w:val="00F0780F"/>
    <w:rsid w:val="00F16D54"/>
    <w:rsid w:val="00F6015C"/>
    <w:rsid w:val="00F75715"/>
    <w:rsid w:val="00FB2E2F"/>
    <w:rsid w:val="00FD300A"/>
    <w:rsid w:val="00FF137F"/>
    <w:rsid w:val="00FF6959"/>
    <w:rsid w:val="00FF6C14"/>
    <w:rsid w:val="01BE6316"/>
    <w:rsid w:val="15EC079D"/>
    <w:rsid w:val="217F35A7"/>
    <w:rsid w:val="226146E7"/>
    <w:rsid w:val="24E73B1F"/>
    <w:rsid w:val="26F03C06"/>
    <w:rsid w:val="27367C06"/>
    <w:rsid w:val="2A547683"/>
    <w:rsid w:val="33214DC5"/>
    <w:rsid w:val="37A72A2C"/>
    <w:rsid w:val="3BDF4DAF"/>
    <w:rsid w:val="53261C64"/>
    <w:rsid w:val="57964064"/>
    <w:rsid w:val="581A0871"/>
    <w:rsid w:val="5AA607CB"/>
    <w:rsid w:val="667765BF"/>
    <w:rsid w:val="6F6E0ABE"/>
    <w:rsid w:val="7775238E"/>
    <w:rsid w:val="7A8638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3">
    <w:name w:val="heading 1"/>
    <w:basedOn w:val="1"/>
    <w:next w:val="1"/>
    <w:link w:val="16"/>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link w:val="32"/>
    <w:semiHidden/>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toc 3"/>
    <w:basedOn w:val="1"/>
    <w:next w:val="1"/>
    <w:semiHidden/>
    <w:unhideWhenUsed/>
    <w:qFormat/>
    <w:uiPriority w:val="39"/>
    <w:rPr>
      <w:rFonts w:eastAsia="仿宋_GB2312"/>
      <w:sz w:val="28"/>
    </w:rPr>
  </w:style>
  <w:style w:type="paragraph" w:styleId="6">
    <w:name w:val="Balloon Text"/>
    <w:basedOn w:val="1"/>
    <w:link w:val="20"/>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rPr>
      <w:rFonts w:eastAsia="仿宋_GB2312"/>
      <w:sz w:val="28"/>
    </w:rPr>
  </w:style>
  <w:style w:type="paragraph" w:styleId="10">
    <w:name w:val="toc 2"/>
    <w:basedOn w:val="1"/>
    <w:next w:val="1"/>
    <w:unhideWhenUsed/>
    <w:qFormat/>
    <w:uiPriority w:val="39"/>
    <w:rPr>
      <w:rFonts w:eastAsia="仿宋_GB2312"/>
      <w:sz w:val="2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5">
    <w:name w:val="Hyperlink"/>
    <w:basedOn w:val="14"/>
    <w:unhideWhenUsed/>
    <w:qFormat/>
    <w:uiPriority w:val="99"/>
    <w:rPr>
      <w:color w:val="0563C1" w:themeColor="hyperlink"/>
      <w:u w:val="single"/>
    </w:rPr>
  </w:style>
  <w:style w:type="character" w:customStyle="1" w:styleId="16">
    <w:name w:val="标题 1 Char"/>
    <w:basedOn w:val="14"/>
    <w:link w:val="3"/>
    <w:qFormat/>
    <w:uiPriority w:val="9"/>
    <w:rPr>
      <w:rFonts w:ascii="Times New Roman" w:hAnsi="Times New Roman" w:eastAsia="黑体" w:cs="Arial"/>
      <w:b/>
      <w:bCs/>
      <w:kern w:val="44"/>
      <w:sz w:val="28"/>
      <w:szCs w:val="44"/>
    </w:rPr>
  </w:style>
  <w:style w:type="paragraph" w:styleId="17">
    <w:name w:val="List Paragraph"/>
    <w:basedOn w:val="1"/>
    <w:qFormat/>
    <w:uiPriority w:val="34"/>
    <w:pPr>
      <w:ind w:firstLine="420" w:firstLineChars="200"/>
    </w:pPr>
  </w:style>
  <w:style w:type="character" w:customStyle="1" w:styleId="18">
    <w:name w:val="页眉 Char"/>
    <w:basedOn w:val="14"/>
    <w:link w:val="8"/>
    <w:qFormat/>
    <w:uiPriority w:val="99"/>
    <w:rPr>
      <w:sz w:val="18"/>
      <w:szCs w:val="18"/>
    </w:rPr>
  </w:style>
  <w:style w:type="character" w:customStyle="1" w:styleId="19">
    <w:name w:val="页脚 Char"/>
    <w:basedOn w:val="14"/>
    <w:link w:val="7"/>
    <w:qFormat/>
    <w:uiPriority w:val="99"/>
    <w:rPr>
      <w:sz w:val="18"/>
      <w:szCs w:val="18"/>
    </w:rPr>
  </w:style>
  <w:style w:type="character" w:customStyle="1" w:styleId="20">
    <w:name w:val="批注框文本 Char"/>
    <w:basedOn w:val="14"/>
    <w:link w:val="6"/>
    <w:semiHidden/>
    <w:qFormat/>
    <w:uiPriority w:val="99"/>
    <w:rPr>
      <w:sz w:val="18"/>
      <w:szCs w:val="18"/>
    </w:rPr>
  </w:style>
  <w:style w:type="paragraph" w:customStyle="1" w:styleId="21">
    <w:name w:val="标题1"/>
    <w:basedOn w:val="3"/>
    <w:qFormat/>
    <w:uiPriority w:val="0"/>
    <w:pPr>
      <w:spacing w:before="120" w:after="120" w:line="500" w:lineRule="exact"/>
      <w:ind w:firstLine="200" w:firstLineChars="200"/>
    </w:pPr>
    <w:rPr>
      <w:rFonts w:cs="Times New Roman"/>
      <w:sz w:val="32"/>
      <w:szCs w:val="32"/>
    </w:rPr>
  </w:style>
  <w:style w:type="character" w:customStyle="1" w:styleId="22">
    <w:name w:val="标题 2 Char"/>
    <w:basedOn w:val="14"/>
    <w:link w:val="4"/>
    <w:qFormat/>
    <w:uiPriority w:val="9"/>
    <w:rPr>
      <w:rFonts w:asciiTheme="majorHAnsi" w:hAnsiTheme="majorHAnsi" w:eastAsiaTheme="majorEastAsia" w:cstheme="majorBidi"/>
      <w:b/>
      <w:bCs/>
      <w:sz w:val="32"/>
      <w:szCs w:val="32"/>
    </w:rPr>
  </w:style>
  <w:style w:type="paragraph" w:customStyle="1" w:styleId="23">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24">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5">
    <w:name w:val="闻政正文 Char"/>
    <w:link w:val="26"/>
    <w:qFormat/>
    <w:uiPriority w:val="0"/>
    <w:rPr>
      <w:rFonts w:ascii="Times New Roman" w:hAnsi="Times New Roman" w:eastAsia="仿宋_GB2312" w:cs="Times New Roman"/>
      <w:sz w:val="28"/>
      <w:szCs w:val="28"/>
    </w:rPr>
  </w:style>
  <w:style w:type="paragraph" w:customStyle="1" w:styleId="26">
    <w:name w:val="闻政正文"/>
    <w:basedOn w:val="1"/>
    <w:link w:val="25"/>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7">
    <w:name w:val="闻政表 Char"/>
    <w:link w:val="28"/>
    <w:qFormat/>
    <w:uiPriority w:val="0"/>
    <w:rPr>
      <w:rFonts w:ascii="Times New Roman" w:hAnsi="Times New Roman" w:eastAsia="仿宋_GB2312" w:cs="Times New Roman"/>
      <w:b/>
      <w:sz w:val="24"/>
      <w:szCs w:val="28"/>
    </w:rPr>
  </w:style>
  <w:style w:type="paragraph" w:customStyle="1" w:styleId="28">
    <w:name w:val="闻政表"/>
    <w:basedOn w:val="1"/>
    <w:link w:val="27"/>
    <w:qFormat/>
    <w:uiPriority w:val="0"/>
    <w:pPr>
      <w:spacing w:before="60" w:after="60"/>
      <w:jc w:val="center"/>
    </w:pPr>
    <w:rPr>
      <w:rFonts w:ascii="Times New Roman" w:hAnsi="Times New Roman" w:eastAsia="仿宋_GB2312" w:cs="Times New Roman"/>
      <w:b/>
      <w:sz w:val="24"/>
      <w:szCs w:val="28"/>
    </w:rPr>
  </w:style>
  <w:style w:type="paragraph" w:customStyle="1" w:styleId="29">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0">
    <w:name w:val="闻政标题3 Char"/>
    <w:link w:val="31"/>
    <w:qFormat/>
    <w:uiPriority w:val="0"/>
    <w:rPr>
      <w:rFonts w:ascii="黑体" w:hAnsi="黑体" w:eastAsia="黑体" w:cs="Times New Roman"/>
      <w:bCs/>
      <w:sz w:val="32"/>
      <w:szCs w:val="32"/>
    </w:rPr>
  </w:style>
  <w:style w:type="paragraph" w:customStyle="1" w:styleId="31">
    <w:name w:val="闻政标题3"/>
    <w:basedOn w:val="2"/>
    <w:link w:val="30"/>
    <w:qFormat/>
    <w:uiPriority w:val="99"/>
    <w:pPr>
      <w:spacing w:before="120" w:after="60" w:line="500" w:lineRule="exact"/>
      <w:jc w:val="left"/>
      <w:outlineLvl w:val="0"/>
    </w:pPr>
    <w:rPr>
      <w:rFonts w:ascii="黑体" w:hAnsi="黑体" w:eastAsia="黑体" w:cs="Times New Roman"/>
      <w:b w:val="0"/>
    </w:rPr>
  </w:style>
  <w:style w:type="character" w:customStyle="1" w:styleId="32">
    <w:name w:val="标题 3 Char"/>
    <w:basedOn w:val="14"/>
    <w:link w:val="2"/>
    <w:semiHidden/>
    <w:qFormat/>
    <w:uiPriority w:val="9"/>
    <w:rPr>
      <w:b/>
      <w:bCs/>
      <w:sz w:val="32"/>
      <w:szCs w:val="32"/>
    </w:rPr>
  </w:style>
  <w:style w:type="paragraph" w:customStyle="1" w:styleId="33">
    <w:name w:val="Body text|1"/>
    <w:basedOn w:val="1"/>
    <w:link w:val="34"/>
    <w:qFormat/>
    <w:uiPriority w:val="0"/>
    <w:pPr>
      <w:spacing w:after="40" w:line="334" w:lineRule="auto"/>
    </w:pPr>
    <w:rPr>
      <w:rFonts w:ascii="MingLiU" w:hAnsi="MingLiU" w:eastAsia="MingLiU" w:cs="MingLiU"/>
      <w:sz w:val="20"/>
      <w:szCs w:val="20"/>
      <w:lang w:val="zh-TW" w:eastAsia="zh-TW" w:bidi="zh-TW"/>
    </w:rPr>
  </w:style>
  <w:style w:type="character" w:customStyle="1" w:styleId="34">
    <w:name w:val="Body text|1_"/>
    <w:basedOn w:val="14"/>
    <w:link w:val="33"/>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77839E-A90E-4751-BF6D-35FEC7C371F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528</Words>
  <Characters>3013</Characters>
  <Lines>25</Lines>
  <Paragraphs>7</Paragraphs>
  <TotalTime>10</TotalTime>
  <ScaleCrop>false</ScaleCrop>
  <LinksUpToDate>false</LinksUpToDate>
  <CharactersWithSpaces>3534</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lenovo</cp:lastModifiedBy>
  <dcterms:modified xsi:type="dcterms:W3CDTF">2025-12-25T10:31:12Z</dcterms:modified>
  <dc:title>新疆普天鹏华商务信息咨询有限公司</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