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B29159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喀什地区交通职工教育培训中心2024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72C761">
      <w:r>
        <w:br w:type="page"/>
      </w:r>
    </w:p>
    <w:p w14:paraId="601E479D">
      <w:pPr>
        <w:spacing w:line="640" w:lineRule="exact"/>
        <w:jc w:val="center"/>
        <w:outlineLvl w:val="1"/>
      </w:pPr>
      <w:r>
        <w:rPr>
          <w:rFonts w:ascii="黑体" w:hAnsi="黑体" w:eastAsia="黑体"/>
          <w:sz w:val="32"/>
        </w:rPr>
        <w:t>第一部分 部门概况</w:t>
      </w:r>
    </w:p>
    <w:p w14:paraId="3875FFC1">
      <w:pPr>
        <w:spacing w:line="640" w:lineRule="exact"/>
        <w:ind w:firstLine="640"/>
        <w:jc w:val="both"/>
        <w:outlineLvl w:val="2"/>
      </w:pPr>
      <w:r>
        <w:rPr>
          <w:rFonts w:ascii="黑体" w:hAnsi="黑体" w:eastAsia="黑体"/>
          <w:sz w:val="32"/>
        </w:rPr>
        <w:t>一、主要职能</w:t>
      </w:r>
    </w:p>
    <w:p w14:paraId="11E0F9F9">
      <w:pPr>
        <w:spacing w:line="580" w:lineRule="exact"/>
        <w:ind w:firstLine="640"/>
        <w:jc w:val="both"/>
      </w:pPr>
      <w:r>
        <w:rPr>
          <w:rFonts w:ascii="仿宋_GB2312" w:hAnsi="仿宋_GB2312" w:eastAsia="仿宋_GB2312"/>
          <w:sz w:val="32"/>
        </w:rPr>
        <w:t>负责本地区交通系统所属单位职工的培训；授权承担南疆片区交通系统所属单位的职工培训，授权承担国贫县交通部门的职工培训；开展汽车驾驶员技术培训；开展交通培训远程教育，承接上级委托的电大、电视中专教育培训任务。</w:t>
      </w:r>
    </w:p>
    <w:p w14:paraId="5B02B9D7">
      <w:pPr>
        <w:spacing w:line="640" w:lineRule="exact"/>
        <w:ind w:firstLine="640"/>
        <w:jc w:val="both"/>
        <w:outlineLvl w:val="2"/>
      </w:pPr>
      <w:r>
        <w:rPr>
          <w:rFonts w:ascii="黑体" w:hAnsi="黑体" w:eastAsia="黑体"/>
          <w:sz w:val="32"/>
        </w:rPr>
        <w:t>二、机构设置及人员情况</w:t>
      </w:r>
    </w:p>
    <w:p w14:paraId="36116165">
      <w:pPr>
        <w:spacing w:line="580" w:lineRule="exact"/>
        <w:ind w:firstLine="640"/>
        <w:jc w:val="both"/>
      </w:pPr>
      <w:r>
        <w:rPr>
          <w:rFonts w:ascii="仿宋_GB2312" w:hAnsi="仿宋_GB2312" w:eastAsia="仿宋_GB2312"/>
          <w:sz w:val="32"/>
        </w:rPr>
        <w:t>喀什地区交通职工教育培训中心2024年度，实有人数3人，其中：在职人员3人，增加0人；离休人员0人，增加0人；退休人员0人,增加0人。</w:t>
      </w:r>
    </w:p>
    <w:p w14:paraId="64F1F5B8">
      <w:pPr>
        <w:spacing w:line="580" w:lineRule="exact"/>
        <w:ind w:firstLine="640"/>
        <w:jc w:val="both"/>
      </w:pPr>
      <w:r>
        <w:rPr>
          <w:rFonts w:ascii="仿宋_GB2312" w:hAnsi="仿宋_GB2312" w:eastAsia="仿宋_GB2312"/>
          <w:sz w:val="32"/>
        </w:rPr>
        <w:t>喀什地区交通职工教育培训中心无下属预算单位，下设5个科室，分别是：办公室、财务室、从业资格培训部、职业资格培训部、后勤部。</w:t>
      </w:r>
    </w:p>
    <w:p w14:paraId="2E5476E1">
      <w:r>
        <w:br w:type="page"/>
      </w:r>
    </w:p>
    <w:p w14:paraId="0414EFAD">
      <w:pPr>
        <w:spacing w:line="240" w:lineRule="auto"/>
        <w:jc w:val="center"/>
        <w:outlineLvl w:val="1"/>
      </w:pPr>
      <w:r>
        <w:rPr>
          <w:rFonts w:ascii="黑体" w:hAnsi="黑体" w:eastAsia="黑体"/>
          <w:sz w:val="32"/>
        </w:rPr>
        <w:t>第二部分 部门决算情况说明</w:t>
      </w:r>
    </w:p>
    <w:p w14:paraId="6CB3B4A0">
      <w:pPr>
        <w:spacing w:line="640" w:lineRule="exact"/>
        <w:ind w:firstLine="640"/>
        <w:jc w:val="both"/>
        <w:outlineLvl w:val="2"/>
      </w:pPr>
      <w:r>
        <w:rPr>
          <w:rFonts w:ascii="黑体" w:hAnsi="黑体" w:eastAsia="黑体"/>
          <w:sz w:val="32"/>
        </w:rPr>
        <w:t>一、收入支出决算总体情况说明</w:t>
      </w:r>
    </w:p>
    <w:p w14:paraId="341434C9">
      <w:pPr>
        <w:spacing w:line="580" w:lineRule="exact"/>
        <w:ind w:firstLine="640"/>
        <w:jc w:val="both"/>
      </w:pPr>
      <w:r>
        <w:rPr>
          <w:rFonts w:ascii="仿宋_GB2312" w:hAnsi="仿宋_GB2312" w:eastAsia="仿宋_GB2312"/>
          <w:b/>
          <w:sz w:val="32"/>
        </w:rPr>
        <w:t>2024年度收入总计112.17万元，</w:t>
      </w:r>
      <w:r>
        <w:rPr>
          <w:rFonts w:ascii="仿宋_GB2312" w:hAnsi="仿宋_GB2312" w:eastAsia="仿宋_GB2312"/>
          <w:b w:val="0"/>
          <w:sz w:val="32"/>
        </w:rPr>
        <w:t>其中：本年收入合计112.17万元，使用非财政拨款结余（含专用结余）0.00万元，年初结转和结余0.00万元。</w:t>
      </w:r>
    </w:p>
    <w:p w14:paraId="54761E55">
      <w:pPr>
        <w:spacing w:line="580" w:lineRule="exact"/>
        <w:ind w:firstLine="640"/>
        <w:jc w:val="both"/>
      </w:pPr>
      <w:r>
        <w:rPr>
          <w:rFonts w:ascii="仿宋_GB2312" w:hAnsi="仿宋_GB2312" w:eastAsia="仿宋_GB2312"/>
          <w:b/>
          <w:sz w:val="32"/>
        </w:rPr>
        <w:t>2024年度支出总计112.17万元，</w:t>
      </w:r>
      <w:r>
        <w:rPr>
          <w:rFonts w:ascii="仿宋_GB2312" w:hAnsi="仿宋_GB2312" w:eastAsia="仿宋_GB2312"/>
          <w:b w:val="0"/>
          <w:sz w:val="32"/>
        </w:rPr>
        <w:t>其中：本年支出合计112.17万元，结余分配0.00万元，年末结转和结余0.00万元。</w:t>
      </w:r>
    </w:p>
    <w:p w14:paraId="3D6C2A49">
      <w:pPr>
        <w:spacing w:line="580" w:lineRule="exact"/>
        <w:ind w:firstLine="640"/>
        <w:jc w:val="both"/>
      </w:pPr>
      <w:r>
        <w:rPr>
          <w:rFonts w:ascii="仿宋_GB2312" w:hAnsi="仿宋_GB2312" w:eastAsia="仿宋_GB2312"/>
          <w:b w:val="0"/>
          <w:sz w:val="32"/>
        </w:rPr>
        <w:t>收入支出总体与上年相比，减少14.26万元，下降11.28%，主要原因是：本年长聘人员减少，相关人员经费较上年减少。</w:t>
      </w:r>
    </w:p>
    <w:p w14:paraId="13634167">
      <w:pPr>
        <w:spacing w:line="640" w:lineRule="exact"/>
        <w:ind w:firstLine="640"/>
        <w:jc w:val="both"/>
        <w:outlineLvl w:val="2"/>
      </w:pPr>
      <w:r>
        <w:rPr>
          <w:rFonts w:ascii="黑体" w:hAnsi="黑体" w:eastAsia="黑体"/>
          <w:sz w:val="32"/>
        </w:rPr>
        <w:t>二、收入决算情况说明</w:t>
      </w:r>
    </w:p>
    <w:p w14:paraId="31D75184">
      <w:pPr>
        <w:spacing w:line="580" w:lineRule="exact"/>
        <w:ind w:firstLine="640"/>
        <w:jc w:val="both"/>
      </w:pPr>
      <w:r>
        <w:rPr>
          <w:rFonts w:ascii="仿宋_GB2312" w:hAnsi="仿宋_GB2312" w:eastAsia="仿宋_GB2312"/>
          <w:b/>
          <w:sz w:val="32"/>
        </w:rPr>
        <w:t>本年收入112.17万元，</w:t>
      </w:r>
      <w:r>
        <w:rPr>
          <w:rFonts w:ascii="仿宋_GB2312" w:hAnsi="仿宋_GB2312" w:eastAsia="仿宋_GB2312"/>
          <w:b w:val="0"/>
          <w:sz w:val="32"/>
        </w:rPr>
        <w:t>其中：财政拨款收入112.17万元，占100.00%；上级补助收入0.00万元，占0.00%；事业收入0.00万元，占0.00%；经营收入0.00万元，占0.00%；附属单位上缴收入0.00万元，占0.00%；其他收入0.00万元，占0.00%。</w:t>
      </w:r>
    </w:p>
    <w:p w14:paraId="45953871">
      <w:pPr>
        <w:spacing w:line="640" w:lineRule="exact"/>
        <w:ind w:firstLine="640"/>
        <w:jc w:val="both"/>
        <w:outlineLvl w:val="2"/>
      </w:pPr>
      <w:r>
        <w:rPr>
          <w:rFonts w:ascii="黑体" w:hAnsi="黑体" w:eastAsia="黑体"/>
          <w:sz w:val="32"/>
        </w:rPr>
        <w:t>三、支出决算情况说明</w:t>
      </w:r>
    </w:p>
    <w:p w14:paraId="45E73D8A">
      <w:pPr>
        <w:spacing w:line="580" w:lineRule="exact"/>
        <w:ind w:firstLine="640"/>
        <w:jc w:val="both"/>
      </w:pPr>
      <w:r>
        <w:rPr>
          <w:rFonts w:ascii="仿宋_GB2312" w:hAnsi="仿宋_GB2312" w:eastAsia="仿宋_GB2312"/>
          <w:b/>
          <w:sz w:val="32"/>
        </w:rPr>
        <w:t>本年支出112.17万元，</w:t>
      </w:r>
      <w:r>
        <w:rPr>
          <w:rFonts w:ascii="仿宋_GB2312" w:hAnsi="仿宋_GB2312" w:eastAsia="仿宋_GB2312"/>
          <w:b w:val="0"/>
          <w:sz w:val="32"/>
        </w:rPr>
        <w:t>其中：基本支出107.17万元，占95.54%；项目支出5.00万元，占4.46%；上缴上级支出0.00万元，占0.00%；经营支出0.00万元，占0.00%；对附属单位补助支出0.00万元，占0.00%。</w:t>
      </w:r>
    </w:p>
    <w:p w14:paraId="09675122">
      <w:pPr>
        <w:spacing w:line="640" w:lineRule="exact"/>
        <w:ind w:firstLine="640"/>
        <w:jc w:val="both"/>
        <w:outlineLvl w:val="2"/>
      </w:pPr>
      <w:r>
        <w:rPr>
          <w:rFonts w:ascii="黑体" w:hAnsi="黑体" w:eastAsia="黑体"/>
          <w:sz w:val="32"/>
        </w:rPr>
        <w:t>四、财政拨款收入支出决算总体情况说明</w:t>
      </w:r>
    </w:p>
    <w:p w14:paraId="29BB36B2">
      <w:pPr>
        <w:spacing w:line="580" w:lineRule="exact"/>
        <w:ind w:firstLine="640"/>
        <w:jc w:val="both"/>
      </w:pPr>
      <w:r>
        <w:rPr>
          <w:rFonts w:ascii="仿宋_GB2312" w:hAnsi="仿宋_GB2312" w:eastAsia="仿宋_GB2312"/>
          <w:b/>
          <w:sz w:val="32"/>
        </w:rPr>
        <w:t>2024年度财政拨款收入总计112.17万元，</w:t>
      </w:r>
      <w:r>
        <w:rPr>
          <w:rFonts w:ascii="仿宋_GB2312" w:hAnsi="仿宋_GB2312" w:eastAsia="仿宋_GB2312"/>
          <w:b w:val="0"/>
          <w:sz w:val="32"/>
        </w:rPr>
        <w:t>其中：年初财政拨款结转和结余0.00万元，本年财政拨款收入112.17万元。</w:t>
      </w:r>
      <w:r>
        <w:rPr>
          <w:rFonts w:ascii="仿宋_GB2312" w:hAnsi="仿宋_GB2312" w:eastAsia="仿宋_GB2312"/>
          <w:b/>
          <w:sz w:val="32"/>
        </w:rPr>
        <w:t>财政拨款支出总计112.17万元，</w:t>
      </w:r>
      <w:r>
        <w:rPr>
          <w:rFonts w:ascii="仿宋_GB2312" w:hAnsi="仿宋_GB2312" w:eastAsia="仿宋_GB2312"/>
          <w:b w:val="0"/>
          <w:sz w:val="32"/>
        </w:rPr>
        <w:t>其中：年末财政拨款结转和结余0.00万元，本年财政拨款支出112.17万元。</w:t>
      </w:r>
    </w:p>
    <w:p w14:paraId="002B3B1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减少14.26万元，下降11.28%，主要原因是：本年长聘人员减少，相关人员经费较上年减少。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年初预算数121.31万元，决算数112.17万元，预决算差异率-7.53%，主要原因是：本年长聘人员减少，年中调减相关人员经费。</w:t>
      </w:r>
    </w:p>
    <w:p w14:paraId="56703820">
      <w:pPr>
        <w:spacing w:line="640" w:lineRule="exact"/>
        <w:ind w:firstLine="640"/>
        <w:jc w:val="both"/>
        <w:outlineLvl w:val="2"/>
      </w:pPr>
      <w:r>
        <w:rPr>
          <w:rFonts w:ascii="黑体" w:hAnsi="黑体" w:eastAsia="黑体"/>
          <w:sz w:val="32"/>
        </w:rPr>
        <w:t>五、一般公共预算财政拨款支出决算情况说明</w:t>
      </w:r>
    </w:p>
    <w:p w14:paraId="52FBAE2D">
      <w:pPr>
        <w:spacing w:line="640" w:lineRule="exact"/>
        <w:ind w:firstLine="640"/>
        <w:jc w:val="both"/>
        <w:outlineLvl w:val="3"/>
      </w:pPr>
      <w:r>
        <w:rPr>
          <w:rFonts w:ascii="楷体_GB2312" w:hAnsi="楷体_GB2312" w:eastAsia="楷体_GB2312"/>
          <w:b/>
          <w:sz w:val="32"/>
        </w:rPr>
        <w:t>（一）一般公共预算财政拨款支出决算总体情况</w:t>
      </w:r>
    </w:p>
    <w:p w14:paraId="6D132F57">
      <w:pPr>
        <w:spacing w:line="580" w:lineRule="exact"/>
        <w:ind w:firstLine="640"/>
        <w:jc w:val="both"/>
      </w:pPr>
      <w:r>
        <w:rPr>
          <w:rFonts w:ascii="仿宋_GB2312" w:hAnsi="仿宋_GB2312" w:eastAsia="仿宋_GB2312"/>
          <w:b/>
          <w:sz w:val="32"/>
        </w:rPr>
        <w:t>2024年度一般公共预算财政拨款支出112.17万元，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减少14.26万元，下降11.28%，主要原因是：本年长聘人员减少，相关人员经费较上年减少。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年初预算数121.31万元，决算数112.17万元，预决算差异率-7.53%，主要原因是：本年长聘人员减少，年中调减相关人员经费。</w:t>
      </w:r>
    </w:p>
    <w:p w14:paraId="25D1D66A">
      <w:pPr>
        <w:spacing w:line="640" w:lineRule="exact"/>
        <w:ind w:firstLine="640"/>
        <w:jc w:val="both"/>
        <w:outlineLvl w:val="3"/>
      </w:pPr>
      <w:r>
        <w:rPr>
          <w:rFonts w:ascii="楷体_GB2312" w:hAnsi="楷体_GB2312" w:eastAsia="楷体_GB2312"/>
          <w:b/>
          <w:sz w:val="32"/>
        </w:rPr>
        <w:t>（二）一般公共预算财政拨款支出决算结构情况</w:t>
      </w:r>
    </w:p>
    <w:p w14:paraId="1BCDD3AE">
      <w:pPr>
        <w:spacing w:line="580" w:lineRule="exact"/>
        <w:ind w:firstLine="640"/>
        <w:jc w:val="both"/>
      </w:pPr>
      <w:r>
        <w:rPr>
          <w:rFonts w:ascii="仿宋_GB2312" w:hAnsi="仿宋_GB2312" w:eastAsia="仿宋_GB2312"/>
          <w:b w:val="0"/>
          <w:sz w:val="32"/>
        </w:rPr>
        <w:t>1.社会保障和就业支出(类)5.13万元,占4.57%。</w:t>
      </w:r>
    </w:p>
    <w:p w14:paraId="7E04BFA6">
      <w:pPr>
        <w:spacing w:line="580" w:lineRule="exact"/>
        <w:ind w:firstLine="640"/>
        <w:jc w:val="both"/>
      </w:pPr>
      <w:r>
        <w:rPr>
          <w:rFonts w:ascii="仿宋_GB2312" w:hAnsi="仿宋_GB2312" w:eastAsia="仿宋_GB2312"/>
          <w:b w:val="0"/>
          <w:sz w:val="32"/>
        </w:rPr>
        <w:t>2.卫生健康支出(类)2.18万元,占1.94%。</w:t>
      </w:r>
    </w:p>
    <w:p w14:paraId="79A840B5">
      <w:pPr>
        <w:spacing w:line="580" w:lineRule="exact"/>
        <w:ind w:firstLine="640"/>
        <w:jc w:val="both"/>
      </w:pPr>
      <w:r>
        <w:rPr>
          <w:rFonts w:ascii="仿宋_GB2312" w:hAnsi="仿宋_GB2312" w:eastAsia="仿宋_GB2312"/>
          <w:b w:val="0"/>
          <w:sz w:val="32"/>
        </w:rPr>
        <w:t>3.交通运输支出(类)100.45万元,占89.55%。</w:t>
      </w:r>
    </w:p>
    <w:p w14:paraId="1A5D0FD1">
      <w:pPr>
        <w:spacing w:line="580" w:lineRule="exact"/>
        <w:ind w:firstLine="640"/>
        <w:jc w:val="both"/>
      </w:pPr>
      <w:r>
        <w:rPr>
          <w:rFonts w:ascii="仿宋_GB2312" w:hAnsi="仿宋_GB2312" w:eastAsia="仿宋_GB2312"/>
          <w:b w:val="0"/>
          <w:sz w:val="32"/>
        </w:rPr>
        <w:t>4.住房保障支出(类)4.40万元,占3.92%。</w:t>
      </w:r>
    </w:p>
    <w:p w14:paraId="67822DC6">
      <w:pPr>
        <w:spacing w:line="640" w:lineRule="exact"/>
        <w:ind w:firstLine="640"/>
        <w:jc w:val="both"/>
        <w:outlineLvl w:val="3"/>
      </w:pPr>
      <w:r>
        <w:rPr>
          <w:rFonts w:ascii="楷体_GB2312" w:hAnsi="楷体_GB2312" w:eastAsia="楷体_GB2312"/>
          <w:b/>
          <w:sz w:val="32"/>
        </w:rPr>
        <w:t>（三）一般公共预算财政拨款支出决算具体情况</w:t>
      </w:r>
    </w:p>
    <w:p w14:paraId="1A4B1102">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5.13万元，比上年决算增加0.34万元，增长7.10%,主要原因是：本年在职人员工资基数调增，养老缴费基数上涨，相应支出增加。</w:t>
      </w:r>
    </w:p>
    <w:p w14:paraId="7D267F50">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0.00万元，比上年决算减少2.40万元，下降100.00%,主要原因是：本年新增辞职人员较上年减少，减少职业年金缴费支出。</w:t>
      </w:r>
    </w:p>
    <w:p w14:paraId="678C2E7E">
      <w:pPr>
        <w:spacing w:line="580" w:lineRule="exact"/>
        <w:ind w:firstLine="640"/>
        <w:jc w:val="both"/>
      </w:pPr>
      <w:r>
        <w:rPr>
          <w:rFonts w:ascii="仿宋_GB2312" w:hAnsi="仿宋_GB2312" w:eastAsia="仿宋_GB2312"/>
          <w:b w:val="0"/>
          <w:sz w:val="32"/>
        </w:rPr>
        <w:t>3.卫生健康支出(类)行政事业单位医疗(款)事业单位医疗(项):支出决算数为2.18万元，比上年决算增加0.14万元，增长6.86%,主要原因是：本年在职人员工资基数调增，医疗缴费基数上涨，相应支出增加。</w:t>
      </w:r>
    </w:p>
    <w:p w14:paraId="6CC13CFF">
      <w:pPr>
        <w:spacing w:line="580" w:lineRule="exact"/>
        <w:ind w:firstLine="640"/>
        <w:jc w:val="both"/>
      </w:pPr>
      <w:r>
        <w:rPr>
          <w:rFonts w:ascii="仿宋_GB2312" w:hAnsi="仿宋_GB2312" w:eastAsia="仿宋_GB2312"/>
          <w:b w:val="0"/>
          <w:sz w:val="32"/>
        </w:rPr>
        <w:t>4.交通运输支出(类)公路水路运输(款)其他公路水路运输支出(项):支出决算数为100.45万元，比上年决算减少12.76万元，下降11.27%,主要原因是：本年长聘人员减少，相关人员经费较上年减少。</w:t>
      </w:r>
    </w:p>
    <w:p w14:paraId="1297417D">
      <w:pPr>
        <w:spacing w:line="580" w:lineRule="exact"/>
        <w:ind w:firstLine="640"/>
        <w:jc w:val="both"/>
      </w:pPr>
      <w:r>
        <w:rPr>
          <w:rFonts w:ascii="仿宋_GB2312" w:hAnsi="仿宋_GB2312" w:eastAsia="仿宋_GB2312"/>
          <w:b w:val="0"/>
          <w:sz w:val="32"/>
        </w:rPr>
        <w:t>5.住房保障支出(类)住房改革支出(款)住房公积金(项):支出决算数为4.40万元，比上年决算增加0.40万元，增长10.00%,主要原因是：本年在职人员工资基数调增，公积金缴费基数上涨，相应支出增加。</w:t>
      </w:r>
    </w:p>
    <w:p w14:paraId="7ED85E31">
      <w:pPr>
        <w:spacing w:line="640" w:lineRule="exact"/>
        <w:ind w:firstLine="640"/>
        <w:jc w:val="both"/>
        <w:outlineLvl w:val="2"/>
      </w:pPr>
      <w:r>
        <w:rPr>
          <w:rFonts w:ascii="黑体" w:hAnsi="黑体" w:eastAsia="黑体"/>
          <w:sz w:val="32"/>
        </w:rPr>
        <w:t>六、一般公共预算财政拨款基本支出决算情况说明</w:t>
      </w:r>
    </w:p>
    <w:p w14:paraId="152080B1">
      <w:pPr>
        <w:spacing w:line="580" w:lineRule="exact"/>
        <w:ind w:firstLine="640"/>
        <w:jc w:val="both"/>
      </w:pPr>
      <w:r>
        <w:rPr>
          <w:rFonts w:ascii="仿宋_GB2312" w:hAnsi="仿宋_GB2312" w:eastAsia="仿宋_GB2312"/>
          <w:b w:val="0"/>
          <w:sz w:val="32"/>
        </w:rPr>
        <w:t>2024年度一般公共预算财政拨款基本支出107.17万元，其中：</w:t>
      </w:r>
      <w:r>
        <w:rPr>
          <w:rFonts w:ascii="仿宋_GB2312" w:hAnsi="仿宋_GB2312" w:eastAsia="仿宋_GB2312"/>
          <w:b/>
          <w:sz w:val="32"/>
        </w:rPr>
        <w:t>人员经费104.92万元，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w:t>
      </w:r>
    </w:p>
    <w:p w14:paraId="5E0CCF88">
      <w:pPr>
        <w:spacing w:line="580" w:lineRule="exact"/>
        <w:ind w:firstLine="640"/>
        <w:jc w:val="both"/>
      </w:pPr>
      <w:r>
        <w:rPr>
          <w:rFonts w:ascii="仿宋_GB2312" w:hAnsi="仿宋_GB2312" w:eastAsia="仿宋_GB2312"/>
          <w:b/>
          <w:sz w:val="32"/>
        </w:rPr>
        <w:t>公用经费2.24万元，</w:t>
      </w:r>
      <w:r>
        <w:rPr>
          <w:rFonts w:ascii="仿宋_GB2312" w:hAnsi="仿宋_GB2312" w:eastAsia="仿宋_GB2312"/>
          <w:b w:val="0"/>
          <w:sz w:val="32"/>
        </w:rPr>
        <w:t>包括：办公费、电费、邮电费、取暖费、专用材料费、公务用车运行维护费。</w:t>
      </w:r>
    </w:p>
    <w:p w14:paraId="5AA01695">
      <w:pPr>
        <w:spacing w:line="640" w:lineRule="exact"/>
        <w:ind w:firstLine="640"/>
        <w:jc w:val="both"/>
        <w:outlineLvl w:val="2"/>
      </w:pPr>
      <w:r>
        <w:rPr>
          <w:rFonts w:ascii="黑体" w:hAnsi="黑体" w:eastAsia="黑体"/>
          <w:sz w:val="32"/>
        </w:rPr>
        <w:t>七、政府性基金预算财政拨款收入支出决算情况说明</w:t>
      </w:r>
    </w:p>
    <w:p w14:paraId="020CCBB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12E10F8">
      <w:pPr>
        <w:spacing w:line="640" w:lineRule="exact"/>
        <w:ind w:firstLine="640"/>
        <w:jc w:val="both"/>
        <w:outlineLvl w:val="2"/>
      </w:pPr>
      <w:r>
        <w:rPr>
          <w:rFonts w:ascii="黑体" w:hAnsi="黑体" w:eastAsia="黑体"/>
          <w:sz w:val="32"/>
        </w:rPr>
        <w:t>八、国有资本经营预算财政拨款收入支出决算情况说明</w:t>
      </w:r>
    </w:p>
    <w:p w14:paraId="42DC9FC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AC19D8D">
      <w:pPr>
        <w:spacing w:line="640" w:lineRule="exact"/>
        <w:ind w:firstLine="640"/>
        <w:jc w:val="both"/>
        <w:outlineLvl w:val="2"/>
      </w:pPr>
      <w:r>
        <w:rPr>
          <w:rFonts w:ascii="黑体" w:hAnsi="黑体" w:eastAsia="黑体"/>
          <w:sz w:val="32"/>
        </w:rPr>
        <w:t>九、财政拨款“三公”经费支出决算情况说明</w:t>
      </w:r>
    </w:p>
    <w:p w14:paraId="6C83CFBC">
      <w:pPr>
        <w:spacing w:line="580" w:lineRule="exact"/>
        <w:ind w:firstLine="640"/>
        <w:jc w:val="both"/>
      </w:pPr>
      <w:r>
        <w:rPr>
          <w:rFonts w:ascii="仿宋_GB2312" w:hAnsi="仿宋_GB2312" w:eastAsia="仿宋_GB2312"/>
          <w:b/>
          <w:sz w:val="32"/>
        </w:rPr>
        <w:t>2024年度财政拨款“三公”经费支出0.49万元，</w:t>
      </w:r>
      <w:r>
        <w:rPr>
          <w:rFonts w:ascii="仿宋_GB2312" w:hAnsi="仿宋_GB2312" w:eastAsia="仿宋_GB2312"/>
          <w:b w:val="0"/>
          <w:sz w:val="32"/>
        </w:rPr>
        <w:t>比上年增加0.24万元，增长96.00%，主要原因是：本部门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0.49万元，占100.00%，比上年增加0.24万元，增长96.00%，主要原因是：本部门公务用车日渐老化，维修维护成本增加，导致公务用车运行维护费较上年增加。公务接待费支出0.00万元，占0.00%，比上年增加0.00万元，增长0.00%，主要原因是：2023年与2024年均未安排公务接待费支出。</w:t>
      </w:r>
    </w:p>
    <w:p w14:paraId="0F67E3BE">
      <w:pPr>
        <w:spacing w:line="580" w:lineRule="exact"/>
        <w:ind w:firstLine="640"/>
        <w:jc w:val="both"/>
      </w:pPr>
      <w:r>
        <w:rPr>
          <w:rFonts w:ascii="仿宋_GB2312" w:hAnsi="仿宋_GB2312" w:eastAsia="仿宋_GB2312"/>
          <w:b/>
          <w:sz w:val="32"/>
        </w:rPr>
        <w:t>具体情况如下：</w:t>
      </w:r>
    </w:p>
    <w:p w14:paraId="55AE1034">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9BEB1D6">
      <w:pPr>
        <w:spacing w:line="580" w:lineRule="exact"/>
        <w:ind w:firstLine="640"/>
        <w:jc w:val="both"/>
      </w:pPr>
      <w:r>
        <w:rPr>
          <w:rFonts w:ascii="仿宋_GB2312" w:hAnsi="仿宋_GB2312" w:eastAsia="仿宋_GB2312"/>
          <w:b w:val="0"/>
          <w:sz w:val="32"/>
        </w:rPr>
        <w:t>公务用车购置及运行维护费0.49万元，其中：公务用车购置费0.00万元，公务用车运行维护费0.49万元。公务用车运行维护费开支内容包括车辆加油费、维修费、保险费、审车费等。公务用车购置数0辆，公务用车保有量1辆。国有资产占用情况中固定资产车辆1辆，与公务用车保有量差异原因是：本部门固定资产车辆与公务用车保有量一致无差异。</w:t>
      </w:r>
    </w:p>
    <w:p w14:paraId="5B6DAB5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CC6DC9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0.49万元，决算数0.49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0.49万元，决算数0.49万元，预决算差异率0.00%，主要原因是：严格按照预算执行，预决算无差异。公务接待费全年预算数0.00万元，决算数0.00万元，预决算差异率0.00%，主要原因是：本部门无公务接待费。</w:t>
      </w:r>
    </w:p>
    <w:p w14:paraId="14856D7D">
      <w:pPr>
        <w:spacing w:line="640" w:lineRule="exact"/>
        <w:ind w:firstLine="640"/>
        <w:jc w:val="both"/>
        <w:outlineLvl w:val="2"/>
      </w:pPr>
      <w:r>
        <w:rPr>
          <w:rFonts w:ascii="黑体" w:hAnsi="黑体" w:eastAsia="黑体"/>
          <w:sz w:val="32"/>
        </w:rPr>
        <w:t>十、其他重要事项的情况说明</w:t>
      </w:r>
    </w:p>
    <w:p w14:paraId="7DE028FA">
      <w:pPr>
        <w:spacing w:line="640" w:lineRule="exact"/>
        <w:ind w:firstLine="640"/>
        <w:jc w:val="both"/>
        <w:outlineLvl w:val="3"/>
      </w:pPr>
      <w:r>
        <w:rPr>
          <w:rFonts w:ascii="楷体_GB2312" w:hAnsi="楷体_GB2312" w:eastAsia="楷体_GB2312"/>
          <w:b/>
          <w:sz w:val="32"/>
        </w:rPr>
        <w:t>（一）机关运行经费及公用经费支出情况</w:t>
      </w:r>
    </w:p>
    <w:p w14:paraId="63424039">
      <w:pPr>
        <w:spacing w:line="580" w:lineRule="exact"/>
        <w:ind w:firstLine="640"/>
        <w:jc w:val="both"/>
      </w:pPr>
      <w:r>
        <w:rPr>
          <w:rFonts w:ascii="仿宋_GB2312" w:hAnsi="仿宋_GB2312" w:eastAsia="仿宋_GB2312"/>
          <w:b w:val="0"/>
          <w:sz w:val="32"/>
        </w:rPr>
        <w:t>2024年度喀什地区交通职工教育培训中心（事业单位）公用经费支出2.24万元，比上年增加0.46万元，增长25.84%，主要原因是：本年更新、维护补充办公用品，导致公用经费较上年增加。</w:t>
      </w:r>
    </w:p>
    <w:p w14:paraId="4F343F55">
      <w:pPr>
        <w:spacing w:line="640" w:lineRule="exact"/>
        <w:ind w:firstLine="640"/>
        <w:jc w:val="both"/>
        <w:outlineLvl w:val="3"/>
      </w:pPr>
      <w:r>
        <w:rPr>
          <w:rFonts w:ascii="楷体_GB2312" w:hAnsi="楷体_GB2312" w:eastAsia="楷体_GB2312"/>
          <w:b/>
          <w:sz w:val="32"/>
        </w:rPr>
        <w:t>（二）政府采购情况</w:t>
      </w:r>
    </w:p>
    <w:p w14:paraId="48E8FC60">
      <w:pPr>
        <w:spacing w:line="580" w:lineRule="exact"/>
        <w:ind w:firstLine="640"/>
        <w:jc w:val="both"/>
      </w:pPr>
      <w:r>
        <w:rPr>
          <w:rFonts w:ascii="仿宋_GB2312" w:hAnsi="仿宋_GB2312" w:eastAsia="仿宋_GB2312"/>
          <w:b w:val="0"/>
          <w:sz w:val="32"/>
        </w:rPr>
        <w:t>2024年度政府采购支出总额3.72万元，其中：政府采购货物支出1.67万元、政府采购工程支出0.00万元、政府采购服务支出2.05万元。</w:t>
      </w:r>
    </w:p>
    <w:p w14:paraId="6C93A702">
      <w:pPr>
        <w:spacing w:line="580" w:lineRule="exact"/>
        <w:ind w:firstLine="640"/>
        <w:jc w:val="both"/>
      </w:pPr>
      <w:r>
        <w:rPr>
          <w:rFonts w:ascii="仿宋_GB2312" w:hAnsi="仿宋_GB2312" w:eastAsia="仿宋_GB2312"/>
          <w:b w:val="0"/>
          <w:sz w:val="32"/>
        </w:rPr>
        <w:t>授予中小企业合同金额3.72万元，占政府采购支出总额的100.00%，其中：授予小微企业合同金额3.57万元，占政府采购支出总额的95.97%。</w:t>
      </w:r>
    </w:p>
    <w:p w14:paraId="22D80541">
      <w:pPr>
        <w:spacing w:line="640" w:lineRule="exact"/>
        <w:ind w:firstLine="640"/>
        <w:jc w:val="both"/>
        <w:outlineLvl w:val="3"/>
      </w:pPr>
      <w:r>
        <w:rPr>
          <w:rFonts w:ascii="楷体_GB2312" w:hAnsi="楷体_GB2312" w:eastAsia="楷体_GB2312"/>
          <w:b/>
          <w:sz w:val="32"/>
        </w:rPr>
        <w:t>（三）国有资产占用情况说明</w:t>
      </w:r>
    </w:p>
    <w:p w14:paraId="2253197C">
      <w:pPr>
        <w:spacing w:line="580" w:lineRule="exact"/>
        <w:ind w:firstLine="640"/>
        <w:jc w:val="both"/>
      </w:pPr>
      <w:r>
        <w:rPr>
          <w:rFonts w:ascii="仿宋_GB2312" w:hAnsi="仿宋_GB2312" w:eastAsia="仿宋_GB2312"/>
          <w:b w:val="0"/>
          <w:sz w:val="32"/>
        </w:rPr>
        <w:t>截至2024年12月31日，房屋1,922.59平方米，价值302.54万元。车辆1辆，价值8.48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C6E7911">
      <w:pPr>
        <w:spacing w:line="640" w:lineRule="exact"/>
        <w:ind w:firstLine="640"/>
        <w:jc w:val="both"/>
        <w:outlineLvl w:val="2"/>
      </w:pPr>
      <w:r>
        <w:rPr>
          <w:rFonts w:ascii="黑体" w:hAnsi="黑体" w:eastAsia="黑体"/>
          <w:sz w:val="32"/>
        </w:rPr>
        <w:t>十一、预算绩效的情况说明</w:t>
      </w:r>
    </w:p>
    <w:p w14:paraId="6DA6394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112.17万元，实际执行总额112.17万元；预算绩效评价项目1个，全年预算数5.00万元，全年执行数5.00万元。预算绩效管理取得的成效：一是本项目能够严格按照《项目实施方案》执行，项目执行情况较好。二是加强沟通协调，项目负责人及时向领导汇报项目建设进度，加强与施工单位的沟通，确保项目按期完工。发现的问题及原因：一是项目经费未能控制在绩效目标范围内,导致部分预算项目绩效指标未执行完毕；二是未设置应急预案，出现</w:t>
      </w:r>
      <w:r>
        <w:rPr>
          <w:rFonts w:hint="eastAsia" w:ascii="仿宋_GB2312" w:hAnsi="仿宋_GB2312" w:eastAsia="仿宋_GB2312"/>
          <w:b w:val="0"/>
          <w:sz w:val="32"/>
          <w:lang w:val="en-US" w:eastAsia="zh-CN"/>
        </w:rPr>
        <w:t>疫情</w:t>
      </w:r>
      <w:r>
        <w:rPr>
          <w:rFonts w:ascii="仿宋_GB2312" w:hAnsi="仿宋_GB2312" w:eastAsia="仿宋_GB2312"/>
          <w:b w:val="0"/>
          <w:sz w:val="32"/>
        </w:rPr>
        <w:t>突发事件耽误项目进度，今后在项目实施过程中需要及时监督并督促项目负责人，按项目总目标开展项目，保证项目能够按总计划开</w:t>
      </w:r>
      <w:bookmarkStart w:id="0" w:name="_GoBack"/>
      <w:bookmarkEnd w:id="0"/>
      <w:r>
        <w:rPr>
          <w:rFonts w:ascii="仿宋_GB2312" w:hAnsi="仿宋_GB2312" w:eastAsia="仿宋_GB2312"/>
          <w:b w:val="0"/>
          <w:sz w:val="32"/>
        </w:rPr>
        <w:t>展。下一步改进措施：一是未达到预算改进。进一步规范项目预算目标，前期做好充分的调研与协调，既不高估也不</w:t>
      </w:r>
      <w:r>
        <w:rPr>
          <w:rFonts w:hint="eastAsia" w:ascii="仿宋_GB2312" w:hAnsi="仿宋_GB2312" w:eastAsia="仿宋_GB2312"/>
          <w:b w:val="0"/>
          <w:sz w:val="32"/>
          <w:lang w:eastAsia="zh-CN"/>
        </w:rPr>
        <w:t>低估</w:t>
      </w:r>
      <w:r>
        <w:rPr>
          <w:rFonts w:ascii="仿宋_GB2312" w:hAnsi="仿宋_GB2312" w:eastAsia="仿宋_GB2312"/>
          <w:b w:val="0"/>
          <w:sz w:val="32"/>
        </w:rPr>
        <w:t>，更加细化实施方案，加强沟通协调，项目负责人及时向领导汇报项目建设进度，加强与施工单位的沟通，确保项目按期完工。二是</w:t>
      </w:r>
      <w:r>
        <w:rPr>
          <w:rFonts w:hint="eastAsia" w:ascii="仿宋_GB2312" w:hAnsi="仿宋_GB2312" w:eastAsia="仿宋_GB2312"/>
          <w:b w:val="0"/>
          <w:sz w:val="32"/>
          <w:lang w:eastAsia="zh-CN"/>
        </w:rPr>
        <w:t>有</w:t>
      </w:r>
      <w:r>
        <w:rPr>
          <w:rFonts w:ascii="仿宋_GB2312" w:hAnsi="仿宋_GB2312" w:eastAsia="仿宋_GB2312"/>
          <w:b w:val="0"/>
          <w:sz w:val="32"/>
        </w:rPr>
        <w:t>预案</w:t>
      </w:r>
      <w:r>
        <w:rPr>
          <w:rFonts w:hint="eastAsia" w:ascii="仿宋_GB2312" w:hAnsi="仿宋_GB2312" w:eastAsia="仿宋_GB2312"/>
          <w:b w:val="0"/>
          <w:sz w:val="32"/>
          <w:lang w:eastAsia="zh-CN"/>
        </w:rPr>
        <w:t>地</w:t>
      </w:r>
      <w:r>
        <w:rPr>
          <w:rFonts w:ascii="仿宋_GB2312" w:hAnsi="仿宋_GB2312" w:eastAsia="仿宋_GB2312"/>
          <w:b w:val="0"/>
          <w:sz w:val="32"/>
        </w:rPr>
        <w:t>改进。项目准备初期全面考虑突发事件、非人力可控事件，科学合理设置突发事件应急预案。具体附部门整体支出绩效自评表，项目支出绩效自评表和部门评价报告。</w:t>
      </w:r>
    </w:p>
    <w:p w14:paraId="7A89DEA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DB61301">
        <w:tc>
          <w:tcPr>
            <w:tcW w:w="8847" w:type="dxa"/>
            <w:gridSpan w:val="9"/>
            <w:vAlign w:val="center"/>
          </w:tcPr>
          <w:p w14:paraId="2925729B">
            <w:pPr>
              <w:jc w:val="center"/>
            </w:pPr>
            <w:r>
              <w:rPr>
                <w:rFonts w:ascii="宋体" w:hAnsi="宋体" w:eastAsia="宋体"/>
                <w:sz w:val="24"/>
              </w:rPr>
              <w:t>部门整体支出绩效自评表</w:t>
            </w:r>
          </w:p>
        </w:tc>
      </w:tr>
      <w:tr w14:paraId="49DB3BCF">
        <w:tblPrEx>
          <w:tblCellMar>
            <w:top w:w="0" w:type="dxa"/>
            <w:left w:w="108" w:type="dxa"/>
            <w:bottom w:w="0" w:type="dxa"/>
            <w:right w:w="108" w:type="dxa"/>
          </w:tblCellMar>
        </w:tblPrEx>
        <w:tc>
          <w:tcPr>
            <w:tcW w:w="8847" w:type="dxa"/>
            <w:gridSpan w:val="9"/>
            <w:vAlign w:val="center"/>
          </w:tcPr>
          <w:p w14:paraId="1DB6F4C1">
            <w:pPr>
              <w:jc w:val="center"/>
            </w:pPr>
            <w:r>
              <w:rPr>
                <w:rFonts w:ascii="宋体" w:hAnsi="宋体" w:eastAsia="宋体"/>
                <w:sz w:val="24"/>
              </w:rPr>
              <w:t>（2024年度）</w:t>
            </w:r>
          </w:p>
        </w:tc>
      </w:tr>
      <w:tr w14:paraId="3CD91D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7DDF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9F6FEE">
            <w:pPr>
              <w:jc w:val="center"/>
            </w:pPr>
            <w:r>
              <w:rPr>
                <w:rFonts w:ascii="宋体" w:hAnsi="宋体" w:eastAsia="宋体"/>
                <w:sz w:val="16"/>
              </w:rPr>
              <w:t>喀什地区交通职工教育培训中心</w:t>
            </w:r>
          </w:p>
        </w:tc>
      </w:tr>
      <w:tr w14:paraId="467E5C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BA34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DCD3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AC41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6758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BFF7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4256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77EC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7916">
            <w:pPr>
              <w:jc w:val="center"/>
            </w:pPr>
            <w:r>
              <w:rPr>
                <w:rFonts w:ascii="宋体" w:hAnsi="宋体" w:eastAsia="宋体"/>
                <w:sz w:val="16"/>
              </w:rPr>
              <w:t>得分</w:t>
            </w:r>
          </w:p>
        </w:tc>
      </w:tr>
      <w:tr w14:paraId="43D7DF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C69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767D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422F7">
            <w:pPr>
              <w:jc w:val="center"/>
            </w:pPr>
            <w:r>
              <w:rPr>
                <w:rFonts w:ascii="宋体" w:hAnsi="宋体" w:eastAsia="宋体"/>
                <w:sz w:val="16"/>
              </w:rPr>
              <w:t>121.31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136E7">
            <w:pPr>
              <w:jc w:val="center"/>
            </w:pPr>
            <w:r>
              <w:rPr>
                <w:rFonts w:ascii="宋体" w:hAnsi="宋体" w:eastAsia="宋体"/>
                <w:sz w:val="16"/>
              </w:rPr>
              <w:t>112.17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5177B">
            <w:pPr>
              <w:jc w:val="center"/>
            </w:pPr>
            <w:r>
              <w:rPr>
                <w:rFonts w:ascii="宋体" w:hAnsi="宋体" w:eastAsia="宋体"/>
                <w:sz w:val="16"/>
              </w:rPr>
              <w:t>112.17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51F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3803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2704">
            <w:pPr>
              <w:jc w:val="center"/>
            </w:pPr>
            <w:r>
              <w:rPr>
                <w:rFonts w:ascii="宋体" w:hAnsi="宋体" w:eastAsia="宋体"/>
                <w:sz w:val="16"/>
              </w:rPr>
              <w:t>10</w:t>
            </w:r>
          </w:p>
        </w:tc>
      </w:tr>
      <w:tr w14:paraId="50C778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621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E92E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620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4C3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D90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09E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85B9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95B38">
            <w:pPr>
              <w:jc w:val="center"/>
            </w:pPr>
            <w:r>
              <w:rPr>
                <w:rFonts w:ascii="宋体" w:hAnsi="宋体" w:eastAsia="宋体"/>
                <w:sz w:val="16"/>
              </w:rPr>
              <w:t>—</w:t>
            </w:r>
          </w:p>
        </w:tc>
      </w:tr>
      <w:tr w14:paraId="3E7AAB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C8B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3C20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7919">
            <w:pPr>
              <w:jc w:val="center"/>
            </w:pPr>
            <w:r>
              <w:rPr>
                <w:rFonts w:ascii="宋体" w:hAnsi="宋体" w:eastAsia="宋体"/>
                <w:sz w:val="16"/>
              </w:rPr>
              <w:t>121.31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97FC2">
            <w:pPr>
              <w:jc w:val="center"/>
            </w:pPr>
            <w:r>
              <w:rPr>
                <w:rFonts w:ascii="宋体" w:hAnsi="宋体" w:eastAsia="宋体"/>
                <w:sz w:val="16"/>
              </w:rPr>
              <w:t>112.17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A7BF3">
            <w:pPr>
              <w:jc w:val="center"/>
            </w:pPr>
            <w:r>
              <w:rPr>
                <w:rFonts w:ascii="宋体" w:hAnsi="宋体" w:eastAsia="宋体"/>
                <w:sz w:val="16"/>
              </w:rPr>
              <w:t>112.17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656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A75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7C1EA">
            <w:pPr>
              <w:jc w:val="center"/>
            </w:pPr>
            <w:r>
              <w:rPr>
                <w:rFonts w:ascii="宋体" w:hAnsi="宋体" w:eastAsia="宋体"/>
                <w:sz w:val="16"/>
              </w:rPr>
              <w:t>—</w:t>
            </w:r>
          </w:p>
        </w:tc>
      </w:tr>
      <w:tr w14:paraId="59A265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48E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67A9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6D0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4EC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CC5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4DC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297C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F0138">
            <w:pPr>
              <w:jc w:val="center"/>
            </w:pPr>
            <w:r>
              <w:rPr>
                <w:rFonts w:ascii="宋体" w:hAnsi="宋体" w:eastAsia="宋体"/>
                <w:sz w:val="16"/>
              </w:rPr>
              <w:t>—</w:t>
            </w:r>
          </w:p>
        </w:tc>
      </w:tr>
      <w:tr w14:paraId="08E5A0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67AA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DBB04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EFFB71">
            <w:pPr>
              <w:jc w:val="center"/>
            </w:pPr>
            <w:r>
              <w:rPr>
                <w:rFonts w:ascii="宋体" w:hAnsi="宋体" w:eastAsia="宋体"/>
                <w:sz w:val="16"/>
              </w:rPr>
              <w:t>实际完成情况</w:t>
            </w:r>
          </w:p>
        </w:tc>
      </w:tr>
      <w:tr w14:paraId="4799BD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7BB8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09F335">
            <w:pPr>
              <w:jc w:val="both"/>
            </w:pPr>
            <w:r>
              <w:rPr>
                <w:rFonts w:ascii="宋体" w:hAnsi="宋体" w:eastAsia="宋体"/>
                <w:sz w:val="16"/>
              </w:rPr>
              <w:t>2024年受权承担南疆片区交通系统所属单位的职工培训，受权承担国贫县交通部门的职工培训；开展汽车驾驶技术培训；开展交通培训远程教育，承接上级委托的电大、电视中专教育培训任务。2024年计划开展安全资格培训48期、危险货物运输驾驶员及押运员培训13期、提高员工的政治思想和业务素质，强化安全意识，安全是工作的保障，减少安全隐患杜绝安全事故的发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860C1">
            <w:pPr>
              <w:jc w:val="both"/>
            </w:pPr>
            <w:r>
              <w:rPr>
                <w:rFonts w:ascii="宋体" w:hAnsi="宋体" w:eastAsia="宋体"/>
                <w:sz w:val="16"/>
              </w:rPr>
              <w:t>2024年完成喀什地区交通职工教育培训中心企业负责人和管理人员安全资格培训完成72期，危险品和押运员资格考试完成13期，24年培训有效提高了驾驶员安全意识和业务素质，减少了安全事故的发生。</w:t>
            </w:r>
          </w:p>
        </w:tc>
      </w:tr>
      <w:tr w14:paraId="6B0FC1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507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34A5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891B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1CFE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183A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EC00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179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9F44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2FEB2">
            <w:pPr>
              <w:jc w:val="center"/>
            </w:pPr>
            <w:r>
              <w:rPr>
                <w:rFonts w:ascii="宋体" w:hAnsi="宋体" w:eastAsia="宋体"/>
                <w:sz w:val="16"/>
              </w:rPr>
              <w:t>得分</w:t>
            </w:r>
          </w:p>
        </w:tc>
      </w:tr>
      <w:tr w14:paraId="0417A1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1280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C5EC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DBED1">
            <w:pPr>
              <w:jc w:val="center"/>
            </w:pPr>
            <w:r>
              <w:rPr>
                <w:rFonts w:ascii="宋体" w:hAnsi="宋体" w:eastAsia="宋体"/>
                <w:sz w:val="16"/>
              </w:rPr>
              <w:t>企业负责人和管理人员安全资格培训期数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82A48">
            <w:pPr>
              <w:jc w:val="center"/>
            </w:pPr>
            <w:r>
              <w:rPr>
                <w:rFonts w:ascii="宋体" w:hAnsi="宋体" w:eastAsia="宋体"/>
                <w:sz w:val="16"/>
              </w:rPr>
              <w:t>&gt;=48期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ED5A3">
            <w:pPr>
              <w:jc w:val="center"/>
            </w:pPr>
            <w:r>
              <w:rPr>
                <w:rFonts w:ascii="宋体" w:hAnsi="宋体" w:eastAsia="宋体"/>
                <w:sz w:val="16"/>
              </w:rPr>
              <w:t>2024年度培训中心工作计划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7469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144B">
            <w:pPr>
              <w:jc w:val="center"/>
            </w:pPr>
            <w:r>
              <w:rPr>
                <w:rFonts w:ascii="宋体" w:hAnsi="宋体" w:eastAsia="宋体"/>
                <w:sz w:val="16"/>
              </w:rPr>
              <w:t>48期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796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CB8C7">
            <w:pPr>
              <w:jc w:val="center"/>
            </w:pPr>
            <w:r>
              <w:rPr>
                <w:rFonts w:ascii="宋体" w:hAnsi="宋体" w:eastAsia="宋体"/>
                <w:sz w:val="16"/>
              </w:rPr>
              <w:t>20</w:t>
            </w:r>
          </w:p>
        </w:tc>
      </w:tr>
      <w:tr w14:paraId="4ED248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01FC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8E5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FF52A">
            <w:pPr>
              <w:jc w:val="center"/>
            </w:pPr>
            <w:r>
              <w:rPr>
                <w:rFonts w:ascii="宋体" w:hAnsi="宋体" w:eastAsia="宋体"/>
                <w:sz w:val="16"/>
              </w:rPr>
              <w:t>危险货物运输驾驶员、押运员期数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408EE">
            <w:pPr>
              <w:jc w:val="center"/>
            </w:pPr>
            <w:r>
              <w:rPr>
                <w:rFonts w:ascii="宋体" w:hAnsi="宋体" w:eastAsia="宋体"/>
                <w:sz w:val="16"/>
              </w:rPr>
              <w:t>&gt;=13期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5D88">
            <w:pPr>
              <w:jc w:val="center"/>
            </w:pPr>
            <w:r>
              <w:rPr>
                <w:rFonts w:ascii="宋体" w:hAnsi="宋体" w:eastAsia="宋体"/>
                <w:sz w:val="16"/>
              </w:rPr>
              <w:t>2024年度培训中心工作计划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4FD1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844BE">
            <w:pPr>
              <w:jc w:val="center"/>
            </w:pPr>
            <w:r>
              <w:rPr>
                <w:rFonts w:ascii="宋体" w:hAnsi="宋体" w:eastAsia="宋体"/>
                <w:sz w:val="16"/>
              </w:rPr>
              <w:t>13期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797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65E81">
            <w:pPr>
              <w:jc w:val="center"/>
            </w:pPr>
            <w:r>
              <w:rPr>
                <w:rFonts w:ascii="宋体" w:hAnsi="宋体" w:eastAsia="宋体"/>
                <w:sz w:val="16"/>
              </w:rPr>
              <w:t>20</w:t>
            </w:r>
          </w:p>
        </w:tc>
      </w:tr>
      <w:tr w14:paraId="0E936B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99F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F9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E86F1">
            <w:pPr>
              <w:jc w:val="center"/>
            </w:pPr>
            <w:r>
              <w:rPr>
                <w:rFonts w:ascii="宋体" w:hAnsi="宋体" w:eastAsia="宋体"/>
                <w:sz w:val="16"/>
              </w:rPr>
              <w:t>企业负责人和管理人员安全资格培训人数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10EF0">
            <w:pPr>
              <w:jc w:val="center"/>
            </w:pPr>
            <w:r>
              <w:rPr>
                <w:rFonts w:ascii="宋体" w:hAnsi="宋体" w:eastAsia="宋体"/>
                <w:sz w:val="16"/>
              </w:rPr>
              <w:t>&gt;=2385人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CF7C5">
            <w:pPr>
              <w:jc w:val="center"/>
            </w:pPr>
            <w:r>
              <w:rPr>
                <w:rFonts w:ascii="宋体" w:hAnsi="宋体" w:eastAsia="宋体"/>
                <w:sz w:val="16"/>
              </w:rPr>
              <w:t>2024年度培训中心工作计划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95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3ECB2">
            <w:pPr>
              <w:jc w:val="center"/>
            </w:pPr>
            <w:r>
              <w:rPr>
                <w:rFonts w:ascii="宋体" w:hAnsi="宋体" w:eastAsia="宋体"/>
                <w:sz w:val="16"/>
              </w:rPr>
              <w:t>2385人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AB3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1BC44">
            <w:pPr>
              <w:jc w:val="center"/>
            </w:pPr>
            <w:r>
              <w:rPr>
                <w:rFonts w:ascii="宋体" w:hAnsi="宋体" w:eastAsia="宋体"/>
                <w:sz w:val="16"/>
              </w:rPr>
              <w:t>10</w:t>
            </w:r>
          </w:p>
        </w:tc>
      </w:tr>
      <w:tr w14:paraId="3962CF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322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F78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D99B8">
            <w:pPr>
              <w:jc w:val="center"/>
            </w:pPr>
            <w:r>
              <w:rPr>
                <w:rFonts w:ascii="宋体" w:hAnsi="宋体" w:eastAsia="宋体"/>
                <w:sz w:val="16"/>
              </w:rPr>
              <w:t>危险货物运输驾驶员、押运员培训人数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6C742">
            <w:pPr>
              <w:jc w:val="center"/>
            </w:pPr>
            <w:r>
              <w:rPr>
                <w:rFonts w:ascii="宋体" w:hAnsi="宋体" w:eastAsia="宋体"/>
                <w:sz w:val="16"/>
              </w:rPr>
              <w:t>&gt;=937人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1D770">
            <w:pPr>
              <w:jc w:val="center"/>
            </w:pPr>
            <w:r>
              <w:rPr>
                <w:rFonts w:ascii="宋体" w:hAnsi="宋体" w:eastAsia="宋体"/>
                <w:sz w:val="16"/>
              </w:rPr>
              <w:t>2024年度培训中心工作计划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D5A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14580">
            <w:pPr>
              <w:jc w:val="center"/>
            </w:pPr>
            <w:r>
              <w:rPr>
                <w:rFonts w:ascii="宋体" w:hAnsi="宋体" w:eastAsia="宋体"/>
                <w:sz w:val="16"/>
              </w:rPr>
              <w:t>937人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D47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D51F7">
            <w:pPr>
              <w:jc w:val="center"/>
            </w:pPr>
            <w:r>
              <w:rPr>
                <w:rFonts w:ascii="宋体" w:hAnsi="宋体" w:eastAsia="宋体"/>
                <w:sz w:val="16"/>
              </w:rPr>
              <w:t>10</w:t>
            </w:r>
          </w:p>
        </w:tc>
      </w:tr>
      <w:tr w14:paraId="64D4D4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544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6960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FE3F0">
            <w:pPr>
              <w:jc w:val="center"/>
            </w:pPr>
            <w:r>
              <w:rPr>
                <w:rFonts w:ascii="宋体" w:hAnsi="宋体" w:eastAsia="宋体"/>
                <w:sz w:val="16"/>
              </w:rPr>
              <w:t>企业负责人和管理人员安全资格培训考试合格率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5C19B">
            <w:pPr>
              <w:jc w:val="center"/>
            </w:pPr>
            <w:r>
              <w:rPr>
                <w:rFonts w:ascii="宋体" w:hAnsi="宋体" w:eastAsia="宋体"/>
                <w:sz w:val="16"/>
              </w:rPr>
              <w:t>&gt;=81%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8785F">
            <w:pPr>
              <w:jc w:val="center"/>
            </w:pPr>
            <w:r>
              <w:rPr>
                <w:rFonts w:ascii="宋体" w:hAnsi="宋体" w:eastAsia="宋体"/>
                <w:sz w:val="16"/>
              </w:rPr>
              <w:t>2024年度培训中心工作计划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543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520D9">
            <w:pPr>
              <w:jc w:val="center"/>
            </w:pPr>
            <w:r>
              <w:rPr>
                <w:rFonts w:ascii="宋体" w:hAnsi="宋体" w:eastAsia="宋体"/>
                <w:sz w:val="16"/>
              </w:rPr>
              <w:t>81.26%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7A9AA">
            <w:pPr>
              <w:jc w:val="center"/>
            </w:pPr>
            <w:r>
              <w:rPr>
                <w:rFonts w:ascii="宋体" w:hAnsi="宋体" w:eastAsia="宋体"/>
                <w:sz w:val="16"/>
              </w:rPr>
              <w:t>100.32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0B959">
            <w:pPr>
              <w:jc w:val="center"/>
            </w:pPr>
            <w:r>
              <w:rPr>
                <w:rFonts w:ascii="宋体" w:hAnsi="宋体" w:eastAsia="宋体"/>
                <w:sz w:val="16"/>
              </w:rPr>
              <w:t>20</w:t>
            </w:r>
          </w:p>
        </w:tc>
      </w:tr>
      <w:tr w14:paraId="2CDBC7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DEE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4CE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DDCF">
            <w:pPr>
              <w:jc w:val="center"/>
            </w:pPr>
            <w:r>
              <w:rPr>
                <w:rFonts w:ascii="宋体" w:hAnsi="宋体" w:eastAsia="宋体"/>
                <w:sz w:val="16"/>
              </w:rPr>
              <w:t>危险货物运输驾驶员、押运员培训考试合格率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C31EE">
            <w:pPr>
              <w:jc w:val="center"/>
            </w:pPr>
            <w:r>
              <w:rPr>
                <w:rFonts w:ascii="宋体" w:hAnsi="宋体" w:eastAsia="宋体"/>
                <w:sz w:val="16"/>
              </w:rPr>
              <w:t>&gt;=86%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B6C55">
            <w:pPr>
              <w:jc w:val="center"/>
            </w:pPr>
            <w:r>
              <w:rPr>
                <w:rFonts w:ascii="宋体" w:hAnsi="宋体" w:eastAsia="宋体"/>
                <w:sz w:val="16"/>
              </w:rPr>
              <w:t>2024年度培训中心工作计划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48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19F87">
            <w:pPr>
              <w:jc w:val="center"/>
            </w:pPr>
            <w:r>
              <w:rPr>
                <w:rFonts w:ascii="宋体" w:hAnsi="宋体" w:eastAsia="宋体"/>
                <w:sz w:val="16"/>
              </w:rPr>
              <w:t>86.23%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98882">
            <w:pPr>
              <w:jc w:val="center"/>
            </w:pPr>
            <w:r>
              <w:rPr>
                <w:rFonts w:ascii="宋体" w:hAnsi="宋体" w:eastAsia="宋体"/>
                <w:sz w:val="16"/>
              </w:rPr>
              <w:t>100.27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B6BA">
            <w:pPr>
              <w:jc w:val="center"/>
            </w:pPr>
            <w:r>
              <w:rPr>
                <w:rFonts w:ascii="宋体" w:hAnsi="宋体" w:eastAsia="宋体"/>
                <w:sz w:val="16"/>
              </w:rPr>
              <w:t>10</w:t>
            </w:r>
          </w:p>
        </w:tc>
      </w:tr>
    </w:tbl>
    <w:p w14:paraId="7533F5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73549E">
        <w:tblPrEx>
          <w:tblCellMar>
            <w:top w:w="0" w:type="dxa"/>
            <w:left w:w="108" w:type="dxa"/>
            <w:bottom w:w="0" w:type="dxa"/>
            <w:right w:w="108" w:type="dxa"/>
          </w:tblCellMar>
        </w:tblPrEx>
        <w:tc>
          <w:tcPr>
            <w:tcW w:w="8848" w:type="dxa"/>
            <w:gridSpan w:val="14"/>
            <w:vAlign w:val="center"/>
          </w:tcPr>
          <w:p w14:paraId="297A847E">
            <w:pPr>
              <w:jc w:val="center"/>
            </w:pPr>
            <w:r>
              <w:rPr>
                <w:rFonts w:ascii="宋体" w:hAnsi="宋体" w:eastAsia="宋体"/>
                <w:sz w:val="24"/>
              </w:rPr>
              <w:t>项目支出绩效自评表</w:t>
            </w:r>
          </w:p>
        </w:tc>
      </w:tr>
      <w:tr w14:paraId="3BCB8EB7">
        <w:tblPrEx>
          <w:tblCellMar>
            <w:top w:w="0" w:type="dxa"/>
            <w:left w:w="108" w:type="dxa"/>
            <w:bottom w:w="0" w:type="dxa"/>
            <w:right w:w="108" w:type="dxa"/>
          </w:tblCellMar>
        </w:tblPrEx>
        <w:tc>
          <w:tcPr>
            <w:tcW w:w="8848" w:type="dxa"/>
            <w:gridSpan w:val="14"/>
            <w:vAlign w:val="center"/>
          </w:tcPr>
          <w:p w14:paraId="566ACB26">
            <w:pPr>
              <w:jc w:val="center"/>
            </w:pPr>
            <w:r>
              <w:rPr>
                <w:rFonts w:ascii="宋体" w:hAnsi="宋体" w:eastAsia="宋体"/>
                <w:sz w:val="24"/>
              </w:rPr>
              <w:t>(2024年度)</w:t>
            </w:r>
          </w:p>
        </w:tc>
      </w:tr>
      <w:tr w14:paraId="1282F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C6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67D748">
            <w:pPr>
              <w:jc w:val="center"/>
            </w:pPr>
            <w:r>
              <w:rPr>
                <w:rFonts w:ascii="宋体" w:hAnsi="宋体" w:eastAsia="宋体"/>
                <w:sz w:val="16"/>
              </w:rPr>
              <w:t>交通职业技能提升专项项目</w:t>
            </w:r>
          </w:p>
        </w:tc>
      </w:tr>
      <w:tr w14:paraId="5F0805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55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FF6EA">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5F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C81ABA">
            <w:pPr>
              <w:jc w:val="center"/>
            </w:pPr>
            <w:r>
              <w:rPr>
                <w:rFonts w:ascii="宋体" w:hAnsi="宋体" w:eastAsia="宋体"/>
                <w:sz w:val="16"/>
              </w:rPr>
              <w:t>喀什地区交通职工教育培训中心</w:t>
            </w:r>
          </w:p>
        </w:tc>
      </w:tr>
      <w:tr w14:paraId="5A419B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114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55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FC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50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7C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9E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CAF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E058">
            <w:pPr>
              <w:jc w:val="center"/>
            </w:pPr>
            <w:r>
              <w:rPr>
                <w:rFonts w:ascii="宋体" w:hAnsi="宋体" w:eastAsia="宋体"/>
                <w:sz w:val="16"/>
              </w:rPr>
              <w:t>得分</w:t>
            </w:r>
          </w:p>
        </w:tc>
      </w:tr>
      <w:tr w14:paraId="69472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61C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DC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2035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C3E5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4B98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FA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1CF1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3643">
            <w:pPr>
              <w:jc w:val="center"/>
            </w:pPr>
            <w:r>
              <w:rPr>
                <w:rFonts w:ascii="宋体" w:hAnsi="宋体" w:eastAsia="宋体"/>
                <w:sz w:val="16"/>
              </w:rPr>
              <w:t>10.00分</w:t>
            </w:r>
          </w:p>
        </w:tc>
      </w:tr>
      <w:tr w14:paraId="43C6D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F4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298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CD38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0257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C55A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740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7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151D">
            <w:pPr>
              <w:jc w:val="center"/>
            </w:pPr>
            <w:r>
              <w:rPr>
                <w:rFonts w:ascii="宋体" w:hAnsi="宋体" w:eastAsia="宋体"/>
                <w:sz w:val="16"/>
              </w:rPr>
              <w:t>—</w:t>
            </w:r>
          </w:p>
        </w:tc>
      </w:tr>
      <w:tr w14:paraId="303A4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CC9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84F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8D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0D8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D94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CDA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EE0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B9D2">
            <w:pPr>
              <w:jc w:val="center"/>
            </w:pPr>
            <w:r>
              <w:rPr>
                <w:rFonts w:ascii="宋体" w:hAnsi="宋体" w:eastAsia="宋体"/>
                <w:sz w:val="16"/>
              </w:rPr>
              <w:t>—</w:t>
            </w:r>
          </w:p>
        </w:tc>
      </w:tr>
      <w:tr w14:paraId="0E48CC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1DD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79E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04C7D">
            <w:pPr>
              <w:jc w:val="center"/>
            </w:pPr>
            <w:r>
              <w:rPr>
                <w:rFonts w:ascii="宋体" w:hAnsi="宋体" w:eastAsia="宋体"/>
                <w:sz w:val="16"/>
              </w:rPr>
              <w:t>实际完成情况</w:t>
            </w:r>
          </w:p>
        </w:tc>
      </w:tr>
      <w:tr w14:paraId="6DDF7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063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AD5D0">
            <w:pPr>
              <w:jc w:val="both"/>
            </w:pPr>
            <w:r>
              <w:rPr>
                <w:rFonts w:ascii="宋体" w:hAnsi="宋体" w:eastAsia="宋体"/>
                <w:sz w:val="16"/>
              </w:rPr>
              <w:t>喀什地区交通职工教育培训中心为保障单位切实发挥好单位的职能，做好培训教育工作，也为了更好地服务学员，服务社会，强化单对单位承接培训任务的能力，引导全地区每个培训单位扎实工作、提高驾驶员的安全意识和职业技能水平，更好地为社会主义现代化建设培养合格的人才,完成上级交办的其他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39C735">
            <w:pPr>
              <w:jc w:val="both"/>
            </w:pPr>
            <w:r>
              <w:rPr>
                <w:rFonts w:ascii="宋体" w:hAnsi="宋体" w:eastAsia="宋体"/>
                <w:sz w:val="16"/>
              </w:rPr>
              <w:t>2024年喀什地区交通培训中心财政拨款资金5万元，已完成支付5万元。本单位2024年总是有人数11人，保障了11人的日常办公需求；本单位车辆数为1辆，2024年该项目资金保障了单位正常运转，保障单位水，电，通讯费，办公经费等费用。本年度计划完成73期培训，实际完成了73期培训，完成了任务。</w:t>
            </w:r>
          </w:p>
        </w:tc>
      </w:tr>
      <w:tr w14:paraId="771D74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FCA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EB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96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10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C9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C9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B4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56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B5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5E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9F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B0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5C25">
            <w:pPr>
              <w:jc w:val="center"/>
            </w:pPr>
            <w:r>
              <w:rPr>
                <w:rFonts w:ascii="宋体" w:hAnsi="宋体" w:eastAsia="宋体"/>
                <w:sz w:val="16"/>
              </w:rPr>
              <w:t>偏差原因分析及改进措施</w:t>
            </w:r>
          </w:p>
        </w:tc>
      </w:tr>
      <w:tr w14:paraId="5B375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386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D90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DC1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5F93">
            <w:pPr>
              <w:jc w:val="center"/>
            </w:pPr>
            <w:r>
              <w:rPr>
                <w:rFonts w:ascii="宋体" w:hAnsi="宋体" w:eastAsia="宋体"/>
                <w:sz w:val="16"/>
              </w:rPr>
              <w:t>保障办公人员数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7A97">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831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CF3C">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6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2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3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17A0">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AF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07FA">
            <w:pPr>
              <w:jc w:val="center"/>
            </w:pPr>
          </w:p>
        </w:tc>
      </w:tr>
      <w:tr w14:paraId="0D45D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B9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94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00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5CD1">
            <w:pPr>
              <w:jc w:val="center"/>
            </w:pPr>
            <w:r>
              <w:rPr>
                <w:rFonts w:ascii="宋体" w:hAnsi="宋体" w:eastAsia="宋体"/>
                <w:sz w:val="16"/>
              </w:rPr>
              <w:t>公务保障车数量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B87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FBC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291B">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DD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03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30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092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E9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322C">
            <w:pPr>
              <w:jc w:val="center"/>
            </w:pPr>
          </w:p>
        </w:tc>
      </w:tr>
      <w:tr w14:paraId="7455E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83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ED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E6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C634">
            <w:pPr>
              <w:jc w:val="center"/>
            </w:pPr>
            <w:r>
              <w:rPr>
                <w:rFonts w:ascii="宋体" w:hAnsi="宋体" w:eastAsia="宋体"/>
                <w:sz w:val="16"/>
              </w:rPr>
              <w:t>培训开展次数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5370">
            <w:pPr>
              <w:jc w:val="center"/>
            </w:pPr>
            <w:r>
              <w:rPr>
                <w:rFonts w:ascii="宋体" w:hAnsi="宋体" w:eastAsia="宋体"/>
                <w:sz w:val="16"/>
              </w:rPr>
              <w:t>&gt;=73期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5B7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EE70">
            <w:pPr>
              <w:jc w:val="center"/>
            </w:pPr>
            <w:r>
              <w:rPr>
                <w:rFonts w:ascii="宋体" w:hAnsi="宋体" w:eastAsia="宋体"/>
                <w:sz w:val="16"/>
              </w:rPr>
              <w:t>=68期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B0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1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6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E1AF">
            <w:pPr>
              <w:jc w:val="center"/>
            </w:pPr>
            <w:r>
              <w:rPr>
                <w:rFonts w:ascii="宋体" w:hAnsi="宋体" w:eastAsia="宋体"/>
                <w:sz w:val="16"/>
              </w:rPr>
              <w:t>=73期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18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993EF">
            <w:pPr>
              <w:jc w:val="center"/>
            </w:pPr>
          </w:p>
        </w:tc>
      </w:tr>
      <w:tr w14:paraId="4D19E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E6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621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9D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9DDF">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00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BB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8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0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41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E0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1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8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D9B6">
            <w:pPr>
              <w:jc w:val="center"/>
            </w:pPr>
          </w:p>
        </w:tc>
      </w:tr>
      <w:tr w14:paraId="0536B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BE9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48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0A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49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BFF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8F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98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1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59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4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A95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66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15C9">
            <w:pPr>
              <w:jc w:val="center"/>
            </w:pPr>
          </w:p>
        </w:tc>
      </w:tr>
      <w:tr w14:paraId="0ECE4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EC2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CFDF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64E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7E9C">
            <w:pPr>
              <w:jc w:val="center"/>
            </w:pPr>
            <w:r>
              <w:rPr>
                <w:rFonts w:ascii="宋体" w:hAnsi="宋体" w:eastAsia="宋体"/>
                <w:sz w:val="16"/>
              </w:rPr>
              <w:t>单位运转经费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4CB6">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F2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6E16">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0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D7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1A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7A2E">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BC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3650">
            <w:pPr>
              <w:jc w:val="center"/>
            </w:pPr>
          </w:p>
        </w:tc>
      </w:tr>
      <w:tr w14:paraId="52A34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03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B0C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D1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45C1">
            <w:pPr>
              <w:jc w:val="center"/>
            </w:pPr>
            <w:r>
              <w:rPr>
                <w:rFonts w:ascii="宋体" w:hAnsi="宋体" w:eastAsia="宋体"/>
                <w:sz w:val="16"/>
              </w:rPr>
              <w:t>培训支出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CD10">
            <w:pPr>
              <w:jc w:val="center"/>
            </w:pPr>
            <w:r>
              <w:rPr>
                <w:rFonts w:ascii="宋体" w:hAnsi="宋体" w:eastAsia="宋体"/>
                <w:sz w:val="16"/>
              </w:rPr>
              <w: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A4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FC7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3E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08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A9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C705">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68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F9F50">
            <w:pPr>
              <w:jc w:val="center"/>
            </w:pPr>
          </w:p>
        </w:tc>
      </w:tr>
      <w:tr w14:paraId="619B9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F0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F8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DC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ECC8">
            <w:pPr>
              <w:jc w:val="center"/>
            </w:pPr>
            <w:r>
              <w:rPr>
                <w:rFonts w:ascii="宋体" w:hAnsi="宋体" w:eastAsia="宋体"/>
                <w:sz w:val="16"/>
              </w:rPr>
              <w:t>提高驾驶员安全驾驶能力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5C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29F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917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C4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1E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1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DC8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AB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72E6E">
            <w:pPr>
              <w:jc w:val="center"/>
            </w:pPr>
          </w:p>
        </w:tc>
      </w:tr>
      <w:tr w14:paraId="58101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64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4C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E0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108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764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DA0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B05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1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11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A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64A1">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AC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CC42B">
            <w:pPr>
              <w:jc w:val="center"/>
            </w:pPr>
            <w:r>
              <w:rPr>
                <w:rFonts w:ascii="宋体" w:hAnsi="宋体" w:eastAsia="宋体"/>
                <w:sz w:val="16"/>
              </w:rPr>
              <w:t>今年2024年项目完成</w:t>
            </w:r>
            <w:r>
              <w:rPr>
                <w:rFonts w:hint="eastAsia" w:ascii="宋体" w:hAnsi="宋体"/>
                <w:sz w:val="16"/>
                <w:lang w:eastAsia="zh-CN"/>
              </w:rPr>
              <w:t>得</w:t>
            </w:r>
            <w:r>
              <w:rPr>
                <w:rFonts w:ascii="宋体" w:hAnsi="宋体" w:eastAsia="宋体"/>
                <w:sz w:val="16"/>
              </w:rPr>
              <w:t>较好，工作人员对项目评价较高。</w:t>
            </w:r>
          </w:p>
        </w:tc>
      </w:tr>
      <w:tr w14:paraId="7B4764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4C9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5B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220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0AA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5E4610"/>
        </w:tc>
      </w:tr>
    </w:tbl>
    <w:p w14:paraId="1D3E13F7">
      <w:r>
        <w:br w:type="page"/>
      </w:r>
    </w:p>
    <w:p w14:paraId="5F103307">
      <w:pPr>
        <w:spacing w:line="640" w:lineRule="exact"/>
        <w:ind w:firstLine="640"/>
        <w:jc w:val="both"/>
        <w:outlineLvl w:val="2"/>
      </w:pPr>
      <w:r>
        <w:rPr>
          <w:rFonts w:ascii="黑体" w:hAnsi="黑体" w:eastAsia="黑体"/>
          <w:sz w:val="32"/>
        </w:rPr>
        <w:t>十二、其他需说明的事项</w:t>
      </w:r>
    </w:p>
    <w:p w14:paraId="323CF33F">
      <w:pPr>
        <w:spacing w:line="580" w:lineRule="exact"/>
        <w:ind w:firstLine="640"/>
        <w:jc w:val="both"/>
      </w:pPr>
      <w:r>
        <w:rPr>
          <w:rFonts w:ascii="仿宋_GB2312" w:hAnsi="仿宋_GB2312" w:eastAsia="仿宋_GB2312"/>
          <w:b w:val="0"/>
          <w:sz w:val="32"/>
        </w:rPr>
        <w:t>本部门无其他需说明的事项。</w:t>
      </w:r>
    </w:p>
    <w:p w14:paraId="617096B2">
      <w:r>
        <w:br w:type="page"/>
      </w:r>
    </w:p>
    <w:p w14:paraId="6C035DCB">
      <w:pPr>
        <w:spacing w:line="240" w:lineRule="auto"/>
        <w:jc w:val="center"/>
        <w:outlineLvl w:val="1"/>
      </w:pPr>
      <w:r>
        <w:rPr>
          <w:rFonts w:ascii="黑体" w:hAnsi="黑体" w:eastAsia="黑体"/>
          <w:sz w:val="32"/>
        </w:rPr>
        <w:t>第三部分 专业名词解释</w:t>
      </w:r>
    </w:p>
    <w:p w14:paraId="61D22B9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DA726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E8E96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936C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0A687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56C62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C52D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7E9A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8907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681B4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7BE0A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79A5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C4BD6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D3FFB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F848DB1">
      <w:r>
        <w:br w:type="page"/>
      </w:r>
    </w:p>
    <w:p w14:paraId="34AB33DF">
      <w:pPr>
        <w:spacing w:line="240" w:lineRule="auto"/>
        <w:jc w:val="center"/>
        <w:outlineLvl w:val="1"/>
      </w:pPr>
      <w:r>
        <w:rPr>
          <w:rFonts w:ascii="黑体" w:hAnsi="黑体" w:eastAsia="黑体"/>
          <w:sz w:val="32"/>
        </w:rPr>
        <w:t>第四部分 部门决算报表（见附表）</w:t>
      </w:r>
    </w:p>
    <w:p w14:paraId="31FC088F">
      <w:pPr>
        <w:spacing w:line="240" w:lineRule="auto"/>
        <w:ind w:firstLine="640"/>
        <w:jc w:val="both"/>
      </w:pPr>
      <w:r>
        <w:rPr>
          <w:rFonts w:ascii="仿宋_GB2312" w:hAnsi="仿宋_GB2312" w:eastAsia="仿宋_GB2312"/>
          <w:b w:val="0"/>
          <w:sz w:val="32"/>
        </w:rPr>
        <w:t>一、《收入支出决算总表》</w:t>
      </w:r>
    </w:p>
    <w:p w14:paraId="290D4161">
      <w:pPr>
        <w:spacing w:line="240" w:lineRule="auto"/>
        <w:ind w:firstLine="640"/>
        <w:jc w:val="both"/>
      </w:pPr>
      <w:r>
        <w:rPr>
          <w:rFonts w:ascii="仿宋_GB2312" w:hAnsi="仿宋_GB2312" w:eastAsia="仿宋_GB2312"/>
          <w:b w:val="0"/>
          <w:sz w:val="32"/>
        </w:rPr>
        <w:t>二、《收入决算表》</w:t>
      </w:r>
    </w:p>
    <w:p w14:paraId="7F6C09C0">
      <w:pPr>
        <w:spacing w:line="240" w:lineRule="auto"/>
        <w:ind w:firstLine="640"/>
        <w:jc w:val="both"/>
      </w:pPr>
      <w:r>
        <w:rPr>
          <w:rFonts w:ascii="仿宋_GB2312" w:hAnsi="仿宋_GB2312" w:eastAsia="仿宋_GB2312"/>
          <w:b w:val="0"/>
          <w:sz w:val="32"/>
        </w:rPr>
        <w:t>三、《支出决算表》</w:t>
      </w:r>
    </w:p>
    <w:p w14:paraId="1CB17810">
      <w:pPr>
        <w:spacing w:line="240" w:lineRule="auto"/>
        <w:ind w:firstLine="640"/>
        <w:jc w:val="both"/>
      </w:pPr>
      <w:r>
        <w:rPr>
          <w:rFonts w:ascii="仿宋_GB2312" w:hAnsi="仿宋_GB2312" w:eastAsia="仿宋_GB2312"/>
          <w:b w:val="0"/>
          <w:sz w:val="32"/>
        </w:rPr>
        <w:t>四、《财政拨款收入支出决算总表》</w:t>
      </w:r>
    </w:p>
    <w:p w14:paraId="21E81F7A">
      <w:pPr>
        <w:spacing w:line="240" w:lineRule="auto"/>
        <w:ind w:firstLine="640"/>
        <w:jc w:val="both"/>
      </w:pPr>
      <w:r>
        <w:rPr>
          <w:rFonts w:ascii="仿宋_GB2312" w:hAnsi="仿宋_GB2312" w:eastAsia="仿宋_GB2312"/>
          <w:b w:val="0"/>
          <w:sz w:val="32"/>
        </w:rPr>
        <w:t>五、《一般公共预算财政拨款支出决算表》</w:t>
      </w:r>
    </w:p>
    <w:p w14:paraId="7AB5AFF9">
      <w:pPr>
        <w:spacing w:line="240" w:lineRule="auto"/>
        <w:ind w:firstLine="640"/>
        <w:jc w:val="both"/>
      </w:pPr>
      <w:r>
        <w:rPr>
          <w:rFonts w:ascii="仿宋_GB2312" w:hAnsi="仿宋_GB2312" w:eastAsia="仿宋_GB2312"/>
          <w:b w:val="0"/>
          <w:sz w:val="32"/>
        </w:rPr>
        <w:t>六、《一般公共预算财政拨款基本支出决算表》</w:t>
      </w:r>
    </w:p>
    <w:p w14:paraId="0D14F3BF">
      <w:pPr>
        <w:spacing w:line="240" w:lineRule="auto"/>
        <w:ind w:firstLine="640"/>
        <w:jc w:val="both"/>
      </w:pPr>
      <w:r>
        <w:rPr>
          <w:rFonts w:ascii="仿宋_GB2312" w:hAnsi="仿宋_GB2312" w:eastAsia="仿宋_GB2312"/>
          <w:b w:val="0"/>
          <w:sz w:val="32"/>
        </w:rPr>
        <w:t>七、《政府性基金预算财政拨款收入支出决算表》</w:t>
      </w:r>
    </w:p>
    <w:p w14:paraId="41CCD40B">
      <w:pPr>
        <w:spacing w:line="240" w:lineRule="auto"/>
        <w:ind w:firstLine="640"/>
        <w:jc w:val="both"/>
      </w:pPr>
      <w:r>
        <w:rPr>
          <w:rFonts w:ascii="仿宋_GB2312" w:hAnsi="仿宋_GB2312" w:eastAsia="仿宋_GB2312"/>
          <w:b w:val="0"/>
          <w:sz w:val="32"/>
        </w:rPr>
        <w:t>八、《国有资本经营预算财政拨款收入支出决算表》</w:t>
      </w:r>
    </w:p>
    <w:p w14:paraId="3FEFABEA">
      <w:pPr>
        <w:spacing w:line="240" w:lineRule="auto"/>
        <w:ind w:firstLine="640"/>
        <w:jc w:val="both"/>
      </w:pPr>
      <w:r>
        <w:rPr>
          <w:rFonts w:ascii="仿宋_GB2312" w:hAnsi="仿宋_GB2312" w:eastAsia="仿宋_GB2312"/>
          <w:b w:val="0"/>
          <w:sz w:val="32"/>
        </w:rPr>
        <w:t>九、《财政拨款“三公”经费支出决算表》</w:t>
      </w:r>
    </w:p>
    <w:p w14:paraId="401EF182">
      <w:pPr>
        <w:spacing w:line="240" w:lineRule="auto"/>
        <w:ind w:firstLine="640"/>
        <w:jc w:val="both"/>
      </w:pPr>
    </w:p>
    <w:p w14:paraId="6F5796FE">
      <w:pPr>
        <w:spacing w:line="240" w:lineRule="auto"/>
        <w:ind w:firstLine="640"/>
        <w:jc w:val="both"/>
      </w:pPr>
    </w:p>
    <w:p w14:paraId="22F457EC">
      <w:pPr>
        <w:spacing w:line="240" w:lineRule="auto"/>
        <w:ind w:firstLine="640"/>
        <w:jc w:val="both"/>
      </w:pPr>
    </w:p>
    <w:p w14:paraId="30FEBD93">
      <w:pPr>
        <w:spacing w:line="240" w:lineRule="auto"/>
        <w:ind w:firstLine="640"/>
        <w:jc w:val="both"/>
      </w:pPr>
    </w:p>
    <w:p w14:paraId="4028EB9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081324-5344-4076-8AA5-2C04D03102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7A8151F-2FCE-4CE5-A556-CD8B4F6D0F9D}"/>
  </w:font>
  <w:font w:name="方正小标宋_GBK">
    <w:panose1 w:val="02000000000000000000"/>
    <w:charset w:val="86"/>
    <w:family w:val="script"/>
    <w:pitch w:val="default"/>
    <w:sig w:usb0="A00002BF" w:usb1="38CF7CFA" w:usb2="00082016" w:usb3="00000000" w:csb0="00040001" w:csb1="00000000"/>
    <w:embedRegular r:id="rId3" w:fontKey="{CB36BBD7-4C6C-4A99-95ED-5C99ACE1B039}"/>
  </w:font>
  <w:font w:name="楷体_GB2312">
    <w:panose1 w:val="02010609030101010101"/>
    <w:charset w:val="86"/>
    <w:family w:val="auto"/>
    <w:pitch w:val="default"/>
    <w:sig w:usb0="00000001" w:usb1="080E0000" w:usb2="00000000" w:usb3="00000000" w:csb0="00040000" w:csb1="00000000"/>
    <w:embedRegular r:id="rId4" w:fontKey="{DA48D2C5-BDF3-4796-82BF-0EC5B90A859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644056"/>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60058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4796</Words>
  <Characters>5550</Characters>
  <Lines>0</Lines>
  <Paragraphs>0</Paragraphs>
  <TotalTime>1</TotalTime>
  <ScaleCrop>false</ScaleCrop>
  <LinksUpToDate>false</LinksUpToDate>
  <CharactersWithSpaces>5558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