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A552F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喀什地区供销合作社联合社</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5694D00">
      <w:r>
        <w:br w:type="page"/>
      </w:r>
    </w:p>
    <w:p w14:paraId="573A8505">
      <w:pPr>
        <w:spacing w:line="640" w:lineRule="exact"/>
        <w:jc w:val="center"/>
        <w:outlineLvl w:val="1"/>
      </w:pPr>
      <w:r>
        <w:rPr>
          <w:rFonts w:ascii="黑体" w:hAnsi="黑体" w:eastAsia="黑体"/>
          <w:sz w:val="32"/>
        </w:rPr>
        <w:t>第一部分 部门概况</w:t>
      </w:r>
    </w:p>
    <w:p w14:paraId="03C74E9C">
      <w:pPr>
        <w:spacing w:line="640" w:lineRule="exact"/>
        <w:ind w:firstLine="640"/>
        <w:jc w:val="both"/>
        <w:outlineLvl w:val="2"/>
      </w:pPr>
      <w:r>
        <w:rPr>
          <w:rFonts w:ascii="黑体" w:hAnsi="黑体" w:eastAsia="黑体"/>
          <w:sz w:val="32"/>
        </w:rPr>
        <w:t>一、主要职能</w:t>
      </w:r>
    </w:p>
    <w:p w14:paraId="37CCA0D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贯彻落实党和政府有关农村经济和社会发展的方针、政策法规；研究制定全地区供销合作社和农村经济组织的发展战略和发展规划，指导全地区供销社的改革发展和农村合作经济组织的业务活动。</w:t>
      </w:r>
    </w:p>
    <w:p w14:paraId="015CF91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研究农村流通体制改革，发展和完善有关农村农业生产资料的消费品市场体系建设，研究拟定推进有关农村流通现代化及运用连锁经营、物流配送、电子商务等现代流通方式，改造传统经营网络的规划并组织实施。</w:t>
      </w:r>
    </w:p>
    <w:p w14:paraId="2D6B7BD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按照行署授权，负责对重要农业生产资料、农副产品、烟花爆竹和再生资源的组织、协调和经营管理工作。</w:t>
      </w:r>
    </w:p>
    <w:p w14:paraId="16BE207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行使地区</w:t>
      </w:r>
      <w:r>
        <w:rPr>
          <w:rFonts w:hint="eastAsia" w:ascii="仿宋_GB2312" w:hAnsi="仿宋_GB2312" w:eastAsia="仿宋_GB2312"/>
          <w:sz w:val="32"/>
          <w:lang w:eastAsia="zh-CN"/>
        </w:rPr>
        <w:t>社</w:t>
      </w:r>
      <w:r>
        <w:rPr>
          <w:rFonts w:ascii="仿宋_GB2312" w:hAnsi="仿宋_GB2312" w:eastAsia="仿宋_GB2312"/>
          <w:sz w:val="32"/>
        </w:rPr>
        <w:t>有资产出资人代表职能、监督社有资产保值增值，对社属参（控）股企业进行监督。</w:t>
      </w:r>
    </w:p>
    <w:p w14:paraId="1C8689E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负责对全地区供销社系统业务指导、行业间协调工作；向上级党委和政府及有关部门反映农民社员和供销社的意见和要求，维护各级供销社、社办企业、农村合作经济组织和全体社员的合法权益。</w:t>
      </w:r>
    </w:p>
    <w:p w14:paraId="0699ABC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按照干部管理权限，负责地区供销社机关及社属参（控）股企业的干部人事管理工作；组织实施全地区供销</w:t>
      </w:r>
      <w:r>
        <w:rPr>
          <w:rFonts w:hint="eastAsia" w:ascii="仿宋_GB2312" w:hAnsi="仿宋_GB2312" w:eastAsia="仿宋_GB2312"/>
          <w:sz w:val="32"/>
          <w:lang w:eastAsia="zh-CN"/>
        </w:rPr>
        <w:t>社系</w:t>
      </w:r>
      <w:r>
        <w:rPr>
          <w:rFonts w:ascii="仿宋_GB2312" w:hAnsi="仿宋_GB2312" w:eastAsia="仿宋_GB2312"/>
          <w:sz w:val="32"/>
        </w:rPr>
        <w:t>统干部和职工的教育培训工作。</w:t>
      </w:r>
    </w:p>
    <w:p w14:paraId="6FC6F63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代表全地区供销合作社参加自治区供销合作社的有关活动，组织指导全地区供销社</w:t>
      </w:r>
      <w:r>
        <w:rPr>
          <w:rFonts w:hint="eastAsia" w:ascii="仿宋_GB2312" w:hAnsi="仿宋_GB2312" w:eastAsia="仿宋_GB2312"/>
          <w:sz w:val="32"/>
          <w:lang w:eastAsia="zh-CN"/>
        </w:rPr>
        <w:t>开展</w:t>
      </w:r>
      <w:r>
        <w:rPr>
          <w:rFonts w:ascii="仿宋_GB2312" w:hAnsi="仿宋_GB2312" w:eastAsia="仿宋_GB2312"/>
          <w:sz w:val="32"/>
        </w:rPr>
        <w:t>对外经济贸易和技术合作事宜。</w:t>
      </w:r>
    </w:p>
    <w:p w14:paraId="7C83E15E">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承办地委、行署和自治区供销社交办的其他事项。</w:t>
      </w:r>
    </w:p>
    <w:p w14:paraId="32A3D20D">
      <w:pPr>
        <w:spacing w:line="640" w:lineRule="exact"/>
        <w:ind w:firstLine="640"/>
        <w:jc w:val="both"/>
        <w:outlineLvl w:val="2"/>
      </w:pPr>
      <w:r>
        <w:rPr>
          <w:rFonts w:ascii="黑体" w:hAnsi="黑体" w:eastAsia="黑体"/>
          <w:sz w:val="32"/>
        </w:rPr>
        <w:t>二、机构设置及人员情况</w:t>
      </w:r>
    </w:p>
    <w:p w14:paraId="717E3BA8">
      <w:pPr>
        <w:spacing w:line="580" w:lineRule="exact"/>
        <w:ind w:firstLine="640"/>
        <w:jc w:val="both"/>
      </w:pPr>
      <w:r>
        <w:rPr>
          <w:rFonts w:ascii="仿宋_GB2312" w:hAnsi="仿宋_GB2312" w:eastAsia="仿宋_GB2312"/>
          <w:sz w:val="32"/>
        </w:rPr>
        <w:t>喀什地区供销合作社联合社2024年度，实有人数61人，其中：在职人员26人，增加2人；离休人员0人，增加0人；退休人员35人,减少1人。</w:t>
      </w:r>
    </w:p>
    <w:p w14:paraId="19AB1952">
      <w:pPr>
        <w:spacing w:line="580" w:lineRule="exact"/>
        <w:ind w:firstLine="640"/>
        <w:jc w:val="both"/>
      </w:pPr>
      <w:r>
        <w:rPr>
          <w:rFonts w:ascii="仿宋_GB2312" w:hAnsi="仿宋_GB2312" w:eastAsia="仿宋_GB2312"/>
          <w:sz w:val="32"/>
        </w:rPr>
        <w:t>喀什地区供销合作社联合社无下属预算单位，下设8个科室，分别是：办公室、监事会办公室（纪检监察室）、组织人事科、财务科、基层工作科、安全生产保卫科、社有资产管理科、审计科。</w:t>
      </w:r>
    </w:p>
    <w:p w14:paraId="05B01766">
      <w:r>
        <w:br w:type="page"/>
      </w:r>
    </w:p>
    <w:p w14:paraId="20EF8668">
      <w:pPr>
        <w:spacing w:line="240" w:lineRule="auto"/>
        <w:jc w:val="center"/>
        <w:outlineLvl w:val="1"/>
      </w:pPr>
      <w:r>
        <w:rPr>
          <w:rFonts w:ascii="黑体" w:hAnsi="黑体" w:eastAsia="黑体"/>
          <w:sz w:val="32"/>
        </w:rPr>
        <w:t>第二部分 部门决算情况说明</w:t>
      </w:r>
    </w:p>
    <w:p w14:paraId="058C64AB">
      <w:pPr>
        <w:spacing w:line="640" w:lineRule="exact"/>
        <w:ind w:firstLine="640"/>
        <w:jc w:val="both"/>
        <w:outlineLvl w:val="2"/>
      </w:pPr>
      <w:r>
        <w:rPr>
          <w:rFonts w:ascii="黑体" w:hAnsi="黑体" w:eastAsia="黑体"/>
          <w:sz w:val="32"/>
        </w:rPr>
        <w:t>一、收入支出决算总体情况说明</w:t>
      </w:r>
    </w:p>
    <w:p w14:paraId="26DC2B9B">
      <w:pPr>
        <w:spacing w:line="580" w:lineRule="exact"/>
        <w:ind w:firstLine="640"/>
        <w:jc w:val="both"/>
      </w:pPr>
      <w:r>
        <w:rPr>
          <w:rFonts w:ascii="仿宋_GB2312" w:hAnsi="仿宋_GB2312" w:eastAsia="仿宋_GB2312"/>
          <w:b/>
          <w:sz w:val="32"/>
        </w:rPr>
        <w:t>2024年度收入总计744.64万元，</w:t>
      </w:r>
      <w:r>
        <w:rPr>
          <w:rFonts w:ascii="仿宋_GB2312" w:hAnsi="仿宋_GB2312" w:eastAsia="仿宋_GB2312"/>
          <w:b w:val="0"/>
          <w:sz w:val="32"/>
        </w:rPr>
        <w:t>其中：本年收入合计744.64万元，使用非财政拨款结余（含专用结余）0.00万元，年初结转和结余0.00万元。</w:t>
      </w:r>
    </w:p>
    <w:p w14:paraId="46E9F0F6">
      <w:pPr>
        <w:spacing w:line="580" w:lineRule="exact"/>
        <w:ind w:firstLine="640"/>
        <w:jc w:val="both"/>
      </w:pPr>
      <w:r>
        <w:rPr>
          <w:rFonts w:ascii="仿宋_GB2312" w:hAnsi="仿宋_GB2312" w:eastAsia="仿宋_GB2312"/>
          <w:b/>
          <w:sz w:val="32"/>
        </w:rPr>
        <w:t>2024年度支出总计744.64万元，</w:t>
      </w:r>
      <w:r>
        <w:rPr>
          <w:rFonts w:ascii="仿宋_GB2312" w:hAnsi="仿宋_GB2312" w:eastAsia="仿宋_GB2312"/>
          <w:b w:val="0"/>
          <w:sz w:val="32"/>
        </w:rPr>
        <w:t>其中：本年支出合计744.64万元，结余分配0.00万元，年末结转和结余0.00万元。</w:t>
      </w:r>
    </w:p>
    <w:p w14:paraId="2198B99F">
      <w:pPr>
        <w:spacing w:line="580" w:lineRule="exact"/>
        <w:ind w:firstLine="640"/>
        <w:jc w:val="both"/>
      </w:pPr>
      <w:r>
        <w:rPr>
          <w:rFonts w:ascii="仿宋_GB2312" w:hAnsi="仿宋_GB2312" w:eastAsia="仿宋_GB2312"/>
          <w:b w:val="0"/>
          <w:sz w:val="32"/>
        </w:rPr>
        <w:t>收入支出总体与上年相比，减少181.86万元，下降19.63%，主要原因是：本年减少喀什地区蔬菜销往乌鲁木齐市场运杂费专项补贴项目经费，其他收入减少，导致相关经费减少。</w:t>
      </w:r>
    </w:p>
    <w:p w14:paraId="0D02F6D1">
      <w:pPr>
        <w:spacing w:line="640" w:lineRule="exact"/>
        <w:ind w:firstLine="640"/>
        <w:jc w:val="both"/>
        <w:outlineLvl w:val="2"/>
      </w:pPr>
      <w:r>
        <w:rPr>
          <w:rFonts w:ascii="黑体" w:hAnsi="黑体" w:eastAsia="黑体"/>
          <w:sz w:val="32"/>
        </w:rPr>
        <w:t>二、收入决算情况说明</w:t>
      </w:r>
    </w:p>
    <w:p w14:paraId="44D63FD0">
      <w:pPr>
        <w:spacing w:line="580" w:lineRule="exact"/>
        <w:ind w:firstLine="640"/>
        <w:jc w:val="both"/>
      </w:pPr>
      <w:r>
        <w:rPr>
          <w:rFonts w:ascii="仿宋_GB2312" w:hAnsi="仿宋_GB2312" w:eastAsia="仿宋_GB2312"/>
          <w:b/>
          <w:sz w:val="32"/>
        </w:rPr>
        <w:t>本年收入744.64万元，</w:t>
      </w:r>
      <w:r>
        <w:rPr>
          <w:rFonts w:ascii="仿宋_GB2312" w:hAnsi="仿宋_GB2312" w:eastAsia="仿宋_GB2312"/>
          <w:b w:val="0"/>
          <w:sz w:val="32"/>
        </w:rPr>
        <w:t>其中：财政拨款收入738.48万元，占99.17%；上级补助收入0.00万元，占0.00%；事业收入0.00万元，占0.00%；经营收入0.00万元，占0.00%；附属单位上缴收入0.00万元，占0.00%；其他收入6.16万元，占0.83%。</w:t>
      </w:r>
    </w:p>
    <w:p w14:paraId="0C1A145D">
      <w:pPr>
        <w:spacing w:line="640" w:lineRule="exact"/>
        <w:ind w:firstLine="640"/>
        <w:jc w:val="both"/>
        <w:outlineLvl w:val="2"/>
      </w:pPr>
      <w:r>
        <w:rPr>
          <w:rFonts w:ascii="黑体" w:hAnsi="黑体" w:eastAsia="黑体"/>
          <w:sz w:val="32"/>
        </w:rPr>
        <w:t>三、支出决算情况说明</w:t>
      </w:r>
    </w:p>
    <w:p w14:paraId="71019243">
      <w:pPr>
        <w:spacing w:line="580" w:lineRule="exact"/>
        <w:ind w:firstLine="640"/>
        <w:jc w:val="both"/>
      </w:pPr>
      <w:r>
        <w:rPr>
          <w:rFonts w:ascii="仿宋_GB2312" w:hAnsi="仿宋_GB2312" w:eastAsia="仿宋_GB2312"/>
          <w:b/>
          <w:sz w:val="32"/>
        </w:rPr>
        <w:t>本年支出744.64万元，</w:t>
      </w:r>
      <w:r>
        <w:rPr>
          <w:rFonts w:ascii="仿宋_GB2312" w:hAnsi="仿宋_GB2312" w:eastAsia="仿宋_GB2312"/>
          <w:b w:val="0"/>
          <w:sz w:val="32"/>
        </w:rPr>
        <w:t>其中：基本支出683.86万元，占91.84%；项目支出60.78万元，占8.16%；上缴上级支出0.00万元，占0.00%；经营支出0.00万元，占0.00%；对附属单位补助支出0.00万元，占0.00%。</w:t>
      </w:r>
    </w:p>
    <w:p w14:paraId="2C148544">
      <w:pPr>
        <w:spacing w:line="640" w:lineRule="exact"/>
        <w:ind w:firstLine="640"/>
        <w:jc w:val="both"/>
        <w:outlineLvl w:val="2"/>
      </w:pPr>
      <w:r>
        <w:rPr>
          <w:rFonts w:ascii="黑体" w:hAnsi="黑体" w:eastAsia="黑体"/>
          <w:sz w:val="32"/>
        </w:rPr>
        <w:t>四、财政拨款收入支出决算总体情况说明</w:t>
      </w:r>
    </w:p>
    <w:p w14:paraId="69DCAC98">
      <w:pPr>
        <w:spacing w:line="580" w:lineRule="exact"/>
        <w:ind w:firstLine="640"/>
        <w:jc w:val="both"/>
      </w:pPr>
      <w:r>
        <w:rPr>
          <w:rFonts w:ascii="仿宋_GB2312" w:hAnsi="仿宋_GB2312" w:eastAsia="仿宋_GB2312"/>
          <w:b/>
          <w:sz w:val="32"/>
        </w:rPr>
        <w:t>2024年度财政拨款收入总计738.48万元，</w:t>
      </w:r>
      <w:r>
        <w:rPr>
          <w:rFonts w:ascii="仿宋_GB2312" w:hAnsi="仿宋_GB2312" w:eastAsia="仿宋_GB2312"/>
          <w:b w:val="0"/>
          <w:sz w:val="32"/>
        </w:rPr>
        <w:t>其中：年初财政拨款结转和结余0.00万元，本年财政拨款收入738.48万元。</w:t>
      </w:r>
      <w:r>
        <w:rPr>
          <w:rFonts w:ascii="仿宋_GB2312" w:hAnsi="仿宋_GB2312" w:eastAsia="仿宋_GB2312"/>
          <w:b/>
          <w:sz w:val="32"/>
        </w:rPr>
        <w:t>财政拨款支出总计738.48万元，</w:t>
      </w:r>
      <w:r>
        <w:rPr>
          <w:rFonts w:ascii="仿宋_GB2312" w:hAnsi="仿宋_GB2312" w:eastAsia="仿宋_GB2312"/>
          <w:b w:val="0"/>
          <w:sz w:val="32"/>
        </w:rPr>
        <w:t>其中：年末财政拨款结转和结余0.00万元，本年财政拨款支出738.48万元。</w:t>
      </w:r>
    </w:p>
    <w:p w14:paraId="6B47D45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增加33.36万元，增长4.73%，主要原因是：本年在职人员工资调增，社保、公积金基数调增，人员经费增加，增加专项项目经费，导致相关经费增加。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621.74万元，决算数738.48万元，预决算差异率18.78%，主要原因是：年中追加人员工资、社保、公积金基数调增部分资金，年中追加2024年为民办实事经费及第一书记为民办实事经费项目，导致预决算存在差异。</w:t>
      </w:r>
    </w:p>
    <w:p w14:paraId="2CA2DA6A">
      <w:pPr>
        <w:spacing w:line="640" w:lineRule="exact"/>
        <w:ind w:firstLine="640"/>
        <w:jc w:val="both"/>
        <w:outlineLvl w:val="2"/>
      </w:pPr>
      <w:r>
        <w:rPr>
          <w:rFonts w:ascii="黑体" w:hAnsi="黑体" w:eastAsia="黑体"/>
          <w:sz w:val="32"/>
        </w:rPr>
        <w:t>五、一般公共预算财政拨款支出决算情况说明</w:t>
      </w:r>
    </w:p>
    <w:p w14:paraId="098C2DEC">
      <w:pPr>
        <w:spacing w:line="640" w:lineRule="exact"/>
        <w:ind w:firstLine="640"/>
        <w:jc w:val="both"/>
        <w:outlineLvl w:val="3"/>
      </w:pPr>
      <w:r>
        <w:rPr>
          <w:rFonts w:ascii="楷体_GB2312" w:hAnsi="楷体_GB2312" w:eastAsia="楷体_GB2312"/>
          <w:b/>
          <w:sz w:val="32"/>
        </w:rPr>
        <w:t>（一）一般公共预算财政拨款支出决算总体情况</w:t>
      </w:r>
    </w:p>
    <w:p w14:paraId="7EAFBF89">
      <w:pPr>
        <w:spacing w:line="580" w:lineRule="exact"/>
        <w:ind w:firstLine="640"/>
        <w:jc w:val="both"/>
      </w:pPr>
      <w:r>
        <w:rPr>
          <w:rFonts w:ascii="仿宋_GB2312" w:hAnsi="仿宋_GB2312" w:eastAsia="仿宋_GB2312"/>
          <w:b/>
          <w:sz w:val="32"/>
        </w:rPr>
        <w:t>2024年度一般公共预算财政拨款支出738.48万元，</w:t>
      </w:r>
      <w:r>
        <w:rPr>
          <w:rFonts w:ascii="仿宋_GB2312" w:hAnsi="仿宋_GB2312" w:eastAsia="仿宋_GB2312"/>
          <w:b w:val="0"/>
          <w:sz w:val="32"/>
        </w:rPr>
        <w:t>占本年支出合计的99.17%。</w:t>
      </w:r>
      <w:r>
        <w:rPr>
          <w:rFonts w:ascii="仿宋_GB2312" w:hAnsi="仿宋_GB2312" w:eastAsia="仿宋_GB2312"/>
          <w:b/>
          <w:sz w:val="32"/>
        </w:rPr>
        <w:t>与上年相比，</w:t>
      </w:r>
      <w:r>
        <w:rPr>
          <w:rFonts w:ascii="仿宋_GB2312" w:hAnsi="仿宋_GB2312" w:eastAsia="仿宋_GB2312"/>
          <w:b w:val="0"/>
          <w:sz w:val="32"/>
        </w:rPr>
        <w:t>增加33.36万元，增长4.73%，主要原因是：本年在职人员工资调增，社保、公积金基数调增，人员经费增加，增加专项项目经费，导致相关经费增加。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621.74万元，决算数738.48万元，预决算差异率18.78%，主要原因是：年中追加人员工资、社保、公积金基数调增部分资金，年中追加2024年为民办实事经费及第一书记为民办实事经费项目，导致预决算存在差异。</w:t>
      </w:r>
    </w:p>
    <w:p w14:paraId="2A3A8A5F">
      <w:pPr>
        <w:spacing w:line="640" w:lineRule="exact"/>
        <w:ind w:firstLine="640"/>
        <w:jc w:val="both"/>
        <w:outlineLvl w:val="3"/>
      </w:pPr>
      <w:r>
        <w:rPr>
          <w:rFonts w:ascii="楷体_GB2312" w:hAnsi="楷体_GB2312" w:eastAsia="楷体_GB2312"/>
          <w:b/>
          <w:sz w:val="32"/>
        </w:rPr>
        <w:t>（二）一般公共预算财政拨款支出决算结构情况</w:t>
      </w:r>
    </w:p>
    <w:p w14:paraId="501D7251">
      <w:pPr>
        <w:spacing w:line="580" w:lineRule="exact"/>
        <w:ind w:firstLine="640"/>
        <w:jc w:val="both"/>
      </w:pPr>
      <w:r>
        <w:rPr>
          <w:rFonts w:ascii="仿宋_GB2312" w:hAnsi="仿宋_GB2312" w:eastAsia="仿宋_GB2312"/>
          <w:b w:val="0"/>
          <w:sz w:val="32"/>
        </w:rPr>
        <w:t>1.一般公共服务支出(类)4.43万元,占0.60%。</w:t>
      </w:r>
    </w:p>
    <w:p w14:paraId="76BB4029">
      <w:pPr>
        <w:spacing w:line="580" w:lineRule="exact"/>
        <w:ind w:firstLine="640"/>
        <w:jc w:val="both"/>
      </w:pPr>
      <w:r>
        <w:rPr>
          <w:rFonts w:ascii="仿宋_GB2312" w:hAnsi="仿宋_GB2312" w:eastAsia="仿宋_GB2312"/>
          <w:b w:val="0"/>
          <w:sz w:val="32"/>
        </w:rPr>
        <w:t>2.社会保障和就业支出(类)189.58万元,占25.67%。</w:t>
      </w:r>
    </w:p>
    <w:p w14:paraId="7D306AC1">
      <w:pPr>
        <w:spacing w:line="580" w:lineRule="exact"/>
        <w:ind w:firstLine="640"/>
        <w:jc w:val="both"/>
      </w:pPr>
      <w:r>
        <w:rPr>
          <w:rFonts w:ascii="仿宋_GB2312" w:hAnsi="仿宋_GB2312" w:eastAsia="仿宋_GB2312"/>
          <w:b w:val="0"/>
          <w:sz w:val="32"/>
        </w:rPr>
        <w:t>3.卫生健康支出(类)26.68万元,占3.61%。</w:t>
      </w:r>
    </w:p>
    <w:p w14:paraId="7ECECCDB">
      <w:pPr>
        <w:spacing w:line="580" w:lineRule="exact"/>
        <w:ind w:firstLine="640"/>
        <w:jc w:val="both"/>
      </w:pPr>
      <w:r>
        <w:rPr>
          <w:rFonts w:ascii="仿宋_GB2312" w:hAnsi="仿宋_GB2312" w:eastAsia="仿宋_GB2312"/>
          <w:b w:val="0"/>
          <w:sz w:val="32"/>
        </w:rPr>
        <w:t>4.农林水支出(类)15.00万元,占2.03%。</w:t>
      </w:r>
    </w:p>
    <w:p w14:paraId="1BCC20CE">
      <w:pPr>
        <w:spacing w:line="580" w:lineRule="exact"/>
        <w:ind w:firstLine="640"/>
        <w:jc w:val="both"/>
      </w:pPr>
      <w:r>
        <w:rPr>
          <w:rFonts w:ascii="仿宋_GB2312" w:hAnsi="仿宋_GB2312" w:eastAsia="仿宋_GB2312"/>
          <w:b w:val="0"/>
          <w:sz w:val="32"/>
        </w:rPr>
        <w:t>5.商业服务业等支出(类)461.22万元,占62.46%。</w:t>
      </w:r>
    </w:p>
    <w:p w14:paraId="321DF527">
      <w:pPr>
        <w:spacing w:line="580" w:lineRule="exact"/>
        <w:ind w:firstLine="640"/>
        <w:jc w:val="both"/>
      </w:pPr>
      <w:r>
        <w:rPr>
          <w:rFonts w:ascii="仿宋_GB2312" w:hAnsi="仿宋_GB2312" w:eastAsia="仿宋_GB2312"/>
          <w:b w:val="0"/>
          <w:sz w:val="32"/>
        </w:rPr>
        <w:t>6.住房保障支出(类)41.58万元,占5.63%。</w:t>
      </w:r>
    </w:p>
    <w:p w14:paraId="502F0010">
      <w:pPr>
        <w:spacing w:line="640" w:lineRule="exact"/>
        <w:ind w:firstLine="640"/>
        <w:jc w:val="both"/>
        <w:outlineLvl w:val="3"/>
      </w:pPr>
      <w:r>
        <w:rPr>
          <w:rFonts w:ascii="楷体_GB2312" w:hAnsi="楷体_GB2312" w:eastAsia="楷体_GB2312"/>
          <w:b/>
          <w:sz w:val="32"/>
        </w:rPr>
        <w:t>（三）一般公共预算财政拨款支出决算具体情况</w:t>
      </w:r>
    </w:p>
    <w:p w14:paraId="5662D3BD">
      <w:pPr>
        <w:spacing w:line="580" w:lineRule="exact"/>
        <w:ind w:firstLine="640"/>
        <w:jc w:val="both"/>
      </w:pPr>
      <w:r>
        <w:rPr>
          <w:rFonts w:ascii="仿宋_GB2312" w:hAnsi="仿宋_GB2312" w:eastAsia="仿宋_GB2312"/>
          <w:b w:val="0"/>
          <w:sz w:val="32"/>
        </w:rPr>
        <w:t>1.一般公共服务支出(类)宣传事务(款)行政运行(项):支出决算数为4.43万元，比上年决算增加4.43万元，增长100.00%,主要原因是：本年新增2024年上半年工作补助经费，导致相关经费增加。</w:t>
      </w:r>
    </w:p>
    <w:p w14:paraId="5CE49CBD">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2.社会保障和就业支出(类)行政事业单位养老支出(款)行政单位离退休(项):支出决算数为54.67万元，比上年决算增加10.82万元，增长24.68%,主要原因是：本年增加退休人员基础绩效奖，退休费支出增加。</w:t>
      </w:r>
    </w:p>
    <w:p w14:paraId="4ED9FD6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48.80万元，比上年决算增加2.65万元，增长5.74%,主要原因是：本年在职人员工资基数调增，在职人员增加，养老缴费基数上涨，相应支出增加。</w:t>
      </w:r>
    </w:p>
    <w:p w14:paraId="1A4C4ECF">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18.78万元，比上年决算增加15.49万元，增长470.82%,主要原因是：本年新增退休人员较上年增加，职业年金缴费支出增加。</w:t>
      </w:r>
    </w:p>
    <w:p w14:paraId="3BCE4C44">
      <w:pPr>
        <w:spacing w:line="580" w:lineRule="exact"/>
        <w:ind w:firstLine="640"/>
        <w:jc w:val="both"/>
      </w:pPr>
      <w:r>
        <w:rPr>
          <w:rFonts w:ascii="仿宋_GB2312" w:hAnsi="仿宋_GB2312" w:eastAsia="仿宋_GB2312"/>
          <w:b w:val="0"/>
          <w:sz w:val="32"/>
        </w:rPr>
        <w:t>5.社会保障和就业支出(类)抚恤(款)死亡抚恤(项):支出决算数为67.33万元，比上年决算减少22.80万元，下降25.30%,主要原因是：本年新增死亡人员较上年减少，死亡抚恤支出较上年减少。</w:t>
      </w:r>
    </w:p>
    <w:p w14:paraId="3EC5329E">
      <w:pPr>
        <w:spacing w:line="580" w:lineRule="exact"/>
        <w:ind w:firstLine="640"/>
        <w:jc w:val="both"/>
      </w:pPr>
      <w:r>
        <w:rPr>
          <w:rFonts w:ascii="仿宋_GB2312" w:hAnsi="仿宋_GB2312" w:eastAsia="仿宋_GB2312"/>
          <w:b w:val="0"/>
          <w:sz w:val="32"/>
        </w:rPr>
        <w:t>6.卫生健康支出(类)行政事业单位医疗(款)行政单位医疗(项):支出决算数为20.74万元，比上年决算增加0.74万元，增长3.70%,主要原因是：本年在职人员工资基数调增，医疗缴费基数上涨，相应支出增加。</w:t>
      </w:r>
    </w:p>
    <w:p w14:paraId="0D91720D">
      <w:pPr>
        <w:spacing w:line="580" w:lineRule="exact"/>
        <w:ind w:firstLine="640"/>
        <w:jc w:val="both"/>
      </w:pPr>
      <w:r>
        <w:rPr>
          <w:rFonts w:ascii="仿宋_GB2312" w:hAnsi="仿宋_GB2312" w:eastAsia="仿宋_GB2312"/>
          <w:b w:val="0"/>
          <w:sz w:val="32"/>
        </w:rPr>
        <w:t>7.卫生健康支出(类)行政事业单位医疗(款)公务员医疗补助(项):支出决算数为5.94万元，比上年决算增加0.19万元，增长3.30%,主要原因是：本年在职人员工资基数调增，医疗缴费基数上涨，相应支出增加。</w:t>
      </w:r>
    </w:p>
    <w:p w14:paraId="4BC145AD">
      <w:pPr>
        <w:spacing w:line="580" w:lineRule="exact"/>
        <w:ind w:firstLine="640"/>
        <w:jc w:val="both"/>
      </w:pPr>
      <w:r>
        <w:rPr>
          <w:rFonts w:ascii="仿宋_GB2312" w:hAnsi="仿宋_GB2312" w:eastAsia="仿宋_GB2312"/>
          <w:b w:val="0"/>
          <w:sz w:val="32"/>
        </w:rPr>
        <w:t>8.农林水支出(类)林业和草原(款)一般行政管理事务(项):支出决算数为15.00万元，比上年决算增加15.00万元，增长100.00%,主要原因是：本年增加专项项目经费，导致相关经费增加。</w:t>
      </w:r>
    </w:p>
    <w:p w14:paraId="3FB6BBC2">
      <w:pPr>
        <w:spacing w:line="580" w:lineRule="exact"/>
        <w:ind w:firstLine="640"/>
        <w:jc w:val="both"/>
      </w:pPr>
      <w:r>
        <w:rPr>
          <w:rFonts w:ascii="仿宋_GB2312" w:hAnsi="仿宋_GB2312" w:eastAsia="仿宋_GB2312"/>
          <w:b w:val="0"/>
          <w:sz w:val="32"/>
        </w:rPr>
        <w:t>9.商业服务业等支出(类)商业流通事务(款)行政运行(项):支出决算数为421.59万元，比上年决算增加12.34万元，增长3.02%,主要原因是：本年在职人员工资调增，导致相关人员经费较上年有所增加。</w:t>
      </w:r>
    </w:p>
    <w:p w14:paraId="53959C83">
      <w:pPr>
        <w:spacing w:line="580" w:lineRule="exact"/>
        <w:ind w:firstLine="640"/>
        <w:jc w:val="both"/>
      </w:pPr>
      <w:r>
        <w:rPr>
          <w:rFonts w:ascii="仿宋_GB2312" w:hAnsi="仿宋_GB2312" w:eastAsia="仿宋_GB2312"/>
          <w:b w:val="0"/>
          <w:sz w:val="32"/>
        </w:rPr>
        <w:t>10.商业服务业等支出(类)商业流通事务(款)一般行政管理事务(项):支出决算数为15.00万元，比上年决算减少5.50万元，下降26.83%,主要原因是：本年减少视联网建设项目经费，导致相关经费减少。</w:t>
      </w:r>
    </w:p>
    <w:p w14:paraId="1F9791B4">
      <w:pPr>
        <w:spacing w:line="580" w:lineRule="exact"/>
        <w:ind w:firstLine="640"/>
        <w:jc w:val="both"/>
      </w:pPr>
      <w:r>
        <w:rPr>
          <w:rFonts w:ascii="仿宋_GB2312" w:hAnsi="仿宋_GB2312" w:eastAsia="仿宋_GB2312"/>
          <w:b w:val="0"/>
          <w:sz w:val="32"/>
        </w:rPr>
        <w:t>11.商业服务业等支出(类)商业流通事务(款)其他商业流通事务支出(项):支出决算数为24.63万元，比上年决算减少2.24万元，下降8.34%,主要原因是：本年减少农产品促销与加工项目经费，导致相关经费减少。</w:t>
      </w:r>
    </w:p>
    <w:p w14:paraId="119EC905">
      <w:pPr>
        <w:spacing w:line="580" w:lineRule="exact"/>
        <w:ind w:firstLine="640"/>
        <w:jc w:val="both"/>
      </w:pPr>
      <w:r>
        <w:rPr>
          <w:rFonts w:ascii="仿宋_GB2312" w:hAnsi="仿宋_GB2312" w:eastAsia="仿宋_GB2312"/>
          <w:b w:val="0"/>
          <w:sz w:val="32"/>
        </w:rPr>
        <w:t>12.住房保障支出(类)住房改革支出(款)住房公积金(项):支出决算数为41.58万元，比上年决算增加3.44万元，增长9.02%,主要原因是：本年在职人员工资基数调增，公积金缴费基数上涨，相应支出增加。</w:t>
      </w:r>
    </w:p>
    <w:p w14:paraId="086EF6F6">
      <w:pPr>
        <w:spacing w:line="580" w:lineRule="exact"/>
        <w:ind w:firstLine="640"/>
        <w:jc w:val="both"/>
      </w:pPr>
      <w:r>
        <w:rPr>
          <w:rFonts w:ascii="仿宋_GB2312" w:hAnsi="仿宋_GB2312" w:eastAsia="仿宋_GB2312"/>
          <w:b w:val="0"/>
          <w:sz w:val="32"/>
        </w:rPr>
        <w:t>13.其他支出(类)其他支出(款)其他支出(项):支出决算数为0.00万元，比上年决算减少1.19万元，下降100.00%,主要原因是：本年减少专项项目经费，导致下降。</w:t>
      </w:r>
    </w:p>
    <w:p w14:paraId="13EC95D3">
      <w:pPr>
        <w:spacing w:line="640" w:lineRule="exact"/>
        <w:ind w:firstLine="640"/>
        <w:jc w:val="both"/>
        <w:outlineLvl w:val="2"/>
      </w:pPr>
      <w:r>
        <w:rPr>
          <w:rFonts w:ascii="黑体" w:hAnsi="黑体" w:eastAsia="黑体"/>
          <w:sz w:val="32"/>
        </w:rPr>
        <w:t>六、一般公共预算财政拨款基本支出决算情况说明</w:t>
      </w:r>
    </w:p>
    <w:p w14:paraId="0473B1D5">
      <w:pPr>
        <w:spacing w:line="580" w:lineRule="exact"/>
        <w:ind w:firstLine="640"/>
        <w:jc w:val="both"/>
      </w:pPr>
      <w:r>
        <w:rPr>
          <w:rFonts w:ascii="仿宋_GB2312" w:hAnsi="仿宋_GB2312" w:eastAsia="仿宋_GB2312"/>
          <w:b w:val="0"/>
          <w:sz w:val="32"/>
        </w:rPr>
        <w:t>2024年度一般公共预算财政拨款基本支出683.86万元，其中：</w:t>
      </w:r>
      <w:r>
        <w:rPr>
          <w:rFonts w:ascii="仿宋_GB2312" w:hAnsi="仿宋_GB2312" w:eastAsia="仿宋_GB2312"/>
          <w:b/>
          <w:sz w:val="32"/>
        </w:rPr>
        <w:t>人员经费652.10万元，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其他对个人和家庭的补助。</w:t>
      </w:r>
    </w:p>
    <w:p w14:paraId="1BCCF0B0">
      <w:pPr>
        <w:spacing w:line="580" w:lineRule="exact"/>
        <w:ind w:firstLine="640"/>
        <w:jc w:val="both"/>
      </w:pPr>
      <w:r>
        <w:rPr>
          <w:rFonts w:ascii="仿宋_GB2312" w:hAnsi="仿宋_GB2312" w:eastAsia="仿宋_GB2312"/>
          <w:b/>
          <w:sz w:val="32"/>
        </w:rPr>
        <w:t>公用经费31.75万元，</w:t>
      </w:r>
      <w:r>
        <w:rPr>
          <w:rFonts w:ascii="仿宋_GB2312" w:hAnsi="仿宋_GB2312" w:eastAsia="仿宋_GB2312"/>
          <w:b w:val="0"/>
          <w:sz w:val="32"/>
        </w:rPr>
        <w:t>包括：办公费、电费、邮电费、取暖费、差旅费、专用材料费、委托业务费、工会经费、其他交通费用、其他商品和服务支出。</w:t>
      </w:r>
    </w:p>
    <w:p w14:paraId="07E26FBE">
      <w:pPr>
        <w:spacing w:line="640" w:lineRule="exact"/>
        <w:ind w:firstLine="640"/>
        <w:jc w:val="both"/>
        <w:outlineLvl w:val="2"/>
      </w:pPr>
      <w:r>
        <w:rPr>
          <w:rFonts w:ascii="黑体" w:hAnsi="黑体" w:eastAsia="黑体"/>
          <w:sz w:val="32"/>
        </w:rPr>
        <w:t>七、政府性基金预算财政拨款收入支出决算情况说明</w:t>
      </w:r>
    </w:p>
    <w:p w14:paraId="4F0303B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BBF088E">
      <w:pPr>
        <w:spacing w:line="640" w:lineRule="exact"/>
        <w:ind w:firstLine="640"/>
        <w:jc w:val="both"/>
        <w:outlineLvl w:val="2"/>
      </w:pPr>
      <w:r>
        <w:rPr>
          <w:rFonts w:ascii="黑体" w:hAnsi="黑体" w:eastAsia="黑体"/>
          <w:sz w:val="32"/>
        </w:rPr>
        <w:t>八、国有资本经营预算财政拨款收入支出决算情况说明</w:t>
      </w:r>
    </w:p>
    <w:p w14:paraId="763196E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7BED463">
      <w:pPr>
        <w:spacing w:line="640" w:lineRule="exact"/>
        <w:ind w:firstLine="640"/>
        <w:jc w:val="both"/>
        <w:outlineLvl w:val="2"/>
      </w:pPr>
      <w:r>
        <w:rPr>
          <w:rFonts w:ascii="黑体" w:hAnsi="黑体" w:eastAsia="黑体"/>
          <w:sz w:val="32"/>
        </w:rPr>
        <w:t>九、财政拨款“三公”经费支出决算情况说明</w:t>
      </w:r>
    </w:p>
    <w:p w14:paraId="797EDA4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927C02E">
      <w:pPr>
        <w:spacing w:line="580" w:lineRule="exact"/>
        <w:ind w:firstLine="640"/>
        <w:jc w:val="both"/>
      </w:pPr>
      <w:r>
        <w:rPr>
          <w:rFonts w:ascii="仿宋_GB2312" w:hAnsi="仿宋_GB2312" w:eastAsia="仿宋_GB2312"/>
          <w:b/>
          <w:sz w:val="32"/>
        </w:rPr>
        <w:t>具体情况如下：</w:t>
      </w:r>
    </w:p>
    <w:p w14:paraId="4244D41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C1552E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24FADAAB">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FDA08E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30997AB">
      <w:pPr>
        <w:spacing w:line="640" w:lineRule="exact"/>
        <w:ind w:firstLine="640"/>
        <w:jc w:val="both"/>
        <w:outlineLvl w:val="2"/>
      </w:pPr>
      <w:r>
        <w:rPr>
          <w:rFonts w:ascii="黑体" w:hAnsi="黑体" w:eastAsia="黑体"/>
          <w:sz w:val="32"/>
        </w:rPr>
        <w:t>十、其他重要事项的情况说明</w:t>
      </w:r>
    </w:p>
    <w:p w14:paraId="75811332">
      <w:pPr>
        <w:spacing w:line="640" w:lineRule="exact"/>
        <w:ind w:firstLine="640"/>
        <w:jc w:val="both"/>
        <w:outlineLvl w:val="3"/>
      </w:pPr>
      <w:r>
        <w:rPr>
          <w:rFonts w:ascii="楷体_GB2312" w:hAnsi="楷体_GB2312" w:eastAsia="楷体_GB2312"/>
          <w:b/>
          <w:sz w:val="32"/>
        </w:rPr>
        <w:t>（一）机关运行经费及公用经费支出情况</w:t>
      </w:r>
    </w:p>
    <w:p w14:paraId="0F0B106B">
      <w:pPr>
        <w:spacing w:line="580" w:lineRule="exact"/>
        <w:ind w:firstLine="640"/>
        <w:jc w:val="both"/>
      </w:pPr>
      <w:r>
        <w:rPr>
          <w:rFonts w:ascii="仿宋_GB2312" w:hAnsi="仿宋_GB2312" w:eastAsia="仿宋_GB2312"/>
          <w:b w:val="0"/>
          <w:sz w:val="32"/>
        </w:rPr>
        <w:t>2024年度喀什地区供销合作社联合社（行政单位和参照公务员法管理事业单位）机关运行经费支出31.75万元，比上年增加5.90万元，增长22.82%，主要原因是：本年联谊活动费和工会经费增加，导致较上年有所增长。</w:t>
      </w:r>
    </w:p>
    <w:p w14:paraId="4CB2CC9E">
      <w:pPr>
        <w:spacing w:line="640" w:lineRule="exact"/>
        <w:ind w:firstLine="640"/>
        <w:jc w:val="both"/>
        <w:outlineLvl w:val="3"/>
      </w:pPr>
      <w:r>
        <w:rPr>
          <w:rFonts w:ascii="楷体_GB2312" w:hAnsi="楷体_GB2312" w:eastAsia="楷体_GB2312"/>
          <w:b/>
          <w:sz w:val="32"/>
        </w:rPr>
        <w:t>（二）政府采购情况</w:t>
      </w:r>
    </w:p>
    <w:p w14:paraId="23C4CB51">
      <w:pPr>
        <w:spacing w:line="580" w:lineRule="exact"/>
        <w:ind w:firstLine="640"/>
        <w:jc w:val="both"/>
      </w:pPr>
      <w:r>
        <w:rPr>
          <w:rFonts w:ascii="仿宋_GB2312" w:hAnsi="仿宋_GB2312" w:eastAsia="仿宋_GB2312"/>
          <w:b w:val="0"/>
          <w:sz w:val="32"/>
        </w:rPr>
        <w:t>2024年度政府采购支出总额44.41万元，其中：政府采购货物支出26.86万元、政府采购工程支出0.35万元、政府采购服务支出17.20万元。</w:t>
      </w:r>
    </w:p>
    <w:p w14:paraId="6B280F31">
      <w:pPr>
        <w:spacing w:line="580" w:lineRule="exact"/>
        <w:ind w:firstLine="640"/>
        <w:jc w:val="both"/>
      </w:pPr>
      <w:r>
        <w:rPr>
          <w:rFonts w:ascii="仿宋_GB2312" w:hAnsi="仿宋_GB2312" w:eastAsia="仿宋_GB2312"/>
          <w:b w:val="0"/>
          <w:sz w:val="32"/>
        </w:rPr>
        <w:t>授予中小企业合同金额41.24万元，占政府采购支出总额的92.86%，其中：授予小微企业合同金额40.38万元，占政府采购支出总额的90.93%。</w:t>
      </w:r>
    </w:p>
    <w:p w14:paraId="7F22D463">
      <w:pPr>
        <w:spacing w:line="640" w:lineRule="exact"/>
        <w:ind w:firstLine="640"/>
        <w:jc w:val="both"/>
        <w:outlineLvl w:val="3"/>
      </w:pPr>
      <w:r>
        <w:rPr>
          <w:rFonts w:ascii="楷体_GB2312" w:hAnsi="楷体_GB2312" w:eastAsia="楷体_GB2312"/>
          <w:b/>
          <w:sz w:val="32"/>
        </w:rPr>
        <w:t>（三）国有资产占用情况说明</w:t>
      </w:r>
    </w:p>
    <w:p w14:paraId="7A83582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2B08CEE8">
      <w:pPr>
        <w:spacing w:line="640" w:lineRule="exact"/>
        <w:ind w:firstLine="640"/>
        <w:jc w:val="both"/>
        <w:outlineLvl w:val="2"/>
      </w:pPr>
      <w:r>
        <w:rPr>
          <w:rFonts w:ascii="黑体" w:hAnsi="黑体" w:eastAsia="黑体"/>
          <w:sz w:val="32"/>
        </w:rPr>
        <w:t>十一、预算绩效的情况说明</w:t>
      </w:r>
    </w:p>
    <w:p w14:paraId="6023252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根据预算绩效管理要求，本部门2024年度预算绩效管理形成整体支出绩效自评表1个，全年预算总额749.69万元，实际执行总额744.64万元；预算绩效评价项目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62.</w:t>
      </w:r>
      <w:r>
        <w:rPr>
          <w:rFonts w:hint="eastAsia" w:ascii="仿宋_GB2312" w:hAnsi="仿宋_GB2312" w:eastAsia="仿宋_GB2312"/>
          <w:b w:val="0"/>
          <w:sz w:val="32"/>
          <w:lang w:val="en-US" w:eastAsia="zh-CN"/>
        </w:rPr>
        <w:t>1</w:t>
      </w:r>
      <w:r>
        <w:rPr>
          <w:rFonts w:hint="eastAsia" w:ascii="仿宋_GB2312" w:hAnsi="仿宋_GB2312" w:eastAsia="仿宋_GB2312"/>
          <w:b w:val="0"/>
          <w:sz w:val="32"/>
        </w:rPr>
        <w:t>9</w:t>
      </w:r>
      <w:r>
        <w:rPr>
          <w:rFonts w:ascii="仿宋_GB2312" w:hAnsi="仿宋_GB2312" w:eastAsia="仿宋_GB2312"/>
          <w:b w:val="0"/>
          <w:sz w:val="32"/>
        </w:rPr>
        <w:t>万元，全年执行数</w:t>
      </w:r>
      <w:r>
        <w:rPr>
          <w:rFonts w:hint="eastAsia" w:ascii="仿宋_GB2312" w:hAnsi="仿宋_GB2312" w:eastAsia="仿宋_GB2312"/>
          <w:b w:val="0"/>
          <w:sz w:val="32"/>
        </w:rPr>
        <w:t>60.78</w:t>
      </w:r>
      <w:r>
        <w:rPr>
          <w:rFonts w:ascii="仿宋_GB2312" w:hAnsi="仿宋_GB2312" w:eastAsia="仿宋_GB2312"/>
          <w:b w:val="0"/>
          <w:sz w:val="32"/>
        </w:rPr>
        <w:t>万元。预算绩效管理取得的成效：一是绩效理念普遍树立，优化了项目支出结构；二是通过预算绩效管理，总结了工作中的良好经验，能够严格按照财务制度审批、执行，每个环节合法合规合理。发现的问题及原因：对各项指标和指标值要进一步优化、完善，主要在细化、量化上改进，在绩效自评方面，是缺少带着问题去评价的意识，现场评价的工作量少，后续效益评价具体措施和方法不够全面。原因是：对绩效评价的重要性认识还不够，把绩效评价结果运用于实际工作做</w:t>
      </w:r>
      <w:r>
        <w:rPr>
          <w:rFonts w:hint="eastAsia" w:ascii="仿宋_GB2312" w:hAnsi="仿宋_GB2312" w:eastAsia="仿宋_GB2312"/>
          <w:b w:val="0"/>
          <w:sz w:val="32"/>
          <w:lang w:eastAsia="zh-CN"/>
        </w:rPr>
        <w:t>得</w:t>
      </w:r>
      <w:r>
        <w:rPr>
          <w:rFonts w:ascii="仿宋_GB2312" w:hAnsi="仿宋_GB2312" w:eastAsia="仿宋_GB2312"/>
          <w:b w:val="0"/>
          <w:sz w:val="32"/>
        </w:rPr>
        <w:t>不够。下一步改进措施：一是根据项目的业务特点进行认真总结，并将经验用到今后的工作中去。目标值更加细化实施方案，在细化、量化上精准。二是提高对绩效评价工作</w:t>
      </w:r>
      <w:r>
        <w:rPr>
          <w:rFonts w:hint="eastAsia" w:ascii="仿宋_GB2312" w:hAnsi="仿宋_GB2312" w:eastAsia="仿宋_GB2312"/>
          <w:b w:val="0"/>
          <w:sz w:val="32"/>
          <w:lang w:eastAsia="zh-CN"/>
        </w:rPr>
        <w:t>的</w:t>
      </w:r>
      <w:r>
        <w:rPr>
          <w:rFonts w:ascii="仿宋_GB2312" w:hAnsi="仿宋_GB2312" w:eastAsia="仿宋_GB2312"/>
          <w:b w:val="0"/>
          <w:sz w:val="32"/>
        </w:rPr>
        <w:t>重视程度，评价工作和意识应贯穿项目整个过程。具体附部门整体支出绩效自评表，项目支出绩效自评表和部门评价报告。</w:t>
      </w:r>
    </w:p>
    <w:p w14:paraId="2C6EFAF7">
      <w:r>
        <w:br w:type="page"/>
      </w:r>
    </w:p>
    <w:tbl>
      <w:tblPr>
        <w:tblStyle w:val="9"/>
        <w:tblW w:w="9285" w:type="dxa"/>
        <w:tblInd w:w="0" w:type="dxa"/>
        <w:tblLayout w:type="autofit"/>
        <w:tblCellMar>
          <w:top w:w="0" w:type="dxa"/>
          <w:left w:w="108" w:type="dxa"/>
          <w:bottom w:w="0" w:type="dxa"/>
          <w:right w:w="108" w:type="dxa"/>
        </w:tblCellMar>
      </w:tblPr>
      <w:tblGrid>
        <w:gridCol w:w="983"/>
        <w:gridCol w:w="983"/>
        <w:gridCol w:w="983"/>
        <w:gridCol w:w="983"/>
        <w:gridCol w:w="1128"/>
        <w:gridCol w:w="838"/>
        <w:gridCol w:w="983"/>
        <w:gridCol w:w="983"/>
        <w:gridCol w:w="1421"/>
      </w:tblGrid>
      <w:tr w14:paraId="08C5FCEE">
        <w:tblPrEx>
          <w:tblCellMar>
            <w:top w:w="0" w:type="dxa"/>
            <w:left w:w="108" w:type="dxa"/>
            <w:bottom w:w="0" w:type="dxa"/>
            <w:right w:w="108" w:type="dxa"/>
          </w:tblCellMar>
        </w:tblPrEx>
        <w:tc>
          <w:tcPr>
            <w:tcW w:w="9285" w:type="dxa"/>
            <w:gridSpan w:val="9"/>
            <w:vAlign w:val="center"/>
          </w:tcPr>
          <w:p w14:paraId="494F3E6F">
            <w:pPr>
              <w:jc w:val="center"/>
            </w:pPr>
            <w:r>
              <w:rPr>
                <w:rFonts w:ascii="宋体" w:hAnsi="宋体" w:eastAsia="宋体"/>
                <w:sz w:val="24"/>
              </w:rPr>
              <w:t>部门整体支出绩效自评表</w:t>
            </w:r>
          </w:p>
        </w:tc>
      </w:tr>
      <w:tr w14:paraId="71540ACC">
        <w:tblPrEx>
          <w:tblCellMar>
            <w:top w:w="0" w:type="dxa"/>
            <w:left w:w="108" w:type="dxa"/>
            <w:bottom w:w="0" w:type="dxa"/>
            <w:right w:w="108" w:type="dxa"/>
          </w:tblCellMar>
        </w:tblPrEx>
        <w:tc>
          <w:tcPr>
            <w:tcW w:w="9285" w:type="dxa"/>
            <w:gridSpan w:val="9"/>
            <w:vAlign w:val="center"/>
          </w:tcPr>
          <w:p w14:paraId="028FDA26">
            <w:pPr>
              <w:jc w:val="center"/>
            </w:pPr>
            <w:r>
              <w:rPr>
                <w:rFonts w:ascii="宋体" w:hAnsi="宋体" w:eastAsia="宋体"/>
                <w:sz w:val="24"/>
              </w:rPr>
              <w:t>（2024年度）</w:t>
            </w:r>
          </w:p>
        </w:tc>
      </w:tr>
      <w:tr w14:paraId="7AC5124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51201">
            <w:pPr>
              <w:jc w:val="center"/>
            </w:pPr>
            <w:r>
              <w:rPr>
                <w:rFonts w:ascii="宋体" w:hAnsi="宋体" w:eastAsia="宋体"/>
                <w:sz w:val="16"/>
              </w:rPr>
              <w:t>部门名称</w:t>
            </w:r>
          </w:p>
        </w:tc>
        <w:tc>
          <w:tcPr>
            <w:tcW w:w="830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C84F2C">
            <w:pPr>
              <w:jc w:val="center"/>
            </w:pPr>
            <w:r>
              <w:rPr>
                <w:rFonts w:ascii="宋体" w:hAnsi="宋体" w:eastAsia="宋体"/>
                <w:sz w:val="16"/>
              </w:rPr>
              <w:t>喀什地区供销合作社联合社</w:t>
            </w:r>
          </w:p>
        </w:tc>
      </w:tr>
      <w:tr w14:paraId="49A4DB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12BB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5E71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DA6F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649B4">
            <w:pPr>
              <w:jc w:val="center"/>
            </w:pPr>
            <w:r>
              <w:rPr>
                <w:rFonts w:ascii="宋体" w:hAnsi="宋体" w:eastAsia="宋体"/>
                <w:sz w:val="16"/>
              </w:rPr>
              <w:t>预算数（调整后）</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3DF2EE6D">
            <w:pPr>
              <w:jc w:val="center"/>
            </w:pPr>
            <w:r>
              <w:rPr>
                <w:rFonts w:ascii="宋体" w:hAnsi="宋体" w:eastAsia="宋体"/>
                <w:sz w:val="16"/>
              </w:rPr>
              <w:t>执行数</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55B6DF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E121C">
            <w:pPr>
              <w:jc w:val="center"/>
            </w:pPr>
            <w:r>
              <w:rPr>
                <w:rFonts w:ascii="宋体" w:hAnsi="宋体" w:eastAsia="宋体"/>
                <w:sz w:val="16"/>
              </w:rPr>
              <w:t>执行率</w:t>
            </w:r>
          </w:p>
        </w:tc>
        <w:tc>
          <w:tcPr>
            <w:tcW w:w="2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9BE26">
            <w:pPr>
              <w:jc w:val="center"/>
            </w:pPr>
            <w:r>
              <w:rPr>
                <w:rFonts w:ascii="宋体" w:hAnsi="宋体" w:eastAsia="宋体"/>
                <w:sz w:val="16"/>
              </w:rPr>
              <w:t>得分</w:t>
            </w:r>
          </w:p>
        </w:tc>
      </w:tr>
      <w:tr w14:paraId="54459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DA2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1432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4E0EF">
            <w:pPr>
              <w:jc w:val="center"/>
            </w:pPr>
            <w:r>
              <w:rPr>
                <w:rFonts w:ascii="宋体" w:hAnsi="宋体" w:eastAsia="宋体"/>
                <w:sz w:val="16"/>
              </w:rPr>
              <w:t>626.90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C2888">
            <w:pPr>
              <w:jc w:val="center"/>
            </w:pPr>
            <w:r>
              <w:rPr>
                <w:rFonts w:ascii="宋体" w:hAnsi="宋体" w:eastAsia="宋体"/>
                <w:sz w:val="16"/>
              </w:rPr>
              <w:t>749.69</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72E3603A">
            <w:pPr>
              <w:jc w:val="center"/>
            </w:pPr>
            <w:r>
              <w:rPr>
                <w:rFonts w:ascii="宋体" w:hAnsi="宋体" w:eastAsia="宋体"/>
                <w:sz w:val="16"/>
              </w:rPr>
              <w:t>744.64</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3A38C4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7EA91">
            <w:pPr>
              <w:jc w:val="center"/>
            </w:pPr>
            <w:r>
              <w:rPr>
                <w:rFonts w:ascii="宋体" w:hAnsi="宋体" w:eastAsia="宋体"/>
                <w:sz w:val="16"/>
              </w:rPr>
              <w:t>99.33%</w:t>
            </w:r>
          </w:p>
        </w:tc>
        <w:tc>
          <w:tcPr>
            <w:tcW w:w="2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4BD6">
            <w:pPr>
              <w:jc w:val="center"/>
            </w:pPr>
            <w:r>
              <w:rPr>
                <w:rFonts w:ascii="宋体" w:hAnsi="宋体" w:eastAsia="宋体"/>
                <w:sz w:val="16"/>
              </w:rPr>
              <w:t>9.93</w:t>
            </w:r>
          </w:p>
        </w:tc>
      </w:tr>
      <w:tr w14:paraId="03BDB2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655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B9ED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28CC2">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B9423">
            <w:pPr>
              <w:jc w:val="center"/>
            </w:pPr>
            <w:r>
              <w:rPr>
                <w:rFonts w:ascii="宋体" w:hAnsi="宋体" w:eastAsia="宋体"/>
                <w:sz w:val="16"/>
              </w:rPr>
              <w:t>42.42</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6D336F46">
            <w:pPr>
              <w:jc w:val="center"/>
            </w:pPr>
            <w:r>
              <w:rPr>
                <w:rFonts w:ascii="宋体" w:hAnsi="宋体" w:eastAsia="宋体"/>
                <w:sz w:val="16"/>
              </w:rPr>
              <w:t>38.78</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3B24E6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D0EB3">
            <w:pPr>
              <w:jc w:val="center"/>
            </w:pPr>
            <w:r>
              <w:rPr>
                <w:rFonts w:ascii="宋体" w:hAnsi="宋体" w:eastAsia="宋体"/>
                <w:sz w:val="16"/>
              </w:rPr>
              <w:t>—</w:t>
            </w:r>
          </w:p>
        </w:tc>
        <w:tc>
          <w:tcPr>
            <w:tcW w:w="2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1167">
            <w:pPr>
              <w:jc w:val="center"/>
            </w:pPr>
            <w:r>
              <w:rPr>
                <w:rFonts w:ascii="宋体" w:hAnsi="宋体" w:eastAsia="宋体"/>
                <w:sz w:val="16"/>
              </w:rPr>
              <w:t>—</w:t>
            </w:r>
          </w:p>
        </w:tc>
      </w:tr>
      <w:tr w14:paraId="0A55D1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C92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49B4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0FE94">
            <w:pPr>
              <w:jc w:val="center"/>
            </w:pPr>
            <w:r>
              <w:rPr>
                <w:rFonts w:ascii="宋体" w:hAnsi="宋体" w:eastAsia="宋体"/>
                <w:sz w:val="16"/>
              </w:rPr>
              <w:t>620.26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74A4A">
            <w:pPr>
              <w:jc w:val="center"/>
            </w:pPr>
            <w:r>
              <w:rPr>
                <w:rFonts w:ascii="宋体" w:hAnsi="宋体" w:eastAsia="宋体"/>
                <w:sz w:val="16"/>
              </w:rPr>
              <w:t>701.11</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77F0C466">
            <w:pPr>
              <w:jc w:val="center"/>
            </w:pPr>
            <w:r>
              <w:rPr>
                <w:rFonts w:ascii="宋体" w:hAnsi="宋体" w:eastAsia="宋体"/>
                <w:sz w:val="16"/>
              </w:rPr>
              <w:t>699.70</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3CE240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C5643">
            <w:pPr>
              <w:jc w:val="center"/>
            </w:pPr>
            <w:r>
              <w:rPr>
                <w:rFonts w:ascii="宋体" w:hAnsi="宋体" w:eastAsia="宋体"/>
                <w:sz w:val="16"/>
              </w:rPr>
              <w:t>—</w:t>
            </w:r>
          </w:p>
        </w:tc>
        <w:tc>
          <w:tcPr>
            <w:tcW w:w="2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D1287">
            <w:pPr>
              <w:jc w:val="center"/>
            </w:pPr>
            <w:r>
              <w:rPr>
                <w:rFonts w:ascii="宋体" w:hAnsi="宋体" w:eastAsia="宋体"/>
                <w:sz w:val="16"/>
              </w:rPr>
              <w:t>—</w:t>
            </w:r>
          </w:p>
        </w:tc>
      </w:tr>
      <w:tr w14:paraId="3633E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60C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46B1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36967">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86280">
            <w:pPr>
              <w:jc w:val="center"/>
            </w:pPr>
            <w:r>
              <w:rPr>
                <w:rFonts w:ascii="宋体" w:hAnsi="宋体" w:eastAsia="宋体"/>
                <w:sz w:val="16"/>
              </w:rPr>
              <w:t>6.16</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1AB2AA9B">
            <w:pPr>
              <w:jc w:val="center"/>
            </w:pPr>
            <w:r>
              <w:rPr>
                <w:rFonts w:ascii="宋体" w:hAnsi="宋体" w:eastAsia="宋体"/>
                <w:sz w:val="16"/>
              </w:rPr>
              <w:t>6.16</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1ED1E4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3CACD">
            <w:pPr>
              <w:jc w:val="center"/>
            </w:pPr>
            <w:r>
              <w:rPr>
                <w:rFonts w:ascii="宋体" w:hAnsi="宋体" w:eastAsia="宋体"/>
                <w:sz w:val="16"/>
              </w:rPr>
              <w:t>—</w:t>
            </w:r>
          </w:p>
        </w:tc>
        <w:tc>
          <w:tcPr>
            <w:tcW w:w="2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6DAB">
            <w:pPr>
              <w:jc w:val="center"/>
            </w:pPr>
            <w:r>
              <w:rPr>
                <w:rFonts w:ascii="宋体" w:hAnsi="宋体" w:eastAsia="宋体"/>
                <w:sz w:val="16"/>
              </w:rPr>
              <w:t>—</w:t>
            </w:r>
          </w:p>
        </w:tc>
      </w:tr>
      <w:tr w14:paraId="71653F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ED8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72440A">
            <w:pPr>
              <w:jc w:val="center"/>
            </w:pPr>
            <w:r>
              <w:rPr>
                <w:rFonts w:ascii="宋体" w:hAnsi="宋体" w:eastAsia="宋体"/>
                <w:sz w:val="16"/>
              </w:rPr>
              <w:t>预期目标</w:t>
            </w:r>
          </w:p>
        </w:tc>
        <w:tc>
          <w:tcPr>
            <w:tcW w:w="53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0DC2FB">
            <w:pPr>
              <w:jc w:val="center"/>
            </w:pPr>
            <w:r>
              <w:rPr>
                <w:rFonts w:ascii="宋体" w:hAnsi="宋体" w:eastAsia="宋体"/>
                <w:sz w:val="16"/>
              </w:rPr>
              <w:t>实际完成情况</w:t>
            </w:r>
          </w:p>
        </w:tc>
      </w:tr>
      <w:tr w14:paraId="36B61C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CF5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C929EE">
            <w:pPr>
              <w:jc w:val="both"/>
            </w:pPr>
            <w:r>
              <w:rPr>
                <w:rFonts w:ascii="宋体" w:hAnsi="宋体" w:eastAsia="宋体"/>
                <w:sz w:val="16"/>
              </w:rPr>
              <w:t>坚持以习近平新时代中国特色社会主义思想为指导，全面贯彻党的二十大精神，深入落实中发11号文件要求，紧紧围绕加快建设农业强国，牢记为农服务根本宗旨，持续深化供销社综合改革，进一步完善体制机制、优化职能、转变作风，推动供销合作社高质量发展，为全面推进乡村振兴、加快农业农村现代化、加快建设农业强区作出应有贡献。本年度，全地区储备各类农业生产资料不少于30万吨，托市收购各类蔬菜、干鲜果品等农产品不少于10万吨,力争全年喀什地区供销社系统新建、改造提升乡镇基层社总数不少于8个，全年高质量发展基层社数量不少于3个，设立（改造）乡镇综合超市1个，新建、改造提升农村综合服务社不少于10个，全面开展农事化服务保持25万亩次以上。</w:t>
            </w:r>
          </w:p>
        </w:tc>
        <w:tc>
          <w:tcPr>
            <w:tcW w:w="53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393B6E">
            <w:pPr>
              <w:jc w:val="both"/>
            </w:pPr>
            <w:r>
              <w:rPr>
                <w:rFonts w:ascii="宋体" w:hAnsi="宋体" w:eastAsia="宋体"/>
                <w:sz w:val="16"/>
              </w:rPr>
              <w:t>一年来，地区供销社抓好主责主业，进一步贯彻落实习近平总书记对供销社的指示精神，强化农业社会化服务职能，牢记为“三农”服务的根本宗旨，持续深化供销社综合改革，优化职能、转变作风，推动供销合作社高质量发展。新建、改造提升乡镇基层社8个，全年高质量发展基层社数量3个，设立（改造）乡镇综合超市数量1个，全面开展农业社会化服务亩次25.13万亩次，新建、改造提升农村本年度，全地区储备各类农业生产资料数量30万吨，托市收购各类蔬菜、干鲜果品等农产品10.19万吨，综合服务社数量10个。切实落实为农、务农、姓农责任，增加农民收入和幸福感，助力喀什地区巩固拓展脱贫攻坚成果，全面推进乡村振兴。</w:t>
            </w:r>
          </w:p>
        </w:tc>
      </w:tr>
      <w:tr w14:paraId="4EBCD1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0699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A3FB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FBE0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AED03">
            <w:pPr>
              <w:jc w:val="center"/>
            </w:pPr>
            <w:r>
              <w:rPr>
                <w:rFonts w:ascii="宋体" w:hAnsi="宋体" w:eastAsia="宋体"/>
                <w:sz w:val="16"/>
              </w:rPr>
              <w:t>指标值</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41C2EC02">
            <w:pPr>
              <w:jc w:val="center"/>
            </w:pPr>
            <w:r>
              <w:rPr>
                <w:rFonts w:ascii="宋体" w:hAnsi="宋体" w:eastAsia="宋体"/>
                <w:sz w:val="16"/>
              </w:rPr>
              <w:t>指标值设定依据</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52A096D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62B7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8C574">
            <w:pPr>
              <w:jc w:val="center"/>
            </w:pPr>
            <w:r>
              <w:rPr>
                <w:rFonts w:ascii="宋体" w:hAnsi="宋体" w:eastAsia="宋体"/>
                <w:sz w:val="16"/>
              </w:rPr>
              <w:t>完成率</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7860C56A">
            <w:pPr>
              <w:jc w:val="center"/>
            </w:pPr>
            <w:r>
              <w:rPr>
                <w:rFonts w:ascii="宋体" w:hAnsi="宋体" w:eastAsia="宋体"/>
                <w:sz w:val="16"/>
              </w:rPr>
              <w:t>得分</w:t>
            </w:r>
          </w:p>
        </w:tc>
      </w:tr>
      <w:tr w14:paraId="46619D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80DE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0D02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487CF">
            <w:pPr>
              <w:jc w:val="center"/>
            </w:pPr>
            <w:r>
              <w:rPr>
                <w:rFonts w:ascii="宋体" w:hAnsi="宋体" w:eastAsia="宋体"/>
                <w:sz w:val="16"/>
              </w:rPr>
              <w:t>全地区储备各类农业生产资料数量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3682E">
            <w:pPr>
              <w:jc w:val="center"/>
            </w:pPr>
            <w:r>
              <w:rPr>
                <w:rFonts w:ascii="宋体" w:hAnsi="宋体" w:eastAsia="宋体"/>
                <w:sz w:val="16"/>
              </w:rPr>
              <w:t>&gt;=30万吨</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10B37348">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364D4C0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8F51B">
            <w:pPr>
              <w:jc w:val="center"/>
            </w:pPr>
            <w:r>
              <w:rPr>
                <w:rFonts w:ascii="宋体" w:hAnsi="宋体" w:eastAsia="宋体"/>
                <w:sz w:val="16"/>
              </w:rPr>
              <w:t>30万吨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66BF9">
            <w:pPr>
              <w:jc w:val="center"/>
            </w:pPr>
            <w:r>
              <w:rPr>
                <w:rFonts w:ascii="宋体" w:hAnsi="宋体" w:eastAsia="宋体"/>
                <w:sz w:val="16"/>
              </w:rPr>
              <w:t>100</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76AE8CCF">
            <w:pPr>
              <w:jc w:val="center"/>
            </w:pPr>
            <w:r>
              <w:rPr>
                <w:rFonts w:ascii="宋体" w:hAnsi="宋体" w:eastAsia="宋体"/>
                <w:sz w:val="16"/>
              </w:rPr>
              <w:t>13</w:t>
            </w:r>
          </w:p>
        </w:tc>
      </w:tr>
      <w:tr w14:paraId="1A4A0D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759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F03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479C">
            <w:pPr>
              <w:jc w:val="center"/>
            </w:pPr>
            <w:r>
              <w:rPr>
                <w:rFonts w:ascii="宋体" w:hAnsi="宋体" w:eastAsia="宋体"/>
                <w:sz w:val="16"/>
              </w:rPr>
              <w:t>托市收购各类蔬菜、干鲜果品等农产品数量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301FD">
            <w:pPr>
              <w:jc w:val="center"/>
            </w:pPr>
            <w:r>
              <w:rPr>
                <w:rFonts w:ascii="宋体" w:hAnsi="宋体" w:eastAsia="宋体"/>
                <w:sz w:val="16"/>
              </w:rPr>
              <w:t>&gt;=10万吨</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4439C91E">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384516C7">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5B645">
            <w:pPr>
              <w:jc w:val="center"/>
            </w:pPr>
            <w:r>
              <w:rPr>
                <w:rFonts w:ascii="宋体" w:hAnsi="宋体" w:eastAsia="宋体"/>
                <w:sz w:val="16"/>
              </w:rPr>
              <w:t>10.19万吨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3A20E">
            <w:pPr>
              <w:jc w:val="center"/>
            </w:pPr>
            <w:r>
              <w:rPr>
                <w:rFonts w:ascii="宋体" w:hAnsi="宋体" w:eastAsia="宋体"/>
                <w:sz w:val="16"/>
              </w:rPr>
              <w:t>101.9</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219B2531">
            <w:pPr>
              <w:jc w:val="center"/>
            </w:pPr>
            <w:r>
              <w:rPr>
                <w:rFonts w:ascii="宋体" w:hAnsi="宋体" w:eastAsia="宋体"/>
                <w:sz w:val="16"/>
              </w:rPr>
              <w:t>13</w:t>
            </w:r>
          </w:p>
        </w:tc>
      </w:tr>
      <w:tr w14:paraId="3E3E8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A4D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207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E8D84">
            <w:pPr>
              <w:jc w:val="center"/>
            </w:pPr>
            <w:r>
              <w:rPr>
                <w:rFonts w:ascii="宋体" w:hAnsi="宋体" w:eastAsia="宋体"/>
                <w:sz w:val="16"/>
              </w:rPr>
              <w:t>新建、改造提升乡镇基层社总数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80D56">
            <w:pPr>
              <w:jc w:val="center"/>
            </w:pPr>
            <w:r>
              <w:rPr>
                <w:rFonts w:ascii="宋体" w:hAnsi="宋体" w:eastAsia="宋体"/>
                <w:sz w:val="16"/>
              </w:rPr>
              <w:t>&gt;=8个</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24487229">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711C81E1">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71BBF">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74D39">
            <w:pPr>
              <w:jc w:val="center"/>
            </w:pPr>
            <w:r>
              <w:rPr>
                <w:rFonts w:ascii="宋体" w:hAnsi="宋体" w:eastAsia="宋体"/>
                <w:sz w:val="16"/>
              </w:rPr>
              <w:t>100</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7A36937E">
            <w:pPr>
              <w:jc w:val="center"/>
            </w:pPr>
            <w:r>
              <w:rPr>
                <w:rFonts w:ascii="宋体" w:hAnsi="宋体" w:eastAsia="宋体"/>
                <w:sz w:val="16"/>
              </w:rPr>
              <w:t>13</w:t>
            </w:r>
          </w:p>
        </w:tc>
      </w:tr>
      <w:tr w14:paraId="69BC2B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D4E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F01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00844">
            <w:pPr>
              <w:jc w:val="center"/>
            </w:pPr>
            <w:r>
              <w:rPr>
                <w:rFonts w:ascii="宋体" w:hAnsi="宋体" w:eastAsia="宋体"/>
                <w:sz w:val="16"/>
              </w:rPr>
              <w:t>全年高质量发展基层社数量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69562">
            <w:pPr>
              <w:jc w:val="center"/>
            </w:pPr>
            <w:r>
              <w:rPr>
                <w:rFonts w:ascii="宋体" w:hAnsi="宋体" w:eastAsia="宋体"/>
                <w:sz w:val="16"/>
              </w:rPr>
              <w:t>&gt;=3个</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28D2EBFC">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171C4FC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E779A">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562AC">
            <w:pPr>
              <w:jc w:val="center"/>
            </w:pPr>
            <w:r>
              <w:rPr>
                <w:rFonts w:ascii="宋体" w:hAnsi="宋体" w:eastAsia="宋体"/>
                <w:sz w:val="16"/>
              </w:rPr>
              <w:t>100</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7DC39464">
            <w:pPr>
              <w:jc w:val="center"/>
            </w:pPr>
            <w:r>
              <w:rPr>
                <w:rFonts w:ascii="宋体" w:hAnsi="宋体" w:eastAsia="宋体"/>
                <w:sz w:val="16"/>
              </w:rPr>
              <w:t>13</w:t>
            </w:r>
          </w:p>
        </w:tc>
      </w:tr>
      <w:tr w14:paraId="690D7A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C54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56A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62CA4">
            <w:pPr>
              <w:jc w:val="center"/>
            </w:pPr>
            <w:r>
              <w:rPr>
                <w:rFonts w:ascii="宋体" w:hAnsi="宋体" w:eastAsia="宋体"/>
                <w:sz w:val="16"/>
              </w:rPr>
              <w:t>设立（改造）乡镇综合超市数量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1A818">
            <w:pPr>
              <w:jc w:val="center"/>
            </w:pPr>
            <w:r>
              <w:rPr>
                <w:rFonts w:ascii="宋体" w:hAnsi="宋体" w:eastAsia="宋体"/>
                <w:sz w:val="16"/>
              </w:rPr>
              <w:t>&gt;=1个</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7641978D">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40C5792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101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9F1F7">
            <w:pPr>
              <w:jc w:val="center"/>
            </w:pPr>
            <w:r>
              <w:rPr>
                <w:rFonts w:ascii="宋体" w:hAnsi="宋体" w:eastAsia="宋体"/>
                <w:sz w:val="16"/>
              </w:rPr>
              <w:t>100</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0C11FCD9">
            <w:pPr>
              <w:jc w:val="center"/>
            </w:pPr>
            <w:r>
              <w:rPr>
                <w:rFonts w:ascii="宋体" w:hAnsi="宋体" w:eastAsia="宋体"/>
                <w:sz w:val="16"/>
              </w:rPr>
              <w:t>13</w:t>
            </w:r>
          </w:p>
        </w:tc>
      </w:tr>
      <w:tr w14:paraId="68270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DD9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466A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59E7D">
            <w:pPr>
              <w:jc w:val="center"/>
            </w:pPr>
            <w:r>
              <w:rPr>
                <w:rFonts w:ascii="宋体" w:hAnsi="宋体" w:eastAsia="宋体"/>
                <w:sz w:val="16"/>
              </w:rPr>
              <w:t>全面开展农事化服务亩次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1E39F">
            <w:pPr>
              <w:jc w:val="center"/>
            </w:pPr>
            <w:r>
              <w:rPr>
                <w:rFonts w:ascii="宋体" w:hAnsi="宋体" w:eastAsia="宋体"/>
                <w:sz w:val="16"/>
              </w:rPr>
              <w:t>&gt;=25万亩次</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36CC2647">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3A90408F">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C2BB0">
            <w:pPr>
              <w:jc w:val="center"/>
            </w:pPr>
            <w:r>
              <w:rPr>
                <w:rFonts w:ascii="宋体" w:hAnsi="宋体" w:eastAsia="宋体"/>
                <w:sz w:val="16"/>
              </w:rPr>
              <w:t>25.13万亩次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B6A61">
            <w:pPr>
              <w:jc w:val="center"/>
            </w:pPr>
            <w:r>
              <w:rPr>
                <w:rFonts w:ascii="宋体" w:hAnsi="宋体" w:eastAsia="宋体"/>
                <w:sz w:val="16"/>
              </w:rPr>
              <w:t>100.5</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20FB29FB">
            <w:pPr>
              <w:jc w:val="center"/>
            </w:pPr>
            <w:r>
              <w:rPr>
                <w:rFonts w:ascii="宋体" w:hAnsi="宋体" w:eastAsia="宋体"/>
                <w:sz w:val="16"/>
              </w:rPr>
              <w:t>12</w:t>
            </w:r>
          </w:p>
        </w:tc>
      </w:tr>
      <w:tr w14:paraId="546851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521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ADB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53653">
            <w:pPr>
              <w:jc w:val="center"/>
            </w:pPr>
            <w:r>
              <w:rPr>
                <w:rFonts w:ascii="宋体" w:hAnsi="宋体" w:eastAsia="宋体"/>
                <w:sz w:val="16"/>
              </w:rPr>
              <w:t>新建、改造提升农村综合服务社数量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38E99">
            <w:pPr>
              <w:jc w:val="center"/>
            </w:pPr>
            <w:r>
              <w:rPr>
                <w:rFonts w:ascii="宋体" w:hAnsi="宋体" w:eastAsia="宋体"/>
                <w:sz w:val="16"/>
              </w:rPr>
              <w:t>&gt;=10个</w:t>
            </w:r>
          </w:p>
        </w:tc>
        <w:tc>
          <w:tcPr>
            <w:tcW w:w="1128" w:type="dxa"/>
            <w:tcBorders>
              <w:top w:val="single" w:color="auto" w:sz="10" w:space="0"/>
              <w:left w:val="single" w:color="auto" w:sz="10" w:space="0"/>
              <w:bottom w:val="single" w:color="auto" w:sz="10" w:space="0"/>
              <w:right w:val="single" w:color="auto" w:sz="10" w:space="0"/>
              <w:insideV w:val="single" w:sz="10" w:space="0"/>
            </w:tcBorders>
            <w:vAlign w:val="center"/>
          </w:tcPr>
          <w:p w14:paraId="52BF243F">
            <w:pPr>
              <w:jc w:val="center"/>
            </w:pPr>
            <w:r>
              <w:rPr>
                <w:rFonts w:ascii="宋体" w:hAnsi="宋体" w:eastAsia="宋体"/>
                <w:sz w:val="16"/>
              </w:rPr>
              <w:t>《地区供销社2024年工作计划》《喀什地区供销合作社联合社章程》</w:t>
            </w:r>
          </w:p>
        </w:tc>
        <w:tc>
          <w:tcPr>
            <w:tcW w:w="838" w:type="dxa"/>
            <w:tcBorders>
              <w:top w:val="single" w:color="auto" w:sz="10" w:space="0"/>
              <w:left w:val="single" w:color="auto" w:sz="10" w:space="0"/>
              <w:bottom w:val="single" w:color="auto" w:sz="10" w:space="0"/>
              <w:right w:val="single" w:color="auto" w:sz="10" w:space="0"/>
              <w:insideV w:val="single" w:sz="10" w:space="0"/>
            </w:tcBorders>
            <w:vAlign w:val="center"/>
          </w:tcPr>
          <w:p w14:paraId="25396D4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0DB30">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9D480">
            <w:pPr>
              <w:jc w:val="center"/>
            </w:pPr>
            <w:r>
              <w:rPr>
                <w:rFonts w:ascii="宋体" w:hAnsi="宋体" w:eastAsia="宋体"/>
                <w:sz w:val="16"/>
              </w:rPr>
              <w:t>100</w:t>
            </w:r>
          </w:p>
        </w:tc>
        <w:tc>
          <w:tcPr>
            <w:tcW w:w="1421" w:type="dxa"/>
            <w:tcBorders>
              <w:top w:val="single" w:color="auto" w:sz="10" w:space="0"/>
              <w:left w:val="single" w:color="auto" w:sz="10" w:space="0"/>
              <w:bottom w:val="single" w:color="auto" w:sz="10" w:space="0"/>
              <w:right w:val="single" w:color="auto" w:sz="10" w:space="0"/>
              <w:insideV w:val="single" w:sz="10" w:space="0"/>
            </w:tcBorders>
            <w:vAlign w:val="center"/>
          </w:tcPr>
          <w:p w14:paraId="21E36154">
            <w:pPr>
              <w:jc w:val="center"/>
            </w:pPr>
            <w:r>
              <w:rPr>
                <w:rFonts w:ascii="宋体" w:hAnsi="宋体" w:eastAsia="宋体"/>
                <w:sz w:val="16"/>
              </w:rPr>
              <w:t>13</w:t>
            </w:r>
          </w:p>
        </w:tc>
      </w:tr>
    </w:tbl>
    <w:p w14:paraId="4D75D7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D4B77E9">
        <w:tblPrEx>
          <w:tblCellMar>
            <w:top w:w="0" w:type="dxa"/>
            <w:left w:w="108" w:type="dxa"/>
            <w:bottom w:w="0" w:type="dxa"/>
            <w:right w:w="108" w:type="dxa"/>
          </w:tblCellMar>
        </w:tblPrEx>
        <w:tc>
          <w:tcPr>
            <w:tcW w:w="8848" w:type="dxa"/>
            <w:gridSpan w:val="14"/>
            <w:vAlign w:val="center"/>
          </w:tcPr>
          <w:p w14:paraId="1FBCAF54">
            <w:pPr>
              <w:jc w:val="center"/>
            </w:pPr>
            <w:r>
              <w:rPr>
                <w:rFonts w:ascii="宋体" w:hAnsi="宋体" w:eastAsia="宋体"/>
                <w:sz w:val="24"/>
              </w:rPr>
              <w:t>项目支出绩效自评表</w:t>
            </w:r>
          </w:p>
        </w:tc>
      </w:tr>
      <w:tr w14:paraId="4CE54A94">
        <w:tblPrEx>
          <w:tblCellMar>
            <w:top w:w="0" w:type="dxa"/>
            <w:left w:w="108" w:type="dxa"/>
            <w:bottom w:w="0" w:type="dxa"/>
            <w:right w:w="108" w:type="dxa"/>
          </w:tblCellMar>
        </w:tblPrEx>
        <w:tc>
          <w:tcPr>
            <w:tcW w:w="8848" w:type="dxa"/>
            <w:gridSpan w:val="14"/>
            <w:vAlign w:val="center"/>
          </w:tcPr>
          <w:p w14:paraId="2B258BE8">
            <w:pPr>
              <w:jc w:val="center"/>
            </w:pPr>
            <w:r>
              <w:rPr>
                <w:rFonts w:ascii="宋体" w:hAnsi="宋体" w:eastAsia="宋体"/>
                <w:sz w:val="24"/>
              </w:rPr>
              <w:t>(2024年度)</w:t>
            </w:r>
          </w:p>
        </w:tc>
      </w:tr>
      <w:tr w14:paraId="5D4D2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FE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6CECFA">
            <w:pPr>
              <w:jc w:val="center"/>
            </w:pPr>
            <w:r>
              <w:rPr>
                <w:rFonts w:ascii="宋体" w:hAnsi="宋体" w:eastAsia="宋体"/>
                <w:sz w:val="16"/>
              </w:rPr>
              <w:t>农产品促销与加工项目</w:t>
            </w:r>
          </w:p>
        </w:tc>
      </w:tr>
      <w:tr w14:paraId="73553B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B1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11227">
            <w:pPr>
              <w:jc w:val="center"/>
            </w:pPr>
            <w:r>
              <w:rPr>
                <w:rFonts w:ascii="宋体" w:hAnsi="宋体" w:eastAsia="宋体"/>
                <w:sz w:val="16"/>
              </w:rPr>
              <w:t>喀什地区供销合作社联合社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14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319277">
            <w:pPr>
              <w:jc w:val="center"/>
            </w:pPr>
            <w:r>
              <w:rPr>
                <w:rFonts w:ascii="宋体" w:hAnsi="宋体" w:eastAsia="宋体"/>
                <w:sz w:val="16"/>
              </w:rPr>
              <w:t>喀什地区供销合作社联合社</w:t>
            </w:r>
          </w:p>
        </w:tc>
      </w:tr>
      <w:tr w14:paraId="020586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2CB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C5C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A1B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C6C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39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C80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104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3FE6">
            <w:pPr>
              <w:jc w:val="center"/>
            </w:pPr>
            <w:r>
              <w:rPr>
                <w:rFonts w:ascii="宋体" w:hAnsi="宋体" w:eastAsia="宋体"/>
                <w:sz w:val="16"/>
              </w:rPr>
              <w:t>得分</w:t>
            </w:r>
          </w:p>
        </w:tc>
      </w:tr>
      <w:tr w14:paraId="235AF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598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2D5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4AF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2FEB7">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C6CA">
            <w:pPr>
              <w:jc w:val="center"/>
            </w:pPr>
            <w:r>
              <w:rPr>
                <w:rFonts w:ascii="宋体" w:hAnsi="宋体" w:eastAsia="宋体"/>
                <w:sz w:val="16"/>
              </w:rPr>
              <w:t>22.59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0A1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C3809">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948C">
            <w:pPr>
              <w:jc w:val="center"/>
            </w:pPr>
            <w:r>
              <w:rPr>
                <w:rFonts w:ascii="宋体" w:hAnsi="宋体" w:eastAsia="宋体"/>
                <w:sz w:val="16"/>
              </w:rPr>
              <w:t>10.00分</w:t>
            </w:r>
          </w:p>
        </w:tc>
      </w:tr>
      <w:tr w14:paraId="60C59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D2A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25A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33546">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899EC">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39DB">
            <w:pPr>
              <w:jc w:val="center"/>
            </w:pPr>
            <w:r>
              <w:rPr>
                <w:rFonts w:ascii="宋体" w:hAnsi="宋体" w:eastAsia="宋体"/>
                <w:sz w:val="16"/>
              </w:rPr>
              <w:t>22.59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C9A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451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EEE5">
            <w:pPr>
              <w:jc w:val="center"/>
            </w:pPr>
            <w:r>
              <w:rPr>
                <w:rFonts w:ascii="宋体" w:hAnsi="宋体" w:eastAsia="宋体"/>
                <w:sz w:val="16"/>
              </w:rPr>
              <w:t>—</w:t>
            </w:r>
          </w:p>
        </w:tc>
      </w:tr>
      <w:tr w14:paraId="58983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4C3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3C4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ECC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2B5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1E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198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8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EC3E">
            <w:pPr>
              <w:jc w:val="center"/>
            </w:pPr>
            <w:r>
              <w:rPr>
                <w:rFonts w:ascii="宋体" w:hAnsi="宋体" w:eastAsia="宋体"/>
                <w:sz w:val="16"/>
              </w:rPr>
              <w:t>—</w:t>
            </w:r>
          </w:p>
        </w:tc>
      </w:tr>
      <w:tr w14:paraId="2E8218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864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090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E02188">
            <w:pPr>
              <w:jc w:val="center"/>
            </w:pPr>
            <w:r>
              <w:rPr>
                <w:rFonts w:ascii="宋体" w:hAnsi="宋体" w:eastAsia="宋体"/>
                <w:sz w:val="16"/>
              </w:rPr>
              <w:t>实际完成情况</w:t>
            </w:r>
          </w:p>
        </w:tc>
      </w:tr>
      <w:tr w14:paraId="70B62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6DF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898A1">
            <w:pPr>
              <w:jc w:val="both"/>
            </w:pPr>
            <w:r>
              <w:rPr>
                <w:rFonts w:ascii="宋体" w:hAnsi="宋体" w:eastAsia="宋体"/>
                <w:sz w:val="16"/>
              </w:rPr>
              <w:t>积极组织不少于3家喀什地区农副产品企业、合作社等带上本地品质优良的农产品，参加疆内外农产品展销推介会全年不少于4次，开展对本地农产品生产销售等情况调研次数不少于4次。通过参加展会来提升喀什特色农副产品知名度，促进喀什地区农产品上行外销，使喀什农产品品牌影响力不断提高。学习借鉴区内外农产品销售的好经验、好做法，探索和推进喀什农产品销售工作，实现互利共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2ACE1B">
            <w:pPr>
              <w:jc w:val="both"/>
            </w:pPr>
            <w:r>
              <w:rPr>
                <w:rFonts w:ascii="宋体" w:hAnsi="宋体" w:eastAsia="宋体"/>
                <w:sz w:val="16"/>
              </w:rPr>
              <w:t>通过对各县市的对接调研，对喀什地区供销系统在基层社改造提升、农产品流通等方面都有了更加</w:t>
            </w:r>
            <w:r>
              <w:rPr>
                <w:rFonts w:hint="eastAsia" w:ascii="宋体" w:hAnsi="宋体"/>
                <w:sz w:val="16"/>
                <w:lang w:eastAsia="zh-CN"/>
              </w:rPr>
              <w:t>深刻的了解，</w:t>
            </w:r>
            <w:r>
              <w:rPr>
                <w:rFonts w:ascii="宋体" w:hAnsi="宋体" w:eastAsia="宋体"/>
                <w:sz w:val="16"/>
              </w:rPr>
              <w:t>全年组织参加展会6次，开展调研4次，通过组织具有代表性的企业参加亚欧博览会、喀交会、广东惠州展会、哈密市、上海市农特产品交易会、2024浙江省农产品秋季产销展会，使喀什地区农产品形象得到提升，提升了本地农产品的知名度。</w:t>
            </w:r>
          </w:p>
        </w:tc>
      </w:tr>
      <w:tr w14:paraId="036A2B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09C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F7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28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43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E9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E6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A8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76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CD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01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CE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B8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FA6A">
            <w:pPr>
              <w:jc w:val="center"/>
            </w:pPr>
            <w:r>
              <w:rPr>
                <w:rFonts w:ascii="宋体" w:hAnsi="宋体" w:eastAsia="宋体"/>
                <w:sz w:val="16"/>
              </w:rPr>
              <w:t>偏差原因分析及改进措施</w:t>
            </w:r>
          </w:p>
        </w:tc>
      </w:tr>
      <w:tr w14:paraId="4926C8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35F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FC8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CF6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FB51">
            <w:pPr>
              <w:jc w:val="center"/>
            </w:pPr>
            <w:r>
              <w:rPr>
                <w:rFonts w:ascii="宋体" w:hAnsi="宋体" w:eastAsia="宋体"/>
                <w:sz w:val="16"/>
              </w:rPr>
              <w:t>参加展会次数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9555">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F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728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6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F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4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D54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19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724F">
            <w:pPr>
              <w:jc w:val="center"/>
            </w:pPr>
            <w:r>
              <w:rPr>
                <w:rFonts w:ascii="宋体" w:hAnsi="宋体" w:eastAsia="宋体"/>
                <w:sz w:val="16"/>
              </w:rPr>
              <w:t>上年度并未收到哈密市农特产品交易会以及浙江省金秋消费帮扶产销对接活动的邀请函，历年来主要以喀交会、亚欧博览会、广交会、上海展销会为主，本年度增加了2次参展活动，导致出现正偏差。整改措施：增加预算的精准度，提前对接相关地区，尽量将数量指标精准。</w:t>
            </w:r>
          </w:p>
        </w:tc>
      </w:tr>
      <w:tr w14:paraId="195F0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E0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AE9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5E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B54F">
            <w:pPr>
              <w:jc w:val="center"/>
            </w:pPr>
            <w:r>
              <w:rPr>
                <w:rFonts w:ascii="宋体" w:hAnsi="宋体" w:eastAsia="宋体"/>
                <w:sz w:val="16"/>
              </w:rPr>
              <w:t>本地农产品调研次数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121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44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E7F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0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9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21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9FC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7E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1AFAF">
            <w:pPr>
              <w:jc w:val="center"/>
            </w:pPr>
          </w:p>
        </w:tc>
      </w:tr>
      <w:tr w14:paraId="1A8F3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61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EC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6B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95E3">
            <w:pPr>
              <w:jc w:val="center"/>
            </w:pPr>
            <w:r>
              <w:rPr>
                <w:rFonts w:ascii="宋体" w:hAnsi="宋体" w:eastAsia="宋体"/>
                <w:sz w:val="16"/>
              </w:rPr>
              <w:t>参展农产品合格率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6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8D7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A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F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3F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02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7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93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05C47">
            <w:pPr>
              <w:jc w:val="center"/>
            </w:pPr>
          </w:p>
        </w:tc>
      </w:tr>
      <w:tr w14:paraId="753D8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68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DE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87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BF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A5E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B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9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2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EE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68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FA4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01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834D">
            <w:pPr>
              <w:jc w:val="center"/>
            </w:pPr>
          </w:p>
        </w:tc>
      </w:tr>
      <w:tr w14:paraId="1CD6C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3A0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9DE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95B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4757">
            <w:pPr>
              <w:jc w:val="center"/>
            </w:pPr>
            <w:r>
              <w:rPr>
                <w:rFonts w:ascii="宋体" w:hAnsi="宋体" w:eastAsia="宋体"/>
                <w:sz w:val="16"/>
              </w:rPr>
              <w:t>展品购置成本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D9C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7C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46F3">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81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C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0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747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141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CC76">
            <w:pPr>
              <w:jc w:val="center"/>
            </w:pPr>
          </w:p>
        </w:tc>
      </w:tr>
      <w:tr w14:paraId="6C33E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83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35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EC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EAD6">
            <w:pPr>
              <w:jc w:val="center"/>
            </w:pPr>
            <w:r>
              <w:rPr>
                <w:rFonts w:ascii="宋体" w:hAnsi="宋体" w:eastAsia="宋体"/>
                <w:sz w:val="16"/>
              </w:rPr>
              <w:t>参展人员及农产品调研差旅费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FCE8">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09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1172">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C3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2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2E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2FBD">
            <w:pPr>
              <w:jc w:val="center"/>
            </w:pPr>
            <w:r>
              <w:rPr>
                <w:rFonts w:ascii="宋体" w:hAnsi="宋体" w:eastAsia="宋体"/>
                <w:sz w:val="16"/>
              </w:rPr>
              <w:t>=9.59万元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C543">
            <w:pPr>
              <w:jc w:val="center"/>
            </w:pPr>
            <w:r>
              <w:rPr>
                <w:rFonts w:ascii="宋体" w:hAnsi="宋体" w:eastAsia="宋体"/>
                <w:sz w:val="16"/>
              </w:rPr>
              <w:t>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2426F">
            <w:pPr>
              <w:jc w:val="center"/>
            </w:pPr>
            <w:r>
              <w:rPr>
                <w:rFonts w:ascii="宋体" w:hAnsi="宋体" w:eastAsia="宋体"/>
                <w:sz w:val="16"/>
              </w:rPr>
              <w:t>因差旅费中机票价格、出差人员等因素不可控，故与预计有偏差。整改措施：增加预算的精准度，按照预算人数严格执行。</w:t>
            </w:r>
          </w:p>
        </w:tc>
      </w:tr>
      <w:tr w14:paraId="251E0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51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80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9F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C000">
            <w:pPr>
              <w:jc w:val="center"/>
            </w:pPr>
            <w:r>
              <w:rPr>
                <w:rFonts w:ascii="宋体" w:hAnsi="宋体" w:eastAsia="宋体"/>
                <w:sz w:val="16"/>
              </w:rPr>
              <w:t>展品包装、场地布展、广告印制等宣传费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6F4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CF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3614">
            <w:pPr>
              <w:jc w:val="center"/>
            </w:pPr>
            <w:r>
              <w:rPr>
                <w:rFonts w:ascii="宋体" w:hAnsi="宋体" w:eastAsia="宋体"/>
                <w:sz w:val="16"/>
              </w:rPr>
              <w:t>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D6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B8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76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FDD2">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6F0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429D">
            <w:pPr>
              <w:jc w:val="center"/>
            </w:pPr>
          </w:p>
        </w:tc>
      </w:tr>
      <w:tr w14:paraId="0B976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A6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29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39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675A">
            <w:pPr>
              <w:jc w:val="center"/>
            </w:pPr>
            <w:r>
              <w:rPr>
                <w:rFonts w:ascii="宋体" w:hAnsi="宋体" w:eastAsia="宋体"/>
                <w:sz w:val="16"/>
              </w:rPr>
              <w:t>提升喀什地区农产品品牌影响力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4D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B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9E9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BB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09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B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69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E6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30A86">
            <w:pPr>
              <w:jc w:val="center"/>
            </w:pPr>
          </w:p>
        </w:tc>
      </w:tr>
      <w:tr w14:paraId="1ED3D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D8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46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11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A36A">
            <w:pPr>
              <w:jc w:val="center"/>
            </w:pPr>
            <w:r>
              <w:rPr>
                <w:rFonts w:ascii="宋体" w:hAnsi="宋体" w:eastAsia="宋体"/>
                <w:sz w:val="16"/>
              </w:rPr>
              <w:t>参展人员满意度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B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A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70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94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F9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DE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B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98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EC54">
            <w:pPr>
              <w:jc w:val="center"/>
            </w:pPr>
          </w:p>
        </w:tc>
      </w:tr>
      <w:tr w14:paraId="08A491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38D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78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578A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9D61">
            <w:pPr>
              <w:jc w:val="center"/>
            </w:pPr>
            <w:r>
              <w:rPr>
                <w:rFonts w:ascii="宋体" w:hAnsi="宋体" w:eastAsia="宋体"/>
                <w:sz w:val="16"/>
              </w:rPr>
              <w:t>92.76分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534388"/>
        </w:tc>
      </w:tr>
    </w:tbl>
    <w:p w14:paraId="7FF3E7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D47D2FF">
        <w:tblPrEx>
          <w:tblCellMar>
            <w:top w:w="0" w:type="dxa"/>
            <w:left w:w="108" w:type="dxa"/>
            <w:bottom w:w="0" w:type="dxa"/>
            <w:right w:w="108" w:type="dxa"/>
          </w:tblCellMar>
        </w:tblPrEx>
        <w:tc>
          <w:tcPr>
            <w:tcW w:w="8848" w:type="dxa"/>
            <w:gridSpan w:val="14"/>
            <w:vAlign w:val="center"/>
          </w:tcPr>
          <w:p w14:paraId="515352F6">
            <w:pPr>
              <w:jc w:val="center"/>
            </w:pPr>
            <w:r>
              <w:rPr>
                <w:rFonts w:ascii="宋体" w:hAnsi="宋体" w:eastAsia="宋体"/>
                <w:sz w:val="24"/>
              </w:rPr>
              <w:t>项目支出绩效自评表</w:t>
            </w:r>
          </w:p>
        </w:tc>
      </w:tr>
      <w:tr w14:paraId="3A53372C">
        <w:tblPrEx>
          <w:tblCellMar>
            <w:top w:w="0" w:type="dxa"/>
            <w:left w:w="108" w:type="dxa"/>
            <w:bottom w:w="0" w:type="dxa"/>
            <w:right w:w="108" w:type="dxa"/>
          </w:tblCellMar>
        </w:tblPrEx>
        <w:tc>
          <w:tcPr>
            <w:tcW w:w="8848" w:type="dxa"/>
            <w:gridSpan w:val="14"/>
            <w:vAlign w:val="center"/>
          </w:tcPr>
          <w:p w14:paraId="04774A43">
            <w:pPr>
              <w:jc w:val="center"/>
            </w:pPr>
            <w:r>
              <w:rPr>
                <w:rFonts w:ascii="宋体" w:hAnsi="宋体" w:eastAsia="宋体"/>
                <w:sz w:val="24"/>
              </w:rPr>
              <w:t>(2024年度)</w:t>
            </w:r>
          </w:p>
        </w:tc>
      </w:tr>
      <w:tr w14:paraId="369FB5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621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340228">
            <w:pPr>
              <w:jc w:val="center"/>
            </w:pPr>
            <w:r>
              <w:rPr>
                <w:rFonts w:ascii="宋体" w:hAnsi="宋体" w:eastAsia="宋体"/>
                <w:sz w:val="16"/>
              </w:rPr>
              <w:t>广东省对口支援新疆工作前方指挥部拨付工作经费项目</w:t>
            </w:r>
          </w:p>
        </w:tc>
      </w:tr>
      <w:tr w14:paraId="4D8BB6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DB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926432">
            <w:pPr>
              <w:jc w:val="center"/>
            </w:pPr>
            <w:r>
              <w:rPr>
                <w:rFonts w:ascii="宋体" w:hAnsi="宋体" w:eastAsia="宋体"/>
                <w:sz w:val="16"/>
              </w:rPr>
              <w:t>喀什地区供销合作社联合社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5D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5233DB">
            <w:pPr>
              <w:jc w:val="center"/>
            </w:pPr>
            <w:r>
              <w:rPr>
                <w:rFonts w:ascii="宋体" w:hAnsi="宋体" w:eastAsia="宋体"/>
                <w:sz w:val="16"/>
              </w:rPr>
              <w:t>喀什地区供销合作社联合社</w:t>
            </w:r>
          </w:p>
        </w:tc>
      </w:tr>
      <w:tr w14:paraId="743689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77E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5D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330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E33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1A7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AD6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5F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CF33">
            <w:pPr>
              <w:jc w:val="center"/>
            </w:pPr>
            <w:r>
              <w:rPr>
                <w:rFonts w:ascii="宋体" w:hAnsi="宋体" w:eastAsia="宋体"/>
                <w:sz w:val="16"/>
              </w:rPr>
              <w:t>得分</w:t>
            </w:r>
          </w:p>
        </w:tc>
      </w:tr>
      <w:tr w14:paraId="76A37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F4E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F1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C4F91">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FE552">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04B4">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98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2BE3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B41A">
            <w:pPr>
              <w:jc w:val="center"/>
            </w:pPr>
            <w:r>
              <w:rPr>
                <w:rFonts w:ascii="宋体" w:hAnsi="宋体" w:eastAsia="宋体"/>
                <w:sz w:val="16"/>
              </w:rPr>
              <w:t>10.00分</w:t>
            </w:r>
          </w:p>
        </w:tc>
      </w:tr>
      <w:tr w14:paraId="21C21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7E9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090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57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117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AB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45F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D45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375F">
            <w:pPr>
              <w:jc w:val="center"/>
            </w:pPr>
            <w:r>
              <w:rPr>
                <w:rFonts w:ascii="宋体" w:hAnsi="宋体" w:eastAsia="宋体"/>
                <w:sz w:val="16"/>
              </w:rPr>
              <w:t>—</w:t>
            </w:r>
          </w:p>
        </w:tc>
      </w:tr>
      <w:tr w14:paraId="0BB43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7DB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393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5BE66">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E9E7">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89CD4">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82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36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CBFE">
            <w:pPr>
              <w:jc w:val="center"/>
            </w:pPr>
            <w:r>
              <w:rPr>
                <w:rFonts w:ascii="宋体" w:hAnsi="宋体" w:eastAsia="宋体"/>
                <w:sz w:val="16"/>
              </w:rPr>
              <w:t>—</w:t>
            </w:r>
          </w:p>
        </w:tc>
      </w:tr>
      <w:tr w14:paraId="0504BE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A39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08C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71CD0">
            <w:pPr>
              <w:jc w:val="center"/>
            </w:pPr>
            <w:r>
              <w:rPr>
                <w:rFonts w:ascii="宋体" w:hAnsi="宋体" w:eastAsia="宋体"/>
                <w:sz w:val="16"/>
              </w:rPr>
              <w:t>实际完成情况</w:t>
            </w:r>
          </w:p>
        </w:tc>
      </w:tr>
      <w:tr w14:paraId="4B1DC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5A0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FC5B0">
            <w:pPr>
              <w:jc w:val="both"/>
            </w:pPr>
            <w:r>
              <w:rPr>
                <w:rFonts w:ascii="宋体" w:hAnsi="宋体" w:eastAsia="宋体"/>
                <w:sz w:val="16"/>
              </w:rPr>
              <w:t>广东省对口支援新疆工作前方指挥部拨付工作经费，其中3.2万元用于租用新能源汽车费用，1.96万元用于支付法律顾问咨询费，保障单位1年的正常出行、单位重点工作开展以及深化供销社政府法律顾问工作。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C39258">
            <w:pPr>
              <w:jc w:val="both"/>
            </w:pPr>
            <w:r>
              <w:rPr>
                <w:rFonts w:ascii="宋体" w:hAnsi="宋体" w:eastAsia="宋体"/>
                <w:sz w:val="16"/>
              </w:rPr>
              <w:t>项目资金3.2万元用于租赁阳光科技比亚迪新能源汽车一辆保障了单位人员的出行，1.96万元用于聘请明珠法律服务所律师一名参与单位合同拟定、列席党委会、参与涉法事项并提出合理建议，通过开展此项目达到了保障单位正常办公，提升单位依法行政能力的目的。</w:t>
            </w:r>
          </w:p>
        </w:tc>
      </w:tr>
      <w:tr w14:paraId="3FDF1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96D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0F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7A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C1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FC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45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5A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41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3D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3C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72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45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AF02">
            <w:pPr>
              <w:jc w:val="center"/>
            </w:pPr>
            <w:r>
              <w:rPr>
                <w:rFonts w:ascii="宋体" w:hAnsi="宋体" w:eastAsia="宋体"/>
                <w:sz w:val="16"/>
              </w:rPr>
              <w:t>偏差原因分析及改进措施</w:t>
            </w:r>
          </w:p>
        </w:tc>
      </w:tr>
      <w:tr w14:paraId="131AF1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479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4EA3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546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6D75">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7CB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F7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4B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BA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66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B4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240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7F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CF3E5">
            <w:pPr>
              <w:jc w:val="center"/>
            </w:pPr>
          </w:p>
        </w:tc>
      </w:tr>
      <w:tr w14:paraId="636A5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74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8E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5A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8232">
            <w:pPr>
              <w:jc w:val="center"/>
            </w:pPr>
            <w:r>
              <w:rPr>
                <w:rFonts w:ascii="宋体" w:hAnsi="宋体" w:eastAsia="宋体"/>
                <w:sz w:val="16"/>
              </w:rPr>
              <w:t>租赁新能源汽车数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DB66">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1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0C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F9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E7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C3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511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91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8542">
            <w:pPr>
              <w:jc w:val="center"/>
            </w:pPr>
          </w:p>
        </w:tc>
      </w:tr>
      <w:tr w14:paraId="623BB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0E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A2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F1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A937">
            <w:pPr>
              <w:jc w:val="center"/>
            </w:pPr>
            <w:r>
              <w:rPr>
                <w:rFonts w:ascii="宋体" w:hAnsi="宋体" w:eastAsia="宋体"/>
                <w:sz w:val="16"/>
              </w:rPr>
              <w:t>租赁汽车验收合格率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8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98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88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5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B8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A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9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87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BBEBE">
            <w:pPr>
              <w:jc w:val="center"/>
            </w:pPr>
          </w:p>
        </w:tc>
      </w:tr>
      <w:tr w14:paraId="5CA93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932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60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9C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88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6C2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C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F2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4F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7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E7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6046">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3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09AD">
            <w:pPr>
              <w:jc w:val="center"/>
            </w:pPr>
          </w:p>
        </w:tc>
      </w:tr>
      <w:tr w14:paraId="7B495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E96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79C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C3F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5B4E">
            <w:pPr>
              <w:jc w:val="center"/>
            </w:pPr>
            <w:r>
              <w:rPr>
                <w:rFonts w:ascii="宋体" w:hAnsi="宋体" w:eastAsia="宋体"/>
                <w:sz w:val="16"/>
              </w:rPr>
              <w:t>租用新能源汽车成本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CC32">
            <w:pPr>
              <w:jc w:val="center"/>
            </w:pPr>
            <w:r>
              <w:rPr>
                <w:rFonts w:ascii="宋体" w:hAnsi="宋体" w:eastAsia="宋体"/>
                <w:sz w:val="16"/>
              </w:rPr>
              <w:t>&lt;=3.20万元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A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1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4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3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FF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8E38">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2A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1A2A5">
            <w:pPr>
              <w:jc w:val="center"/>
            </w:pPr>
          </w:p>
        </w:tc>
      </w:tr>
      <w:tr w14:paraId="336FB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6D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A3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E1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C134">
            <w:pPr>
              <w:jc w:val="center"/>
            </w:pPr>
            <w:r>
              <w:rPr>
                <w:rFonts w:ascii="宋体" w:hAnsi="宋体" w:eastAsia="宋体"/>
                <w:sz w:val="16"/>
              </w:rPr>
              <w:t>聘请法律顾问成本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78F7">
            <w:pPr>
              <w:jc w:val="center"/>
            </w:pPr>
            <w:r>
              <w:rPr>
                <w:rFonts w:ascii="宋体" w:hAnsi="宋体" w:eastAsia="宋体"/>
                <w:sz w:val="16"/>
              </w:rPr>
              <w:t>&lt;=1.96万元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7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68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1A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9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7F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C24A">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52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C369">
            <w:pPr>
              <w:jc w:val="center"/>
            </w:pPr>
          </w:p>
        </w:tc>
      </w:tr>
      <w:tr w14:paraId="2EE5E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2B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8B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18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F3E8">
            <w:pPr>
              <w:jc w:val="center"/>
            </w:pPr>
            <w:r>
              <w:rPr>
                <w:rFonts w:ascii="宋体" w:hAnsi="宋体" w:eastAsia="宋体"/>
                <w:sz w:val="16"/>
              </w:rPr>
              <w:t>提升依法行政能力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664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FD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A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EC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B1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92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41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8B4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896A">
            <w:pPr>
              <w:jc w:val="center"/>
            </w:pPr>
          </w:p>
        </w:tc>
      </w:tr>
      <w:tr w14:paraId="37C09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49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10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AF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12D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73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2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EE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49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30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2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0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5B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EF60D">
            <w:pPr>
              <w:jc w:val="center"/>
            </w:pPr>
          </w:p>
        </w:tc>
      </w:tr>
      <w:tr w14:paraId="0E769B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37C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BD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E70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996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C60DC6"/>
        </w:tc>
      </w:tr>
    </w:tbl>
    <w:p w14:paraId="719165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DD3BF7A">
        <w:tc>
          <w:tcPr>
            <w:tcW w:w="8848" w:type="dxa"/>
            <w:gridSpan w:val="14"/>
            <w:vAlign w:val="center"/>
          </w:tcPr>
          <w:p w14:paraId="72735A79">
            <w:pPr>
              <w:jc w:val="center"/>
            </w:pPr>
            <w:r>
              <w:rPr>
                <w:rFonts w:ascii="宋体" w:hAnsi="宋体" w:eastAsia="宋体"/>
                <w:sz w:val="24"/>
              </w:rPr>
              <w:t>项目支出绩效自评表</w:t>
            </w:r>
          </w:p>
        </w:tc>
      </w:tr>
      <w:tr w14:paraId="0AE719CC">
        <w:tblPrEx>
          <w:tblCellMar>
            <w:top w:w="0" w:type="dxa"/>
            <w:left w:w="108" w:type="dxa"/>
            <w:bottom w:w="0" w:type="dxa"/>
            <w:right w:w="108" w:type="dxa"/>
          </w:tblCellMar>
        </w:tblPrEx>
        <w:tc>
          <w:tcPr>
            <w:tcW w:w="8848" w:type="dxa"/>
            <w:gridSpan w:val="14"/>
            <w:vAlign w:val="center"/>
          </w:tcPr>
          <w:p w14:paraId="2DDE8454">
            <w:pPr>
              <w:jc w:val="center"/>
            </w:pPr>
            <w:r>
              <w:rPr>
                <w:rFonts w:ascii="宋体" w:hAnsi="宋体" w:eastAsia="宋体"/>
                <w:sz w:val="24"/>
              </w:rPr>
              <w:t>(2024年度)</w:t>
            </w:r>
          </w:p>
        </w:tc>
      </w:tr>
      <w:tr w14:paraId="75C163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19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E01371">
            <w:pPr>
              <w:jc w:val="center"/>
            </w:pPr>
            <w:r>
              <w:rPr>
                <w:rFonts w:ascii="宋体" w:hAnsi="宋体" w:eastAsia="宋体"/>
                <w:sz w:val="16"/>
              </w:rPr>
              <w:t>档案数字化服务项目</w:t>
            </w:r>
          </w:p>
        </w:tc>
      </w:tr>
      <w:tr w14:paraId="45EBA6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5F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A65E3">
            <w:pPr>
              <w:jc w:val="center"/>
            </w:pPr>
            <w:r>
              <w:rPr>
                <w:rFonts w:ascii="宋体" w:hAnsi="宋体" w:eastAsia="宋体"/>
                <w:sz w:val="16"/>
              </w:rPr>
              <w:t>喀什地区供销合作社联合社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3D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2BB7F">
            <w:pPr>
              <w:jc w:val="center"/>
            </w:pPr>
            <w:r>
              <w:rPr>
                <w:rFonts w:ascii="宋体" w:hAnsi="宋体" w:eastAsia="宋体"/>
                <w:sz w:val="16"/>
              </w:rPr>
              <w:t>喀什地区供销合作社联合社</w:t>
            </w:r>
          </w:p>
        </w:tc>
      </w:tr>
      <w:tr w14:paraId="17698C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DEF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57E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BA2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1B8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DCD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914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A7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4B42">
            <w:pPr>
              <w:jc w:val="center"/>
            </w:pPr>
            <w:r>
              <w:rPr>
                <w:rFonts w:ascii="宋体" w:hAnsi="宋体" w:eastAsia="宋体"/>
                <w:sz w:val="16"/>
              </w:rPr>
              <w:t>得分</w:t>
            </w:r>
          </w:p>
        </w:tc>
      </w:tr>
      <w:tr w14:paraId="7A44F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79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3F2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52D8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DC15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4AAE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D7D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3382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DED3">
            <w:pPr>
              <w:jc w:val="center"/>
            </w:pPr>
            <w:r>
              <w:rPr>
                <w:rFonts w:ascii="宋体" w:hAnsi="宋体" w:eastAsia="宋体"/>
                <w:sz w:val="16"/>
              </w:rPr>
              <w:t>10.00分</w:t>
            </w:r>
          </w:p>
        </w:tc>
      </w:tr>
      <w:tr w14:paraId="1241E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AD9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853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87E9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743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3C3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A9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82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31D2">
            <w:pPr>
              <w:jc w:val="center"/>
            </w:pPr>
            <w:r>
              <w:rPr>
                <w:rFonts w:ascii="宋体" w:hAnsi="宋体" w:eastAsia="宋体"/>
                <w:sz w:val="16"/>
              </w:rPr>
              <w:t>—</w:t>
            </w:r>
          </w:p>
        </w:tc>
      </w:tr>
      <w:tr w14:paraId="30497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D38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963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4AC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7EB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F5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9E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3B7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CDDA">
            <w:pPr>
              <w:jc w:val="center"/>
            </w:pPr>
            <w:r>
              <w:rPr>
                <w:rFonts w:ascii="宋体" w:hAnsi="宋体" w:eastAsia="宋体"/>
                <w:sz w:val="16"/>
              </w:rPr>
              <w:t>—</w:t>
            </w:r>
          </w:p>
        </w:tc>
      </w:tr>
      <w:tr w14:paraId="79CC7F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F72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3F0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82A3E4">
            <w:pPr>
              <w:jc w:val="center"/>
            </w:pPr>
            <w:r>
              <w:rPr>
                <w:rFonts w:ascii="宋体" w:hAnsi="宋体" w:eastAsia="宋体"/>
                <w:sz w:val="16"/>
              </w:rPr>
              <w:t>实际完成情况</w:t>
            </w:r>
          </w:p>
        </w:tc>
      </w:tr>
      <w:tr w14:paraId="70748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96D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B0D22">
            <w:pPr>
              <w:jc w:val="both"/>
            </w:pPr>
            <w:r>
              <w:rPr>
                <w:rFonts w:ascii="宋体" w:hAnsi="宋体" w:eastAsia="宋体"/>
                <w:sz w:val="16"/>
              </w:rPr>
              <w:t>通过开展档案数字化建设，将纸质档案扫描整理成电子档案。将2002年</w:t>
            </w:r>
            <w:r>
              <w:rPr>
                <w:rFonts w:hint="eastAsia" w:ascii="宋体" w:hAnsi="宋体"/>
                <w:sz w:val="16"/>
                <w:lang w:eastAsia="zh-CN"/>
              </w:rPr>
              <w:t>—</w:t>
            </w:r>
            <w:r>
              <w:rPr>
                <w:rFonts w:ascii="宋体" w:hAnsi="宋体" w:eastAsia="宋体"/>
                <w:sz w:val="16"/>
              </w:rPr>
              <w:t>2023年的文书档案长期、永久进行科学、</w:t>
            </w:r>
            <w:r>
              <w:rPr>
                <w:rFonts w:hint="eastAsia" w:ascii="宋体" w:hAnsi="宋体"/>
                <w:sz w:val="16"/>
                <w:lang w:eastAsia="zh-CN"/>
              </w:rPr>
              <w:t>有效地</w:t>
            </w:r>
            <w:r>
              <w:rPr>
                <w:rFonts w:ascii="宋体" w:hAnsi="宋体" w:eastAsia="宋体"/>
                <w:sz w:val="16"/>
              </w:rPr>
              <w:t>收集、整理、鉴定、分类、归档等步骤，最终建立完成共计22年档案的整理；达到保护档案原件，改善档案的利用方式，提高利用率，提高档案人员工作效率，符合档案数字化需求的目的。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F04EF8">
            <w:pPr>
              <w:jc w:val="both"/>
            </w:pPr>
            <w:r>
              <w:rPr>
                <w:rFonts w:ascii="宋体" w:hAnsi="宋体" w:eastAsia="宋体"/>
                <w:sz w:val="16"/>
              </w:rPr>
              <w:t>本年地区供销社加快推进档案信息化建设，使用项目资金5万元聘请第三方公司对单位建档以来的档案进行电子化建设，纸质档案归类扫描，目前已完成对1951年</w:t>
            </w:r>
            <w:r>
              <w:rPr>
                <w:rFonts w:hint="eastAsia" w:ascii="宋体" w:hAnsi="宋体"/>
                <w:sz w:val="16"/>
                <w:lang w:eastAsia="zh-CN"/>
              </w:rPr>
              <w:t>—</w:t>
            </w:r>
            <w:r>
              <w:rPr>
                <w:rFonts w:ascii="宋体" w:hAnsi="宋体" w:eastAsia="宋体"/>
                <w:sz w:val="16"/>
              </w:rPr>
              <w:t>1972年文书档案整理及档案数字化加工服务，达到档案数字化成果，形成档案机读目录2769条，完成纸质档案454卷，72.6GB，53734万幅，实现了档案信息资源共享，减少了对原始档案频繁利用和人为损害，确保了传统载体档案安全有效保障，提高了单位档案管理现代化水平，确保了档案利用与安全。</w:t>
            </w:r>
          </w:p>
        </w:tc>
      </w:tr>
      <w:tr w14:paraId="0593A8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9BC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66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48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76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A0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10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F9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22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76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6E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55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6C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2A102">
            <w:pPr>
              <w:jc w:val="center"/>
            </w:pPr>
            <w:r>
              <w:rPr>
                <w:rFonts w:ascii="宋体" w:hAnsi="宋体" w:eastAsia="宋体"/>
                <w:sz w:val="16"/>
              </w:rPr>
              <w:t>偏差原因分析及改进措施</w:t>
            </w:r>
          </w:p>
        </w:tc>
      </w:tr>
      <w:tr w14:paraId="25FE23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270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2D4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D29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930F">
            <w:pPr>
              <w:jc w:val="center"/>
            </w:pPr>
            <w:r>
              <w:rPr>
                <w:rFonts w:ascii="宋体" w:hAnsi="宋体" w:eastAsia="宋体"/>
                <w:sz w:val="16"/>
              </w:rPr>
              <w:t>档案数字化年数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3F34">
            <w:pPr>
              <w:jc w:val="center"/>
            </w:pPr>
            <w:r>
              <w:rPr>
                <w:rFonts w:ascii="宋体" w:hAnsi="宋体" w:eastAsia="宋体"/>
                <w:sz w:val="16"/>
              </w:rPr>
              <w:t>&gt;=22年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0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10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B9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C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5B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43C5">
            <w:pPr>
              <w:jc w:val="center"/>
            </w:pPr>
            <w:r>
              <w:rPr>
                <w:rFonts w:ascii="宋体" w:hAnsi="宋体" w:eastAsia="宋体"/>
                <w:sz w:val="16"/>
              </w:rPr>
              <w:t>=22年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BA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BC25">
            <w:pPr>
              <w:jc w:val="center"/>
            </w:pPr>
          </w:p>
        </w:tc>
      </w:tr>
      <w:tr w14:paraId="72332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61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4F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F9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964C">
            <w:pPr>
              <w:jc w:val="center"/>
            </w:pPr>
            <w:r>
              <w:rPr>
                <w:rFonts w:ascii="宋体" w:hAnsi="宋体" w:eastAsia="宋体"/>
                <w:sz w:val="16"/>
              </w:rPr>
              <w:t>电子图像数据随机抽检数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F451">
            <w:pPr>
              <w:jc w:val="center"/>
            </w:pPr>
            <w:r>
              <w:rPr>
                <w:rFonts w:ascii="宋体" w:hAnsi="宋体" w:eastAsia="宋体"/>
                <w:sz w:val="16"/>
              </w:rPr>
              <w:t>&gt;=10000页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1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7E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5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3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D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43F0">
            <w:pPr>
              <w:jc w:val="center"/>
            </w:pPr>
            <w:r>
              <w:rPr>
                <w:rFonts w:ascii="宋体" w:hAnsi="宋体" w:eastAsia="宋体"/>
                <w:sz w:val="16"/>
              </w:rPr>
              <w:t>=10050页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B65D">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BB229">
            <w:pPr>
              <w:jc w:val="center"/>
            </w:pPr>
          </w:p>
        </w:tc>
      </w:tr>
      <w:tr w14:paraId="39D60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E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6F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B7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3B14">
            <w:pPr>
              <w:jc w:val="center"/>
            </w:pPr>
            <w:r>
              <w:rPr>
                <w:rFonts w:ascii="宋体" w:hAnsi="宋体" w:eastAsia="宋体"/>
                <w:sz w:val="16"/>
              </w:rPr>
              <w:t>档案数字化资料合格率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0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2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21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2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AA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98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A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38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5DFA9">
            <w:pPr>
              <w:jc w:val="center"/>
            </w:pPr>
          </w:p>
        </w:tc>
      </w:tr>
      <w:tr w14:paraId="124A9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70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10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98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A5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00F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1F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D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93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F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9B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C1B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B9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5AD01">
            <w:pPr>
              <w:jc w:val="center"/>
            </w:pPr>
          </w:p>
        </w:tc>
      </w:tr>
      <w:tr w14:paraId="3AC89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A2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97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67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D982">
            <w:pPr>
              <w:jc w:val="center"/>
            </w:pPr>
            <w:r>
              <w:rPr>
                <w:rFonts w:ascii="宋体" w:hAnsi="宋体" w:eastAsia="宋体"/>
                <w:sz w:val="16"/>
              </w:rPr>
              <w:t>档案数字化成本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F6F2">
            <w:pPr>
              <w:jc w:val="center"/>
            </w:pPr>
            <w:r>
              <w:rPr>
                <w:rFonts w:ascii="宋体" w:hAnsi="宋体" w:eastAsia="宋体"/>
                <w:sz w:val="16"/>
              </w:rPr>
              <w:t>&lt;=2273元/年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9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9A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35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D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CB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1EC7">
            <w:pPr>
              <w:jc w:val="center"/>
            </w:pPr>
            <w:r>
              <w:rPr>
                <w:rFonts w:ascii="宋体" w:hAnsi="宋体" w:eastAsia="宋体"/>
                <w:sz w:val="16"/>
              </w:rPr>
              <w:t>=2273元/年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47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2C7F5">
            <w:pPr>
              <w:jc w:val="center"/>
            </w:pPr>
          </w:p>
        </w:tc>
      </w:tr>
      <w:tr w14:paraId="55259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7F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6F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0C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58B0">
            <w:pPr>
              <w:jc w:val="center"/>
            </w:pPr>
            <w:r>
              <w:rPr>
                <w:rFonts w:ascii="宋体" w:hAnsi="宋体" w:eastAsia="宋体"/>
                <w:sz w:val="16"/>
              </w:rPr>
              <w:t>提高单位档案管理现代化水平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51D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9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30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5C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E0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E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59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C7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32C18">
            <w:pPr>
              <w:jc w:val="center"/>
            </w:pPr>
          </w:p>
        </w:tc>
      </w:tr>
      <w:tr w14:paraId="1184A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C5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4A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6F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F410">
            <w:pPr>
              <w:jc w:val="center"/>
            </w:pPr>
            <w:r>
              <w:rPr>
                <w:rFonts w:ascii="宋体" w:hAnsi="宋体" w:eastAsia="宋体"/>
                <w:sz w:val="16"/>
              </w:rPr>
              <w:t>档案使用人满意度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C7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9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44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C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E2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65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B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B8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F7753">
            <w:pPr>
              <w:jc w:val="center"/>
            </w:pPr>
          </w:p>
        </w:tc>
      </w:tr>
      <w:tr w14:paraId="422E7A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84F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F5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E30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824B">
            <w:pPr>
              <w:jc w:val="center"/>
            </w:pPr>
            <w:r>
              <w:rPr>
                <w:rFonts w:ascii="宋体" w:hAnsi="宋体" w:eastAsia="宋体"/>
                <w:sz w:val="16"/>
              </w:rPr>
              <w:t>99.95分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21793C"/>
        </w:tc>
      </w:tr>
    </w:tbl>
    <w:p w14:paraId="244E4762">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620"/>
        <w:gridCol w:w="610"/>
        <w:gridCol w:w="599"/>
        <w:gridCol w:w="599"/>
        <w:gridCol w:w="856"/>
        <w:gridCol w:w="632"/>
        <w:gridCol w:w="561"/>
        <w:gridCol w:w="631"/>
      </w:tblGrid>
      <w:tr w14:paraId="71EB0FC2">
        <w:tblPrEx>
          <w:tblCellMar>
            <w:top w:w="0" w:type="dxa"/>
            <w:left w:w="108" w:type="dxa"/>
            <w:bottom w:w="0" w:type="dxa"/>
            <w:right w:w="108" w:type="dxa"/>
          </w:tblCellMar>
        </w:tblPrEx>
        <w:tc>
          <w:tcPr>
            <w:tcW w:w="8848" w:type="dxa"/>
            <w:gridSpan w:val="14"/>
            <w:vAlign w:val="center"/>
          </w:tcPr>
          <w:p w14:paraId="74E5F42A">
            <w:pPr>
              <w:jc w:val="center"/>
            </w:pPr>
            <w:r>
              <w:rPr>
                <w:rFonts w:ascii="宋体" w:hAnsi="宋体" w:eastAsia="宋体"/>
                <w:sz w:val="24"/>
              </w:rPr>
              <w:t>项目支出绩效自评表</w:t>
            </w:r>
          </w:p>
        </w:tc>
      </w:tr>
      <w:tr w14:paraId="05FA5F49">
        <w:tblPrEx>
          <w:tblCellMar>
            <w:top w:w="0" w:type="dxa"/>
            <w:left w:w="108" w:type="dxa"/>
            <w:bottom w:w="0" w:type="dxa"/>
            <w:right w:w="108" w:type="dxa"/>
          </w:tblCellMar>
        </w:tblPrEx>
        <w:tc>
          <w:tcPr>
            <w:tcW w:w="8848" w:type="dxa"/>
            <w:gridSpan w:val="14"/>
            <w:vAlign w:val="center"/>
          </w:tcPr>
          <w:p w14:paraId="55F11E74">
            <w:pPr>
              <w:jc w:val="center"/>
            </w:pPr>
            <w:r>
              <w:rPr>
                <w:rFonts w:ascii="宋体" w:hAnsi="宋体" w:eastAsia="宋体"/>
                <w:sz w:val="24"/>
              </w:rPr>
              <w:t>(2024年度)</w:t>
            </w:r>
          </w:p>
        </w:tc>
      </w:tr>
      <w:tr w14:paraId="5C79DB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14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D13031">
            <w:pPr>
              <w:jc w:val="center"/>
            </w:pPr>
            <w:r>
              <w:rPr>
                <w:rFonts w:ascii="宋体" w:hAnsi="宋体" w:eastAsia="宋体"/>
                <w:sz w:val="16"/>
              </w:rPr>
              <w:t>法律顾问咨询费项目</w:t>
            </w:r>
          </w:p>
        </w:tc>
      </w:tr>
      <w:tr w14:paraId="389259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B6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63894">
            <w:pPr>
              <w:jc w:val="center"/>
            </w:pPr>
            <w:r>
              <w:rPr>
                <w:rFonts w:ascii="宋体" w:hAnsi="宋体" w:eastAsia="宋体"/>
                <w:sz w:val="16"/>
              </w:rPr>
              <w:t>喀什地区供销合作社联合社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81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C52126">
            <w:pPr>
              <w:jc w:val="center"/>
            </w:pPr>
            <w:r>
              <w:rPr>
                <w:rFonts w:ascii="宋体" w:hAnsi="宋体" w:eastAsia="宋体"/>
                <w:sz w:val="16"/>
              </w:rPr>
              <w:t>喀什地区供销合作社联合社</w:t>
            </w:r>
          </w:p>
        </w:tc>
      </w:tr>
      <w:tr w14:paraId="1548D7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647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CCA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E4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152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17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519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B68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4FC1">
            <w:pPr>
              <w:jc w:val="center"/>
            </w:pPr>
            <w:r>
              <w:rPr>
                <w:rFonts w:ascii="宋体" w:hAnsi="宋体" w:eastAsia="宋体"/>
                <w:sz w:val="16"/>
              </w:rPr>
              <w:t>得分</w:t>
            </w:r>
          </w:p>
        </w:tc>
      </w:tr>
      <w:tr w14:paraId="2978A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644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14B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5A14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E942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EE8F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D41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30F3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B82C">
            <w:pPr>
              <w:jc w:val="center"/>
            </w:pPr>
            <w:r>
              <w:rPr>
                <w:rFonts w:ascii="宋体" w:hAnsi="宋体" w:eastAsia="宋体"/>
                <w:sz w:val="16"/>
              </w:rPr>
              <w:t>10.00分</w:t>
            </w:r>
          </w:p>
        </w:tc>
      </w:tr>
      <w:tr w14:paraId="0D9D3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075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A2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EA75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6F1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2ED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3EA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EC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4C03">
            <w:pPr>
              <w:jc w:val="center"/>
            </w:pPr>
            <w:r>
              <w:rPr>
                <w:rFonts w:ascii="宋体" w:hAnsi="宋体" w:eastAsia="宋体"/>
                <w:sz w:val="16"/>
              </w:rPr>
              <w:t>—</w:t>
            </w:r>
          </w:p>
        </w:tc>
      </w:tr>
      <w:tr w14:paraId="44EC5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4A0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BB5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CBC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9A0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4D6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8C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27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39C8">
            <w:pPr>
              <w:jc w:val="center"/>
            </w:pPr>
            <w:r>
              <w:rPr>
                <w:rFonts w:ascii="宋体" w:hAnsi="宋体" w:eastAsia="宋体"/>
                <w:sz w:val="16"/>
              </w:rPr>
              <w:t>—</w:t>
            </w:r>
          </w:p>
        </w:tc>
      </w:tr>
      <w:tr w14:paraId="1B5D4C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983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E91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2FCA8">
            <w:pPr>
              <w:jc w:val="center"/>
            </w:pPr>
            <w:r>
              <w:rPr>
                <w:rFonts w:ascii="宋体" w:hAnsi="宋体" w:eastAsia="宋体"/>
                <w:sz w:val="16"/>
              </w:rPr>
              <w:t>实际完成情况</w:t>
            </w:r>
          </w:p>
        </w:tc>
      </w:tr>
      <w:tr w14:paraId="5F380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CB9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8BC16">
            <w:pPr>
              <w:jc w:val="both"/>
            </w:pPr>
            <w:r>
              <w:rPr>
                <w:rFonts w:ascii="宋体" w:hAnsi="宋体" w:eastAsia="宋体"/>
                <w:sz w:val="16"/>
              </w:rPr>
              <w:t>聘请1名律师作为法律顾问，法律顾问根据要求，协助处理单位发生的涉法事务相关工作，提出相关法律意见和建议。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681FB0">
            <w:pPr>
              <w:jc w:val="both"/>
            </w:pPr>
            <w:r>
              <w:rPr>
                <w:rFonts w:hint="eastAsia" w:ascii="宋体" w:hAnsi="宋体"/>
                <w:sz w:val="16"/>
                <w:lang w:eastAsia="zh-CN"/>
              </w:rPr>
              <w:t>根据</w:t>
            </w:r>
            <w:r>
              <w:rPr>
                <w:rFonts w:ascii="宋体" w:hAnsi="宋体" w:eastAsia="宋体"/>
                <w:sz w:val="16"/>
              </w:rPr>
              <w:t>新疆维吾尔自治区人民政府办公厅《印发&lt;关于深化政府法律顾问工作的意见</w:t>
            </w:r>
            <w:r>
              <w:rPr>
                <w:rFonts w:hint="eastAsia" w:ascii="宋体" w:hAnsi="宋体"/>
                <w:sz w:val="16"/>
                <w:lang w:eastAsia="zh-CN"/>
              </w:rPr>
              <w:t>〉的通知》</w:t>
            </w:r>
            <w:r>
              <w:rPr>
                <w:rFonts w:ascii="宋体" w:hAnsi="宋体" w:eastAsia="宋体"/>
                <w:sz w:val="16"/>
              </w:rPr>
              <w:t>（新政办发〔2022〕72号）文件要求聘请了1名具有法律资格的顾问为</w:t>
            </w:r>
            <w:r>
              <w:rPr>
                <w:rFonts w:hint="eastAsia" w:ascii="宋体" w:hAnsi="宋体"/>
                <w:sz w:val="16"/>
                <w:lang w:eastAsia="zh-CN"/>
              </w:rPr>
              <w:t>本部门</w:t>
            </w:r>
            <w:r>
              <w:rPr>
                <w:rFonts w:ascii="宋体" w:hAnsi="宋体" w:eastAsia="宋体"/>
                <w:sz w:val="16"/>
              </w:rPr>
              <w:t>提供法律咨询、法律培训服务，法律顾问参与了单位党委会、参与审阅修改合同、参与单位涉法问题的解决等，达到了提升单位依法行政能力的目的。</w:t>
            </w:r>
          </w:p>
        </w:tc>
      </w:tr>
      <w:tr w14:paraId="7EA069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5C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FE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D9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01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32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47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23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17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A1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50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F8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43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3E07E">
            <w:pPr>
              <w:jc w:val="center"/>
            </w:pPr>
            <w:r>
              <w:rPr>
                <w:rFonts w:ascii="宋体" w:hAnsi="宋体" w:eastAsia="宋体"/>
                <w:sz w:val="16"/>
              </w:rPr>
              <w:t>偏差原因分析及改进措施</w:t>
            </w:r>
          </w:p>
        </w:tc>
      </w:tr>
      <w:tr w14:paraId="6FC705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180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5C3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969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2D9F">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8B9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929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34B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7E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C1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BB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55E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4C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57211">
            <w:pPr>
              <w:jc w:val="center"/>
            </w:pPr>
          </w:p>
        </w:tc>
      </w:tr>
      <w:tr w14:paraId="0BE0A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A8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47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32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BC08">
            <w:pPr>
              <w:jc w:val="center"/>
            </w:pPr>
            <w:r>
              <w:rPr>
                <w:rFonts w:ascii="宋体" w:hAnsi="宋体" w:eastAsia="宋体"/>
                <w:sz w:val="16"/>
              </w:rPr>
              <w:t>提供法律咨询月数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4CD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9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BA8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CA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D1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B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B71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C2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8C6A0">
            <w:pPr>
              <w:jc w:val="center"/>
            </w:pPr>
          </w:p>
        </w:tc>
      </w:tr>
      <w:tr w14:paraId="37D0A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A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42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D7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E8CF">
            <w:pPr>
              <w:jc w:val="center"/>
            </w:pPr>
            <w:r>
              <w:rPr>
                <w:rFonts w:ascii="宋体" w:hAnsi="宋体" w:eastAsia="宋体"/>
                <w:sz w:val="16"/>
              </w:rPr>
              <w:t>对机关工作人员开展法律培训次数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161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0D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33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4E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F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86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41D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CE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56BEC">
            <w:pPr>
              <w:jc w:val="center"/>
            </w:pPr>
          </w:p>
        </w:tc>
      </w:tr>
      <w:tr w14:paraId="44E8F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94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06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3B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AA94">
            <w:pPr>
              <w:jc w:val="center"/>
            </w:pPr>
            <w:r>
              <w:rPr>
                <w:rFonts w:ascii="宋体" w:hAnsi="宋体" w:eastAsia="宋体"/>
                <w:sz w:val="16"/>
              </w:rPr>
              <w:t>聘用法律顾问人员资质合格率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34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78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95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88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95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C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9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ED2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70C8">
            <w:pPr>
              <w:jc w:val="center"/>
            </w:pPr>
          </w:p>
        </w:tc>
      </w:tr>
      <w:tr w14:paraId="3E1C9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F9A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00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02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41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29C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4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C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D0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1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26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620D">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08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DE000">
            <w:pPr>
              <w:jc w:val="center"/>
            </w:pPr>
          </w:p>
        </w:tc>
      </w:tr>
      <w:tr w14:paraId="6AEFF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65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516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38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F9B2">
            <w:pPr>
              <w:jc w:val="center"/>
            </w:pPr>
            <w:r>
              <w:rPr>
                <w:rFonts w:ascii="宋体" w:hAnsi="宋体" w:eastAsia="宋体"/>
                <w:sz w:val="16"/>
              </w:rPr>
              <w:t>聘请法律顾问成本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6DF1">
            <w:pPr>
              <w:jc w:val="center"/>
            </w:pPr>
            <w:r>
              <w:rPr>
                <w:rFonts w:ascii="宋体" w:hAnsi="宋体" w:eastAsia="宋体"/>
                <w:sz w:val="16"/>
              </w:rPr>
              <w:t>&lt;=1666.67元/月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9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92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E0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6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0A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1DE3">
            <w:pPr>
              <w:jc w:val="center"/>
            </w:pPr>
            <w:r>
              <w:rPr>
                <w:rFonts w:ascii="宋体" w:hAnsi="宋体" w:eastAsia="宋体"/>
                <w:sz w:val="16"/>
              </w:rPr>
              <w: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0F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581F0">
            <w:pPr>
              <w:jc w:val="center"/>
            </w:pPr>
          </w:p>
        </w:tc>
      </w:tr>
      <w:tr w14:paraId="03C2C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61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ED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94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310F">
            <w:pPr>
              <w:jc w:val="center"/>
            </w:pPr>
            <w:r>
              <w:rPr>
                <w:rFonts w:ascii="宋体" w:hAnsi="宋体" w:eastAsia="宋体"/>
                <w:sz w:val="16"/>
              </w:rPr>
              <w:t>提升依法行政能力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2E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4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BD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58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9F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9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24E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BB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CEDBF">
            <w:pPr>
              <w:jc w:val="center"/>
            </w:pPr>
          </w:p>
        </w:tc>
      </w:tr>
      <w:tr w14:paraId="33CB0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E4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38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D7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0EB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20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9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7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9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D5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2A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6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48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660D1">
            <w:pPr>
              <w:jc w:val="center"/>
            </w:pPr>
          </w:p>
        </w:tc>
      </w:tr>
      <w:tr w14:paraId="09D612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768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3E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6B6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FDB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A18408"/>
        </w:tc>
      </w:tr>
    </w:tbl>
    <w:p w14:paraId="4D8384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04FC659">
        <w:tc>
          <w:tcPr>
            <w:tcW w:w="8848" w:type="dxa"/>
            <w:gridSpan w:val="14"/>
            <w:vAlign w:val="center"/>
          </w:tcPr>
          <w:p w14:paraId="59BC7E9F">
            <w:pPr>
              <w:jc w:val="center"/>
            </w:pPr>
            <w:r>
              <w:rPr>
                <w:rFonts w:ascii="宋体" w:hAnsi="宋体" w:eastAsia="宋体"/>
                <w:sz w:val="24"/>
              </w:rPr>
              <w:t>项目支出绩效自评表</w:t>
            </w:r>
          </w:p>
        </w:tc>
      </w:tr>
      <w:tr w14:paraId="597945A0">
        <w:tblPrEx>
          <w:tblCellMar>
            <w:top w:w="0" w:type="dxa"/>
            <w:left w:w="108" w:type="dxa"/>
            <w:bottom w:w="0" w:type="dxa"/>
            <w:right w:w="108" w:type="dxa"/>
          </w:tblCellMar>
        </w:tblPrEx>
        <w:tc>
          <w:tcPr>
            <w:tcW w:w="8848" w:type="dxa"/>
            <w:gridSpan w:val="14"/>
            <w:vAlign w:val="center"/>
          </w:tcPr>
          <w:p w14:paraId="78AC7876">
            <w:pPr>
              <w:jc w:val="center"/>
            </w:pPr>
            <w:r>
              <w:rPr>
                <w:rFonts w:ascii="宋体" w:hAnsi="宋体" w:eastAsia="宋体"/>
                <w:sz w:val="24"/>
              </w:rPr>
              <w:t>(2024年度)</w:t>
            </w:r>
          </w:p>
        </w:tc>
      </w:tr>
      <w:tr w14:paraId="09AD84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C6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A31718">
            <w:pPr>
              <w:jc w:val="center"/>
            </w:pPr>
            <w:r>
              <w:rPr>
                <w:rFonts w:ascii="宋体" w:hAnsi="宋体" w:eastAsia="宋体"/>
                <w:sz w:val="16"/>
              </w:rPr>
              <w:t>“五个好”党支部示范点活动经费项目</w:t>
            </w:r>
          </w:p>
        </w:tc>
      </w:tr>
      <w:tr w14:paraId="1C8ACC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5F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A4879">
            <w:pPr>
              <w:jc w:val="center"/>
            </w:pPr>
            <w:r>
              <w:rPr>
                <w:rFonts w:ascii="宋体" w:hAnsi="宋体" w:eastAsia="宋体"/>
                <w:sz w:val="16"/>
              </w:rPr>
              <w:t>喀什地区供销合作社联合社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EE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90893">
            <w:pPr>
              <w:jc w:val="center"/>
            </w:pPr>
            <w:r>
              <w:rPr>
                <w:rFonts w:ascii="宋体" w:hAnsi="宋体" w:eastAsia="宋体"/>
                <w:sz w:val="16"/>
              </w:rPr>
              <w:t>喀什地区供销合作社联合社</w:t>
            </w:r>
          </w:p>
        </w:tc>
      </w:tr>
      <w:tr w14:paraId="233326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D6F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0CC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A24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A28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BED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824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E74C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EDD0">
            <w:pPr>
              <w:jc w:val="center"/>
            </w:pPr>
            <w:r>
              <w:rPr>
                <w:rFonts w:ascii="宋体" w:hAnsi="宋体" w:eastAsia="宋体"/>
                <w:sz w:val="16"/>
              </w:rPr>
              <w:t>得分</w:t>
            </w:r>
          </w:p>
        </w:tc>
      </w:tr>
      <w:tr w14:paraId="228AB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142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6E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0A72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701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06C3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D3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DD8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1CEF">
            <w:pPr>
              <w:jc w:val="center"/>
            </w:pPr>
            <w:r>
              <w:rPr>
                <w:rFonts w:ascii="宋体" w:hAnsi="宋体" w:eastAsia="宋体"/>
                <w:sz w:val="16"/>
              </w:rPr>
              <w:t>10.00分</w:t>
            </w:r>
          </w:p>
        </w:tc>
      </w:tr>
      <w:tr w14:paraId="05158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F1B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8B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52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42F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8B3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B12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B12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24EF">
            <w:pPr>
              <w:jc w:val="center"/>
            </w:pPr>
            <w:r>
              <w:rPr>
                <w:rFonts w:ascii="宋体" w:hAnsi="宋体" w:eastAsia="宋体"/>
                <w:sz w:val="16"/>
              </w:rPr>
              <w:t>—</w:t>
            </w:r>
          </w:p>
        </w:tc>
      </w:tr>
      <w:tr w14:paraId="39007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8A5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402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80F5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74CB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E7D1">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870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E2B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5D4B">
            <w:pPr>
              <w:jc w:val="center"/>
            </w:pPr>
            <w:r>
              <w:rPr>
                <w:rFonts w:ascii="宋体" w:hAnsi="宋体" w:eastAsia="宋体"/>
                <w:sz w:val="16"/>
              </w:rPr>
              <w:t>—</w:t>
            </w:r>
          </w:p>
        </w:tc>
      </w:tr>
      <w:tr w14:paraId="3068F2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C08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666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A42BC6">
            <w:pPr>
              <w:jc w:val="center"/>
            </w:pPr>
            <w:r>
              <w:rPr>
                <w:rFonts w:ascii="宋体" w:hAnsi="宋体" w:eastAsia="宋体"/>
                <w:sz w:val="16"/>
              </w:rPr>
              <w:t>实际完成情况</w:t>
            </w:r>
          </w:p>
        </w:tc>
      </w:tr>
      <w:tr w14:paraId="63ACD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33C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8C048A">
            <w:pPr>
              <w:jc w:val="both"/>
            </w:pPr>
            <w:r>
              <w:rPr>
                <w:rFonts w:ascii="宋体" w:hAnsi="宋体" w:eastAsia="宋体"/>
                <w:sz w:val="16"/>
              </w:rPr>
              <w:t>根据喀直党字〔2023〕5号文件，拨入“五个好”党支部示范点活动经费10000元（大写：壹万元整），其中6616元用于广告宣传费、1500元用于观看爱国影片、1884元用于购买党报党刊，达到提升单位党建水平的目的。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E2FEB9">
            <w:pPr>
              <w:jc w:val="both"/>
            </w:pPr>
            <w:r>
              <w:rPr>
                <w:rFonts w:hint="eastAsia" w:ascii="宋体" w:hAnsi="宋体"/>
                <w:sz w:val="16"/>
                <w:lang w:eastAsia="zh-CN"/>
              </w:rPr>
              <w:t>本部门</w:t>
            </w:r>
            <w:r>
              <w:rPr>
                <w:rFonts w:ascii="宋体" w:hAnsi="宋体" w:eastAsia="宋体"/>
                <w:sz w:val="16"/>
              </w:rPr>
              <w:t>严格按照用款计划，完整规范使用了“五个好”党支部示范点活动经费1万元整，主要用于宣传展板制度牌上墙、观看爱国教育影片以及购买党报党刊，达到了营造良好党支部氛围、提升支部党员党性修养、单位党建水平的目的。</w:t>
            </w:r>
          </w:p>
        </w:tc>
      </w:tr>
      <w:tr w14:paraId="73B0B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525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BE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77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6A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38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BE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FA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AD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AF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F4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FD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AA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8EFE0">
            <w:pPr>
              <w:jc w:val="center"/>
            </w:pPr>
            <w:r>
              <w:rPr>
                <w:rFonts w:ascii="宋体" w:hAnsi="宋体" w:eastAsia="宋体"/>
                <w:sz w:val="16"/>
              </w:rPr>
              <w:t>偏差原因分析及改进措施</w:t>
            </w:r>
          </w:p>
        </w:tc>
      </w:tr>
      <w:tr w14:paraId="1446CE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3BE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3C4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59F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715A">
            <w:pPr>
              <w:jc w:val="center"/>
            </w:pPr>
            <w:r>
              <w:rPr>
                <w:rFonts w:ascii="宋体" w:hAnsi="宋体" w:eastAsia="宋体"/>
                <w:sz w:val="16"/>
              </w:rPr>
              <w:t>观影党员人数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2F07">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C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7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C5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8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AA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CE20">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68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5873">
            <w:pPr>
              <w:jc w:val="center"/>
            </w:pPr>
          </w:p>
        </w:tc>
      </w:tr>
      <w:tr w14:paraId="44A65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A5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EC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AB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1AF6">
            <w:pPr>
              <w:jc w:val="center"/>
            </w:pPr>
            <w:r>
              <w:rPr>
                <w:rFonts w:ascii="宋体" w:hAnsi="宋体" w:eastAsia="宋体"/>
                <w:sz w:val="16"/>
              </w:rPr>
              <w:t>广告制作批次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C42D">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1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A8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43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3D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2B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4A0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5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7D6D9">
            <w:pPr>
              <w:jc w:val="center"/>
            </w:pPr>
          </w:p>
        </w:tc>
      </w:tr>
      <w:tr w14:paraId="64F15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84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37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A7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BD2B">
            <w:pPr>
              <w:jc w:val="center"/>
            </w:pPr>
            <w:r>
              <w:rPr>
                <w:rFonts w:ascii="宋体" w:hAnsi="宋体" w:eastAsia="宋体"/>
                <w:sz w:val="16"/>
              </w:rPr>
              <w:t>广告制作合格率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AE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D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4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71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D3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D1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B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B4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3DCB7">
            <w:pPr>
              <w:jc w:val="center"/>
            </w:pPr>
          </w:p>
        </w:tc>
      </w:tr>
      <w:tr w14:paraId="0DB25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C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4F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82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3F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49C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8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6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26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42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3B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3AC3">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D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9F4D3">
            <w:pPr>
              <w:jc w:val="center"/>
            </w:pPr>
          </w:p>
        </w:tc>
      </w:tr>
      <w:tr w14:paraId="40380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B15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E4E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7BE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0673">
            <w:pPr>
              <w:jc w:val="center"/>
            </w:pPr>
            <w:r>
              <w:rPr>
                <w:rFonts w:ascii="宋体" w:hAnsi="宋体" w:eastAsia="宋体"/>
                <w:sz w:val="16"/>
              </w:rPr>
              <w:t>观看爱国教育电影成本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C331">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D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EB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31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2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8E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CDE8">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32D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D0E72">
            <w:pPr>
              <w:jc w:val="center"/>
            </w:pPr>
          </w:p>
        </w:tc>
      </w:tr>
      <w:tr w14:paraId="0C5D5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22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AB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C5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74D6D">
            <w:pPr>
              <w:jc w:val="center"/>
            </w:pPr>
            <w:r>
              <w:rPr>
                <w:rFonts w:ascii="宋体" w:hAnsi="宋体" w:eastAsia="宋体"/>
                <w:sz w:val="16"/>
              </w:rPr>
              <w:t>广告宣传成本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7DB8">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A9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35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A6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38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2A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1B8C">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06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944E9">
            <w:pPr>
              <w:jc w:val="center"/>
            </w:pPr>
          </w:p>
        </w:tc>
      </w:tr>
      <w:tr w14:paraId="75172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30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D7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3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6D5D">
            <w:pPr>
              <w:jc w:val="center"/>
            </w:pPr>
            <w:r>
              <w:rPr>
                <w:rFonts w:ascii="宋体" w:hAnsi="宋体" w:eastAsia="宋体"/>
                <w:sz w:val="16"/>
              </w:rPr>
              <w:t>购买党报党刊等的成本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124C">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8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B5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DB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F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0C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C3E2">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527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174ED">
            <w:pPr>
              <w:jc w:val="center"/>
            </w:pPr>
          </w:p>
        </w:tc>
      </w:tr>
      <w:tr w14:paraId="6E3E0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28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D7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BA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9909">
            <w:pPr>
              <w:jc w:val="center"/>
            </w:pPr>
            <w:r>
              <w:rPr>
                <w:rFonts w:ascii="宋体" w:hAnsi="宋体" w:eastAsia="宋体"/>
                <w:sz w:val="16"/>
              </w:rPr>
              <w:t>提升单位党建水平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9D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70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2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06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45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4F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CD9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B0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BE50">
            <w:pPr>
              <w:jc w:val="center"/>
            </w:pPr>
          </w:p>
        </w:tc>
      </w:tr>
      <w:tr w14:paraId="63DC4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521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F7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A8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B978">
            <w:pPr>
              <w:jc w:val="center"/>
            </w:pPr>
            <w:r>
              <w:rPr>
                <w:rFonts w:ascii="宋体" w:hAnsi="宋体" w:eastAsia="宋体"/>
                <w:sz w:val="16"/>
              </w:rPr>
              <w:t>支部党员满意度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0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7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92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01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1F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CC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F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D7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11A08">
            <w:pPr>
              <w:jc w:val="center"/>
            </w:pPr>
          </w:p>
        </w:tc>
      </w:tr>
      <w:tr w14:paraId="1E84D4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7D9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2C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44E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3F6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0495B8"/>
        </w:tc>
      </w:tr>
    </w:tbl>
    <w:p w14:paraId="749070F7">
      <w:r>
        <w:br w:type="page"/>
      </w:r>
    </w:p>
    <w:p w14:paraId="679EF216">
      <w:pPr>
        <w:spacing w:line="640" w:lineRule="exact"/>
        <w:ind w:firstLine="640"/>
        <w:jc w:val="both"/>
        <w:outlineLvl w:val="2"/>
      </w:pPr>
      <w:r>
        <w:rPr>
          <w:rFonts w:ascii="黑体" w:hAnsi="黑体" w:eastAsia="黑体"/>
          <w:sz w:val="32"/>
        </w:rPr>
        <w:t>十二、其他需说明的事项</w:t>
      </w:r>
    </w:p>
    <w:p w14:paraId="0BB1C3E1">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项目4个，全年预算数25.03万元，全年执行数25.03万元。</w:t>
      </w:r>
      <w:bookmarkStart w:id="0" w:name="_GoBack"/>
      <w:bookmarkEnd w:id="0"/>
    </w:p>
    <w:p w14:paraId="5BF23B24">
      <w:r>
        <w:br w:type="page"/>
      </w:r>
    </w:p>
    <w:p w14:paraId="6A5016E1">
      <w:pPr>
        <w:spacing w:line="240" w:lineRule="auto"/>
        <w:jc w:val="center"/>
        <w:outlineLvl w:val="1"/>
      </w:pPr>
      <w:r>
        <w:rPr>
          <w:rFonts w:ascii="黑体" w:hAnsi="黑体" w:eastAsia="黑体"/>
          <w:sz w:val="32"/>
        </w:rPr>
        <w:t>第三部分 专业名词解释</w:t>
      </w:r>
    </w:p>
    <w:p w14:paraId="22A07E5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54CB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9B61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41B05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E8E3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AB9C8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9BF80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38B4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4DB7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3EEB5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AE744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3F94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E7D0A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9EA70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9AB79F">
      <w:r>
        <w:br w:type="page"/>
      </w:r>
    </w:p>
    <w:p w14:paraId="488E4406">
      <w:pPr>
        <w:spacing w:line="240" w:lineRule="auto"/>
        <w:jc w:val="center"/>
        <w:outlineLvl w:val="1"/>
      </w:pPr>
      <w:r>
        <w:rPr>
          <w:rFonts w:ascii="黑体" w:hAnsi="黑体" w:eastAsia="黑体"/>
          <w:sz w:val="32"/>
        </w:rPr>
        <w:t>第四部分 部门决算报表（见附表）</w:t>
      </w:r>
    </w:p>
    <w:p w14:paraId="086916A9">
      <w:pPr>
        <w:spacing w:line="240" w:lineRule="auto"/>
        <w:ind w:firstLine="640"/>
        <w:jc w:val="both"/>
      </w:pPr>
      <w:r>
        <w:rPr>
          <w:rFonts w:ascii="仿宋_GB2312" w:hAnsi="仿宋_GB2312" w:eastAsia="仿宋_GB2312"/>
          <w:b w:val="0"/>
          <w:sz w:val="32"/>
        </w:rPr>
        <w:t>一、《收入支出决算总表》</w:t>
      </w:r>
    </w:p>
    <w:p w14:paraId="194752EA">
      <w:pPr>
        <w:spacing w:line="240" w:lineRule="auto"/>
        <w:ind w:firstLine="640"/>
        <w:jc w:val="both"/>
      </w:pPr>
      <w:r>
        <w:rPr>
          <w:rFonts w:ascii="仿宋_GB2312" w:hAnsi="仿宋_GB2312" w:eastAsia="仿宋_GB2312"/>
          <w:b w:val="0"/>
          <w:sz w:val="32"/>
        </w:rPr>
        <w:t>二、《收入决算表》</w:t>
      </w:r>
    </w:p>
    <w:p w14:paraId="3732A953">
      <w:pPr>
        <w:spacing w:line="240" w:lineRule="auto"/>
        <w:ind w:firstLine="640"/>
        <w:jc w:val="both"/>
      </w:pPr>
      <w:r>
        <w:rPr>
          <w:rFonts w:ascii="仿宋_GB2312" w:hAnsi="仿宋_GB2312" w:eastAsia="仿宋_GB2312"/>
          <w:b w:val="0"/>
          <w:sz w:val="32"/>
        </w:rPr>
        <w:t>三、《支出决算表》</w:t>
      </w:r>
    </w:p>
    <w:p w14:paraId="6F83DCAF">
      <w:pPr>
        <w:spacing w:line="240" w:lineRule="auto"/>
        <w:ind w:firstLine="640"/>
        <w:jc w:val="both"/>
      </w:pPr>
      <w:r>
        <w:rPr>
          <w:rFonts w:ascii="仿宋_GB2312" w:hAnsi="仿宋_GB2312" w:eastAsia="仿宋_GB2312"/>
          <w:b w:val="0"/>
          <w:sz w:val="32"/>
        </w:rPr>
        <w:t>四、《财政拨款收入支出决算总表》</w:t>
      </w:r>
    </w:p>
    <w:p w14:paraId="5629919E">
      <w:pPr>
        <w:spacing w:line="240" w:lineRule="auto"/>
        <w:ind w:firstLine="640"/>
        <w:jc w:val="both"/>
      </w:pPr>
      <w:r>
        <w:rPr>
          <w:rFonts w:ascii="仿宋_GB2312" w:hAnsi="仿宋_GB2312" w:eastAsia="仿宋_GB2312"/>
          <w:b w:val="0"/>
          <w:sz w:val="32"/>
        </w:rPr>
        <w:t>五、《一般公共预算财政拨款支出决算表》</w:t>
      </w:r>
    </w:p>
    <w:p w14:paraId="0F14DB3F">
      <w:pPr>
        <w:spacing w:line="240" w:lineRule="auto"/>
        <w:ind w:firstLine="640"/>
        <w:jc w:val="both"/>
      </w:pPr>
      <w:r>
        <w:rPr>
          <w:rFonts w:ascii="仿宋_GB2312" w:hAnsi="仿宋_GB2312" w:eastAsia="仿宋_GB2312"/>
          <w:b w:val="0"/>
          <w:sz w:val="32"/>
        </w:rPr>
        <w:t>六、《一般公共预算财政拨款基本支出决算表》</w:t>
      </w:r>
    </w:p>
    <w:p w14:paraId="4FBE3B3A">
      <w:pPr>
        <w:spacing w:line="240" w:lineRule="auto"/>
        <w:ind w:firstLine="640"/>
        <w:jc w:val="both"/>
      </w:pPr>
      <w:r>
        <w:rPr>
          <w:rFonts w:ascii="仿宋_GB2312" w:hAnsi="仿宋_GB2312" w:eastAsia="仿宋_GB2312"/>
          <w:b w:val="0"/>
          <w:sz w:val="32"/>
        </w:rPr>
        <w:t>七、《政府性基金预算财政拨款收入支出决算表》</w:t>
      </w:r>
    </w:p>
    <w:p w14:paraId="799517AE">
      <w:pPr>
        <w:spacing w:line="240" w:lineRule="auto"/>
        <w:ind w:firstLine="640"/>
        <w:jc w:val="both"/>
      </w:pPr>
      <w:r>
        <w:rPr>
          <w:rFonts w:ascii="仿宋_GB2312" w:hAnsi="仿宋_GB2312" w:eastAsia="仿宋_GB2312"/>
          <w:b w:val="0"/>
          <w:sz w:val="32"/>
        </w:rPr>
        <w:t>八、《国有资本经营预算财政拨款收入支出决算表》</w:t>
      </w:r>
    </w:p>
    <w:p w14:paraId="24AE9449">
      <w:pPr>
        <w:spacing w:line="240" w:lineRule="auto"/>
        <w:ind w:firstLine="640"/>
        <w:jc w:val="both"/>
      </w:pPr>
      <w:r>
        <w:rPr>
          <w:rFonts w:ascii="仿宋_GB2312" w:hAnsi="仿宋_GB2312" w:eastAsia="仿宋_GB2312"/>
          <w:b w:val="0"/>
          <w:sz w:val="32"/>
        </w:rPr>
        <w:t>九、《财政拨款“三公”经费支出决算表》</w:t>
      </w:r>
    </w:p>
    <w:p w14:paraId="60DD9AF9">
      <w:pPr>
        <w:spacing w:line="240" w:lineRule="auto"/>
        <w:ind w:firstLine="640"/>
        <w:jc w:val="both"/>
      </w:pPr>
    </w:p>
    <w:p w14:paraId="18530620">
      <w:pPr>
        <w:spacing w:line="240" w:lineRule="auto"/>
        <w:ind w:firstLine="640"/>
        <w:jc w:val="both"/>
      </w:pPr>
    </w:p>
    <w:p w14:paraId="62752A47">
      <w:pPr>
        <w:spacing w:line="240" w:lineRule="auto"/>
        <w:ind w:firstLine="640"/>
        <w:jc w:val="both"/>
      </w:pPr>
    </w:p>
    <w:p w14:paraId="282D04A2">
      <w:pPr>
        <w:spacing w:line="240" w:lineRule="auto"/>
        <w:ind w:firstLine="640"/>
        <w:jc w:val="both"/>
      </w:pPr>
    </w:p>
    <w:p w14:paraId="1C75FA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E30E37-50D2-4A0D-8F9D-E243341596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38453C0-20F8-4B46-B156-312E7E821458}"/>
  </w:font>
  <w:font w:name="方正小标宋_GBK">
    <w:panose1 w:val="02000000000000000000"/>
    <w:charset w:val="86"/>
    <w:family w:val="script"/>
    <w:pitch w:val="default"/>
    <w:sig w:usb0="A00002BF" w:usb1="38CF7CFA" w:usb2="00082016" w:usb3="00000000" w:csb0="00040001" w:csb1="00000000"/>
    <w:embedRegular r:id="rId3" w:fontKey="{2EA09D2C-C48C-4F33-98B4-E572AB57FEB9}"/>
  </w:font>
  <w:font w:name="楷体_GB2312">
    <w:panose1 w:val="02010609030101010101"/>
    <w:charset w:val="86"/>
    <w:family w:val="auto"/>
    <w:pitch w:val="default"/>
    <w:sig w:usb0="00000001" w:usb1="080E0000" w:usb2="00000000" w:usb3="00000000" w:csb0="00040000" w:csb1="00000000"/>
    <w:embedRegular r:id="rId4" w:fontKey="{C4439055-A750-470E-8E23-F70217345BA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1C377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D963A6"/>
    <w:rsid w:val="38006E2C"/>
    <w:rsid w:val="3914510A"/>
    <w:rsid w:val="3B1220C9"/>
    <w:rsid w:val="3D5275AC"/>
    <w:rsid w:val="3EA7725F"/>
    <w:rsid w:val="3EC014A1"/>
    <w:rsid w:val="3F655ECF"/>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452BB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6502</Words>
  <Characters>7432</Characters>
  <Lines>0</Lines>
  <Paragraphs>0</Paragraphs>
  <TotalTime>5</TotalTime>
  <ScaleCrop>false</ScaleCrop>
  <LinksUpToDate>false</LinksUpToDate>
  <CharactersWithSpaces>7440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