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喀什地区昆仑山国有林管理局2024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978DB2">
      <w:r>
        <w:br w:type="page"/>
      </w:r>
    </w:p>
    <w:p w14:paraId="4FE64F38">
      <w:pPr>
        <w:spacing w:line="640" w:lineRule="exact"/>
        <w:jc w:val="center"/>
        <w:outlineLvl w:val="1"/>
      </w:pPr>
      <w:r>
        <w:rPr>
          <w:rFonts w:ascii="黑体" w:hAnsi="黑体" w:eastAsia="黑体"/>
          <w:sz w:val="32"/>
        </w:rPr>
        <w:t>第一部分 部门概况</w:t>
      </w:r>
    </w:p>
    <w:p w14:paraId="031D65AE">
      <w:pPr>
        <w:spacing w:line="640" w:lineRule="exact"/>
        <w:ind w:firstLine="640"/>
        <w:jc w:val="both"/>
        <w:outlineLvl w:val="2"/>
      </w:pPr>
      <w:r>
        <w:rPr>
          <w:rFonts w:ascii="黑体" w:hAnsi="黑体" w:eastAsia="黑体"/>
          <w:sz w:val="32"/>
        </w:rPr>
        <w:t>一、主要职能</w:t>
      </w:r>
    </w:p>
    <w:p w14:paraId="36E981A5">
      <w:pPr>
        <w:spacing w:line="580" w:lineRule="exact"/>
        <w:ind w:firstLine="640"/>
        <w:jc w:val="both"/>
      </w:pPr>
      <w:r>
        <w:rPr>
          <w:rFonts w:ascii="仿宋_GB2312" w:hAnsi="仿宋_GB2312" w:eastAsia="仿宋_GB2312"/>
          <w:sz w:val="32"/>
        </w:rPr>
        <w:t>拟定、贯彻实施国有林场相关法律、法规；依法受委托对国有林场森林资源资产进行监管。培育和保护森林资源，维护国家生态安全和木材安全。开展科学试验和技术创新，推广先进技术；保护林业生态文化资源，促进人与自然和谐发展。</w:t>
      </w:r>
    </w:p>
    <w:p w14:paraId="119F575E">
      <w:pPr>
        <w:spacing w:line="640" w:lineRule="exact"/>
        <w:ind w:firstLine="640"/>
        <w:jc w:val="both"/>
        <w:outlineLvl w:val="2"/>
      </w:pPr>
      <w:r>
        <w:rPr>
          <w:rFonts w:ascii="黑体" w:hAnsi="黑体" w:eastAsia="黑体"/>
          <w:sz w:val="32"/>
        </w:rPr>
        <w:t>二、机构设置及人员情况</w:t>
      </w:r>
    </w:p>
    <w:p w14:paraId="1BE42C0E">
      <w:pPr>
        <w:spacing w:line="580" w:lineRule="exact"/>
        <w:ind w:firstLine="640"/>
        <w:jc w:val="both"/>
      </w:pPr>
      <w:r>
        <w:rPr>
          <w:rFonts w:ascii="仿宋_GB2312" w:hAnsi="仿宋_GB2312" w:eastAsia="仿宋_GB2312"/>
          <w:sz w:val="32"/>
        </w:rPr>
        <w:t>喀什地区昆仑山国有林管理局2024年度，实有人数37人，其中：在职人员31人，减少1人；离休人员0人，增加0人；退休人员6人,增加0人。</w:t>
      </w:r>
    </w:p>
    <w:p w14:paraId="0A0067FA">
      <w:pPr>
        <w:spacing w:line="580" w:lineRule="exact"/>
        <w:ind w:firstLine="640"/>
        <w:jc w:val="both"/>
      </w:pPr>
      <w:r>
        <w:rPr>
          <w:rFonts w:ascii="仿宋_GB2312" w:hAnsi="仿宋_GB2312" w:eastAsia="仿宋_GB2312"/>
          <w:sz w:val="32"/>
        </w:rPr>
        <w:t>喀什地区昆仑山国有林管理局无下属预算单位，下设3个科室，分别是：办公室、资源管理科、护林防火管理科。</w:t>
      </w:r>
    </w:p>
    <w:p w14:paraId="1DFF6362">
      <w:r>
        <w:br w:type="page"/>
      </w:r>
    </w:p>
    <w:p w14:paraId="680985B9">
      <w:pPr>
        <w:spacing w:line="240" w:lineRule="auto"/>
        <w:jc w:val="center"/>
        <w:outlineLvl w:val="1"/>
      </w:pPr>
      <w:r>
        <w:rPr>
          <w:rFonts w:ascii="黑体" w:hAnsi="黑体" w:eastAsia="黑体"/>
          <w:sz w:val="32"/>
        </w:rPr>
        <w:t>第二部分 部门决算情况说明</w:t>
      </w:r>
    </w:p>
    <w:p w14:paraId="3AD36250">
      <w:pPr>
        <w:spacing w:line="640" w:lineRule="exact"/>
        <w:ind w:firstLine="640"/>
        <w:jc w:val="both"/>
        <w:outlineLvl w:val="2"/>
      </w:pPr>
      <w:r>
        <w:rPr>
          <w:rFonts w:ascii="黑体" w:hAnsi="黑体" w:eastAsia="黑体"/>
          <w:sz w:val="32"/>
        </w:rPr>
        <w:t>一、收入支出决算总体情况说明</w:t>
      </w:r>
    </w:p>
    <w:p w14:paraId="3BD0B8FC">
      <w:pPr>
        <w:spacing w:line="580" w:lineRule="exact"/>
        <w:ind w:firstLine="640"/>
        <w:jc w:val="both"/>
      </w:pPr>
      <w:r>
        <w:rPr>
          <w:rFonts w:ascii="仿宋_GB2312" w:hAnsi="仿宋_GB2312" w:eastAsia="仿宋_GB2312"/>
          <w:b/>
          <w:sz w:val="32"/>
        </w:rPr>
        <w:t>2024年度收入总计1,289.91万元，</w:t>
      </w:r>
      <w:r>
        <w:rPr>
          <w:rFonts w:ascii="仿宋_GB2312" w:hAnsi="仿宋_GB2312" w:eastAsia="仿宋_GB2312"/>
          <w:b w:val="0"/>
          <w:sz w:val="32"/>
        </w:rPr>
        <w:t>其中：本年收入合计1,289.91万元，使用非财政拨款结余（含专用结余）0.00万元，年初结转和结余0.00万元。</w:t>
      </w:r>
    </w:p>
    <w:p w14:paraId="7B1536D2">
      <w:pPr>
        <w:spacing w:line="580" w:lineRule="exact"/>
        <w:ind w:firstLine="640"/>
        <w:jc w:val="both"/>
      </w:pPr>
      <w:r>
        <w:rPr>
          <w:rFonts w:ascii="仿宋_GB2312" w:hAnsi="仿宋_GB2312" w:eastAsia="仿宋_GB2312"/>
          <w:b/>
          <w:sz w:val="32"/>
        </w:rPr>
        <w:t>2024年度支出总计1,289.91万元，</w:t>
      </w:r>
      <w:r>
        <w:rPr>
          <w:rFonts w:ascii="仿宋_GB2312" w:hAnsi="仿宋_GB2312" w:eastAsia="仿宋_GB2312"/>
          <w:b w:val="0"/>
          <w:sz w:val="32"/>
        </w:rPr>
        <w:t>其中：本年支出合计1,289.91万元，结余分配0.00万元，年末结转和结余0.00万元。</w:t>
      </w:r>
    </w:p>
    <w:p w14:paraId="41ADE9E9">
      <w:pPr>
        <w:spacing w:line="580" w:lineRule="exact"/>
        <w:ind w:firstLine="640"/>
        <w:jc w:val="both"/>
      </w:pPr>
      <w:r>
        <w:rPr>
          <w:rFonts w:ascii="仿宋_GB2312" w:hAnsi="仿宋_GB2312" w:eastAsia="仿宋_GB2312"/>
          <w:b w:val="0"/>
          <w:sz w:val="32"/>
        </w:rPr>
        <w:t>收入支出总体与上年相比，减少176.42万元，下降12.03%，主要原因是：1.本年在职人员减少，相关人员经费较上年减少；2.本年减少新一轮林地保护利用规划编制项目。</w:t>
      </w:r>
    </w:p>
    <w:p w14:paraId="24D2EDA0">
      <w:pPr>
        <w:spacing w:line="640" w:lineRule="exact"/>
        <w:ind w:firstLine="640"/>
        <w:jc w:val="both"/>
        <w:outlineLvl w:val="2"/>
      </w:pPr>
      <w:r>
        <w:rPr>
          <w:rFonts w:ascii="黑体" w:hAnsi="黑体" w:eastAsia="黑体"/>
          <w:sz w:val="32"/>
        </w:rPr>
        <w:t>二、收入决算情况说明</w:t>
      </w:r>
    </w:p>
    <w:p w14:paraId="00492C3D">
      <w:pPr>
        <w:spacing w:line="580" w:lineRule="exact"/>
        <w:ind w:firstLine="640"/>
        <w:jc w:val="both"/>
      </w:pPr>
      <w:r>
        <w:rPr>
          <w:rFonts w:ascii="仿宋_GB2312" w:hAnsi="仿宋_GB2312" w:eastAsia="仿宋_GB2312"/>
          <w:b/>
          <w:sz w:val="32"/>
        </w:rPr>
        <w:t>本年收入1,289.91万元，</w:t>
      </w:r>
      <w:r>
        <w:rPr>
          <w:rFonts w:ascii="仿宋_GB2312" w:hAnsi="仿宋_GB2312" w:eastAsia="仿宋_GB2312"/>
          <w:b w:val="0"/>
          <w:sz w:val="32"/>
        </w:rPr>
        <w:t>其中：财政拨款收入1,289.91万元，占100.00%；上级补助收入0.00万元，占0.00%；事业收入0.00万元，占0.00%；经营收入0.00万元，占0.00%；附属单位上缴收入0.00万元，占0.00%；其他收入0.00万元，占0.00%。</w:t>
      </w:r>
    </w:p>
    <w:p w14:paraId="190C2984">
      <w:pPr>
        <w:spacing w:line="640" w:lineRule="exact"/>
        <w:ind w:firstLine="640"/>
        <w:jc w:val="both"/>
        <w:outlineLvl w:val="2"/>
      </w:pPr>
      <w:r>
        <w:rPr>
          <w:rFonts w:ascii="黑体" w:hAnsi="黑体" w:eastAsia="黑体"/>
          <w:sz w:val="32"/>
        </w:rPr>
        <w:t>三、支出决算情况说明</w:t>
      </w:r>
    </w:p>
    <w:p w14:paraId="4052835F">
      <w:pPr>
        <w:spacing w:line="580" w:lineRule="exact"/>
        <w:ind w:firstLine="640"/>
        <w:jc w:val="both"/>
      </w:pPr>
      <w:r>
        <w:rPr>
          <w:rFonts w:ascii="仿宋_GB2312" w:hAnsi="仿宋_GB2312" w:eastAsia="仿宋_GB2312"/>
          <w:b/>
          <w:sz w:val="32"/>
        </w:rPr>
        <w:t>本年支出1,289.91万元，</w:t>
      </w:r>
      <w:r>
        <w:rPr>
          <w:rFonts w:ascii="仿宋_GB2312" w:hAnsi="仿宋_GB2312" w:eastAsia="仿宋_GB2312"/>
          <w:b w:val="0"/>
          <w:sz w:val="32"/>
        </w:rPr>
        <w:t>其中：基本支出629.41万元，占48.79%；项目支出660.50万元，占51.21%；上缴上级支出0.00万元，占0.00%；经营支出0.00万元，占0.00%；对附属单位补助支出0.00万元，占0.00%。</w:t>
      </w:r>
    </w:p>
    <w:p w14:paraId="7268934F">
      <w:pPr>
        <w:spacing w:line="640" w:lineRule="exact"/>
        <w:ind w:firstLine="640"/>
        <w:jc w:val="both"/>
        <w:outlineLvl w:val="2"/>
      </w:pPr>
      <w:r>
        <w:rPr>
          <w:rFonts w:ascii="黑体" w:hAnsi="黑体" w:eastAsia="黑体"/>
          <w:sz w:val="32"/>
        </w:rPr>
        <w:t>四、财政拨款收入支出决算总体情况说明</w:t>
      </w:r>
    </w:p>
    <w:p w14:paraId="4CF27736">
      <w:pPr>
        <w:spacing w:line="580" w:lineRule="exact"/>
        <w:ind w:firstLine="640"/>
        <w:jc w:val="both"/>
      </w:pPr>
      <w:r>
        <w:rPr>
          <w:rFonts w:ascii="仿宋_GB2312" w:hAnsi="仿宋_GB2312" w:eastAsia="仿宋_GB2312"/>
          <w:b/>
          <w:sz w:val="32"/>
        </w:rPr>
        <w:t>2024年度财政拨款收入总计1,289.91万元，</w:t>
      </w:r>
      <w:r>
        <w:rPr>
          <w:rFonts w:ascii="仿宋_GB2312" w:hAnsi="仿宋_GB2312" w:eastAsia="仿宋_GB2312"/>
          <w:b w:val="0"/>
          <w:sz w:val="32"/>
        </w:rPr>
        <w:t>其中：年初财政拨款结转和结余0.00万元，本年财政拨款收入1,289.91万元。</w:t>
      </w:r>
      <w:r>
        <w:rPr>
          <w:rFonts w:ascii="仿宋_GB2312" w:hAnsi="仿宋_GB2312" w:eastAsia="仿宋_GB2312"/>
          <w:b/>
          <w:sz w:val="32"/>
        </w:rPr>
        <w:t>财政拨款支出总计1,289.91万元，</w:t>
      </w:r>
      <w:r>
        <w:rPr>
          <w:rFonts w:ascii="仿宋_GB2312" w:hAnsi="仿宋_GB2312" w:eastAsia="仿宋_GB2312"/>
          <w:b w:val="0"/>
          <w:sz w:val="32"/>
        </w:rPr>
        <w:t>其中：年末财政拨款结转和结余0.00万元，本年财政拨款支出1,289.91万元。</w:t>
      </w:r>
    </w:p>
    <w:p w14:paraId="79AED26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减少176.42万元，下降12.03%，主要原因是：1.本年在职人员减少，相关人员经费较上年减少；2.本年减少新一轮林地保护利用规划编制项目。</w:t>
      </w:r>
      <w:r>
        <w:rPr>
          <w:rFonts w:ascii="仿宋_GB2312" w:hAnsi="仿宋_GB2312" w:eastAsia="仿宋_GB2312"/>
          <w:b/>
          <w:sz w:val="32"/>
        </w:rPr>
        <w:t>与年初预算相比，</w:t>
      </w:r>
      <w:r>
        <w:rPr>
          <w:rFonts w:ascii="仿宋_GB2312" w:hAnsi="仿宋_GB2312" w:eastAsia="仿宋_GB2312"/>
          <w:b w:val="0"/>
          <w:sz w:val="32"/>
        </w:rPr>
        <w:t>年初预算数1,311.07万元，决算数1,289.91万元，预决算差异率-1.61%，主要原因是：1.本年在职人员减少，年中调减人员经费，导致预决算存在差异；2.严格落实中央八项规定精神，厉行节约，减少不必要的开支。</w:t>
      </w:r>
    </w:p>
    <w:p w14:paraId="4C2C6DFF">
      <w:pPr>
        <w:spacing w:line="640" w:lineRule="exact"/>
        <w:ind w:firstLine="640"/>
        <w:jc w:val="both"/>
        <w:outlineLvl w:val="2"/>
      </w:pPr>
      <w:r>
        <w:rPr>
          <w:rFonts w:ascii="黑体" w:hAnsi="黑体" w:eastAsia="黑体"/>
          <w:sz w:val="32"/>
        </w:rPr>
        <w:t>五、一般公共预算财政拨款支出决算情况说明</w:t>
      </w:r>
    </w:p>
    <w:p w14:paraId="5D6D4C98">
      <w:pPr>
        <w:spacing w:line="640" w:lineRule="exact"/>
        <w:ind w:firstLine="640"/>
        <w:jc w:val="both"/>
        <w:outlineLvl w:val="3"/>
      </w:pPr>
      <w:r>
        <w:rPr>
          <w:rFonts w:ascii="楷体_GB2312" w:hAnsi="楷体_GB2312" w:eastAsia="楷体_GB2312"/>
          <w:b/>
          <w:sz w:val="32"/>
        </w:rPr>
        <w:t>（一）一般公共预算财政拨款支出决算总体情况</w:t>
      </w:r>
    </w:p>
    <w:p w14:paraId="21686952">
      <w:pPr>
        <w:spacing w:line="580" w:lineRule="exact"/>
        <w:ind w:firstLine="640"/>
        <w:jc w:val="both"/>
      </w:pPr>
      <w:r>
        <w:rPr>
          <w:rFonts w:ascii="仿宋_GB2312" w:hAnsi="仿宋_GB2312" w:eastAsia="仿宋_GB2312"/>
          <w:b/>
          <w:sz w:val="32"/>
        </w:rPr>
        <w:t>2024年度一般公共预算财政拨款支出1,289.91万元，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减少176.42万元，下降12.03%，主要原因是：1.本年在职人员减少，相关人员经费较上年减少；2.本年减少新一轮林地保护利用规划编制项目。</w:t>
      </w:r>
      <w:r>
        <w:rPr>
          <w:rFonts w:ascii="仿宋_GB2312" w:hAnsi="仿宋_GB2312" w:eastAsia="仿宋_GB2312"/>
          <w:b/>
          <w:sz w:val="32"/>
        </w:rPr>
        <w:t>与年初预算相比,</w:t>
      </w:r>
      <w:r>
        <w:rPr>
          <w:rFonts w:ascii="仿宋_GB2312" w:hAnsi="仿宋_GB2312" w:eastAsia="仿宋_GB2312"/>
          <w:b w:val="0"/>
          <w:sz w:val="32"/>
        </w:rPr>
        <w:t>年初预算数1,311.07万元，决算数1,289.91万元，预决算差异率-1.61%，主要原因是：1.本年在职人员减少，年中调减人员经费，导致预决算存在差异；2.严格落实中央八项规定精神，厉行节约，减少不必要的开支。</w:t>
      </w:r>
    </w:p>
    <w:p w14:paraId="04957B9E">
      <w:pPr>
        <w:spacing w:line="640" w:lineRule="exact"/>
        <w:ind w:firstLine="640"/>
        <w:jc w:val="both"/>
        <w:outlineLvl w:val="3"/>
      </w:pPr>
      <w:r>
        <w:rPr>
          <w:rFonts w:ascii="楷体_GB2312" w:hAnsi="楷体_GB2312" w:eastAsia="楷体_GB2312"/>
          <w:b/>
          <w:sz w:val="32"/>
        </w:rPr>
        <w:t>（二）一般公共预算财政拨款支出决算结构情况</w:t>
      </w:r>
    </w:p>
    <w:p w14:paraId="2DE539B6">
      <w:pPr>
        <w:spacing w:line="580" w:lineRule="exact"/>
        <w:ind w:firstLine="640"/>
        <w:jc w:val="both"/>
      </w:pPr>
      <w:r>
        <w:rPr>
          <w:rFonts w:ascii="仿宋_GB2312" w:hAnsi="仿宋_GB2312" w:eastAsia="仿宋_GB2312"/>
          <w:b w:val="0"/>
          <w:sz w:val="32"/>
        </w:rPr>
        <w:t>1.社会保障和就业支出(类)70.75万元,占5.48%。</w:t>
      </w:r>
    </w:p>
    <w:p w14:paraId="5F740FC0">
      <w:pPr>
        <w:spacing w:line="580" w:lineRule="exact"/>
        <w:ind w:firstLine="640"/>
        <w:jc w:val="both"/>
      </w:pPr>
      <w:r>
        <w:rPr>
          <w:rFonts w:ascii="仿宋_GB2312" w:hAnsi="仿宋_GB2312" w:eastAsia="仿宋_GB2312"/>
          <w:b w:val="0"/>
          <w:sz w:val="32"/>
        </w:rPr>
        <w:t>2.卫生健康支出(类)26.77万元,占2.08%。</w:t>
      </w:r>
    </w:p>
    <w:p w14:paraId="00B6DDB3">
      <w:pPr>
        <w:spacing w:line="580" w:lineRule="exact"/>
        <w:ind w:firstLine="640"/>
        <w:jc w:val="both"/>
      </w:pPr>
      <w:r>
        <w:rPr>
          <w:rFonts w:ascii="仿宋_GB2312" w:hAnsi="仿宋_GB2312" w:eastAsia="仿宋_GB2312"/>
          <w:b w:val="0"/>
          <w:sz w:val="32"/>
        </w:rPr>
        <w:t>3.节能环保支出(类)660.50万元,占51.21%。</w:t>
      </w:r>
    </w:p>
    <w:p w14:paraId="65BC1F19">
      <w:pPr>
        <w:spacing w:line="580" w:lineRule="exact"/>
        <w:ind w:firstLine="640"/>
        <w:jc w:val="both"/>
      </w:pPr>
      <w:r>
        <w:rPr>
          <w:rFonts w:ascii="仿宋_GB2312" w:hAnsi="仿宋_GB2312" w:eastAsia="仿宋_GB2312"/>
          <w:b w:val="0"/>
          <w:sz w:val="32"/>
        </w:rPr>
        <w:t>4.农林水支出(类)479.34万元,占37.16%。</w:t>
      </w:r>
    </w:p>
    <w:p w14:paraId="3D1D105E">
      <w:pPr>
        <w:spacing w:line="580" w:lineRule="exact"/>
        <w:ind w:firstLine="640"/>
        <w:jc w:val="both"/>
      </w:pPr>
      <w:r>
        <w:rPr>
          <w:rFonts w:ascii="仿宋_GB2312" w:hAnsi="仿宋_GB2312" w:eastAsia="仿宋_GB2312"/>
          <w:b w:val="0"/>
          <w:sz w:val="32"/>
        </w:rPr>
        <w:t>5.住房保障支出(类)52.55万元,占4.07%。</w:t>
      </w:r>
    </w:p>
    <w:p w14:paraId="29F9D042">
      <w:pPr>
        <w:spacing w:line="640" w:lineRule="exact"/>
        <w:ind w:firstLine="640"/>
        <w:jc w:val="both"/>
        <w:outlineLvl w:val="3"/>
      </w:pPr>
      <w:r>
        <w:rPr>
          <w:rFonts w:ascii="楷体_GB2312" w:hAnsi="楷体_GB2312" w:eastAsia="楷体_GB2312"/>
          <w:b/>
          <w:sz w:val="32"/>
        </w:rPr>
        <w:t>（三）一般公共预算财政拨款支出决算具体情况</w:t>
      </w:r>
    </w:p>
    <w:p w14:paraId="3B61F41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1.社会保障和就业支出(类)行政事业单位养老支出(款)事业单位离退休(项):支出决算数为7.77万元，比上年决算增加2.74万元，增长54.47%,主要原因是：本年退休人员基础绩效奖金额增加，退休费支出增加。</w:t>
      </w:r>
    </w:p>
    <w:p w14:paraId="25B7161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62.98万元，比上年决算减少1.10万元，下降1.72%,主要原因是：本年在职人员减少，单位基本养老保险缴费较上年减少。</w:t>
      </w:r>
    </w:p>
    <w:p w14:paraId="44EC783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3.社会保障和就业支出(类)行政事业单位养老支出(款)机关事业单位职业年金缴费支出(项):支出决算数为0.00万元，比上年决算减少17.50万元，下降100.00%,主要原因是：本年无在职转退休人员，减少职业年金缴费。</w:t>
      </w:r>
    </w:p>
    <w:p w14:paraId="2D766F2D">
      <w:pPr>
        <w:spacing w:line="580" w:lineRule="exact"/>
        <w:ind w:firstLine="640"/>
        <w:jc w:val="both"/>
      </w:pPr>
      <w:r>
        <w:rPr>
          <w:rFonts w:ascii="仿宋_GB2312" w:hAnsi="仿宋_GB2312" w:eastAsia="仿宋_GB2312"/>
          <w:b w:val="0"/>
          <w:sz w:val="32"/>
        </w:rPr>
        <w:t>4.卫生健康支出(类)行政事业单位医疗(款)事业单位医疗(项):支出决算数为26.77万元，比上年决算减少0.06万元，下降0.22%,主要原因是：本年在职人员减少，事业单位医疗支出较上年减少。</w:t>
      </w:r>
    </w:p>
    <w:p w14:paraId="1AE6E7C9">
      <w:pPr>
        <w:spacing w:line="580" w:lineRule="exact"/>
        <w:ind w:firstLine="640"/>
        <w:jc w:val="both"/>
      </w:pPr>
      <w:r>
        <w:rPr>
          <w:rFonts w:ascii="仿宋_GB2312" w:hAnsi="仿宋_GB2312" w:eastAsia="仿宋_GB2312"/>
          <w:b w:val="0"/>
          <w:sz w:val="32"/>
        </w:rPr>
        <w:t>5.节能环保支出(类)森林保护修复(款)森林管护(项):支出决算数为660.50万元，比上年决算增加67.02万元，增长11.29%,主要原因是：本年科目调整，2024年中央林业草原生态保护恢复资金（森林保护修复-天保工程区）项目、2023年天然林资源保护管理项目、2023年天然林资源保护修复项目资金（第二批）经费上年在森林资源管理科目列支，本年在森林管护科目列支，导致经费较上年增加。</w:t>
      </w:r>
    </w:p>
    <w:p w14:paraId="4BDC2B70">
      <w:pPr>
        <w:spacing w:line="580" w:lineRule="exact"/>
        <w:ind w:firstLine="640"/>
        <w:jc w:val="both"/>
      </w:pPr>
      <w:r>
        <w:rPr>
          <w:rFonts w:ascii="仿宋_GB2312" w:hAnsi="仿宋_GB2312" w:eastAsia="仿宋_GB2312"/>
          <w:b w:val="0"/>
          <w:sz w:val="32"/>
        </w:rPr>
        <w:t>6.农林水支出(类)林业和草原(款)事业机构(项):支出决算数为479.34万元，比上年决算减少70.60万元，下降12.84%,主要原因是：上年对停发工资人员进行工资补发，本年无此项资金支出，且本年在职人员减少，相关人员经费较上年减少。</w:t>
      </w:r>
    </w:p>
    <w:p w14:paraId="20C9F1F1">
      <w:pPr>
        <w:spacing w:line="580" w:lineRule="exact"/>
        <w:ind w:firstLine="640"/>
        <w:jc w:val="both"/>
      </w:pPr>
      <w:r>
        <w:rPr>
          <w:rFonts w:ascii="仿宋_GB2312" w:hAnsi="仿宋_GB2312" w:eastAsia="仿宋_GB2312"/>
          <w:b w:val="0"/>
          <w:sz w:val="32"/>
        </w:rPr>
        <w:t>7.农林水支出(类)林业和草原(款)森林资源管理(项):支出决算数为0.00万元，比上年决算减少142.55万元，下降100.00%,主要原因是：本年科目调整，2024年中央林业草原生态保护恢复资金（森林保护修复-天保工程区）项目、2023年天然林资源保护管理项目、2023年天然林资源保护修复项目资金（第二批）经费上年在森林资源管理科目列支，本年在森林管护科目列支，导致经费较上年减少。</w:t>
      </w:r>
    </w:p>
    <w:p w14:paraId="63643506">
      <w:pPr>
        <w:spacing w:line="580" w:lineRule="exact"/>
        <w:ind w:firstLine="640"/>
        <w:jc w:val="both"/>
      </w:pPr>
      <w:r>
        <w:rPr>
          <w:rFonts w:ascii="仿宋_GB2312" w:hAnsi="仿宋_GB2312" w:eastAsia="仿宋_GB2312"/>
          <w:b w:val="0"/>
          <w:sz w:val="32"/>
        </w:rPr>
        <w:t>8.农林水支出(类)林业和草原(款)其他林业和草原支出(项):支出决算数为0.00万元，比上年决算减少20.50万元，下降100.00%,主要原因是：本年无新一轮林地保护利用规划编制项目。</w:t>
      </w:r>
    </w:p>
    <w:p w14:paraId="70956016">
      <w:pPr>
        <w:spacing w:line="580" w:lineRule="exact"/>
        <w:ind w:firstLine="640"/>
        <w:jc w:val="both"/>
      </w:pPr>
      <w:r>
        <w:rPr>
          <w:rFonts w:ascii="仿宋_GB2312" w:hAnsi="仿宋_GB2312" w:eastAsia="仿宋_GB2312"/>
          <w:b w:val="0"/>
          <w:sz w:val="32"/>
        </w:rPr>
        <w:t>9.住房保障支出(类)住房改革支出(款)住房公积金(项):支出决算数为52.55万元，比上年决算增加6.14万元，增长13.23%,主要原因是：本年在职人员工资基数调增，公积金缴费基数上涨，相应支出增加。</w:t>
      </w:r>
    </w:p>
    <w:p w14:paraId="68499B3C">
      <w:pPr>
        <w:spacing w:line="640" w:lineRule="exact"/>
        <w:ind w:firstLine="640"/>
        <w:jc w:val="both"/>
        <w:outlineLvl w:val="2"/>
      </w:pPr>
      <w:r>
        <w:rPr>
          <w:rFonts w:ascii="黑体" w:hAnsi="黑体" w:eastAsia="黑体"/>
          <w:sz w:val="32"/>
        </w:rPr>
        <w:t>六、一般公共预算财政拨款基本支出决算情况说明</w:t>
      </w:r>
    </w:p>
    <w:p w14:paraId="5D1916CB">
      <w:pPr>
        <w:spacing w:line="580" w:lineRule="exact"/>
        <w:ind w:firstLine="640"/>
        <w:jc w:val="both"/>
      </w:pPr>
      <w:r>
        <w:rPr>
          <w:rFonts w:ascii="仿宋_GB2312" w:hAnsi="仿宋_GB2312" w:eastAsia="仿宋_GB2312"/>
          <w:b w:val="0"/>
          <w:sz w:val="32"/>
        </w:rPr>
        <w:t>2024年度一般公共预算财政拨款基本支出629.41万元，其中：</w:t>
      </w:r>
      <w:r>
        <w:rPr>
          <w:rFonts w:ascii="仿宋_GB2312" w:hAnsi="仿宋_GB2312" w:eastAsia="仿宋_GB2312"/>
          <w:b/>
          <w:sz w:val="32"/>
        </w:rPr>
        <w:t>人员经费606.95万元，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4CA7BBBA">
      <w:pPr>
        <w:spacing w:line="580" w:lineRule="exact"/>
        <w:ind w:firstLine="640"/>
        <w:jc w:val="both"/>
      </w:pPr>
      <w:r>
        <w:rPr>
          <w:rFonts w:ascii="仿宋_GB2312" w:hAnsi="仿宋_GB2312" w:eastAsia="仿宋_GB2312"/>
          <w:b/>
          <w:sz w:val="32"/>
        </w:rPr>
        <w:t>公用经费22.46万元，</w:t>
      </w:r>
      <w:r>
        <w:rPr>
          <w:rFonts w:ascii="仿宋_GB2312" w:hAnsi="仿宋_GB2312" w:eastAsia="仿宋_GB2312"/>
          <w:b w:val="0"/>
          <w:sz w:val="32"/>
        </w:rPr>
        <w:t>包括：办公费、水费、电费、邮电费、取暖费、差旅费、维修（护）费、专用材料费、工会经费、公务用车运行维护费、其他商品和服务支出。</w:t>
      </w:r>
    </w:p>
    <w:p w14:paraId="16D51901">
      <w:pPr>
        <w:spacing w:line="640" w:lineRule="exact"/>
        <w:ind w:firstLine="640"/>
        <w:jc w:val="both"/>
        <w:outlineLvl w:val="2"/>
      </w:pPr>
      <w:r>
        <w:rPr>
          <w:rFonts w:ascii="黑体" w:hAnsi="黑体" w:eastAsia="黑体"/>
          <w:sz w:val="32"/>
        </w:rPr>
        <w:t>七、政府性基金预算财政拨款收入支出决算情况说明</w:t>
      </w:r>
    </w:p>
    <w:p w14:paraId="3972149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AA96429">
      <w:pPr>
        <w:spacing w:line="640" w:lineRule="exact"/>
        <w:ind w:firstLine="640"/>
        <w:jc w:val="both"/>
        <w:outlineLvl w:val="2"/>
      </w:pPr>
      <w:r>
        <w:rPr>
          <w:rFonts w:ascii="黑体" w:hAnsi="黑体" w:eastAsia="黑体"/>
          <w:sz w:val="32"/>
        </w:rPr>
        <w:t>八、国有资本经营预算财政拨款收入支出决算情况说明</w:t>
      </w:r>
    </w:p>
    <w:p w14:paraId="56BC4E7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B3E9B4B">
      <w:pPr>
        <w:spacing w:line="640" w:lineRule="exact"/>
        <w:ind w:firstLine="640"/>
        <w:jc w:val="both"/>
        <w:outlineLvl w:val="2"/>
      </w:pPr>
      <w:r>
        <w:rPr>
          <w:rFonts w:ascii="黑体" w:hAnsi="黑体" w:eastAsia="黑体"/>
          <w:sz w:val="32"/>
        </w:rPr>
        <w:t>九、财政拨款“三公”经费支出决算情况说明</w:t>
      </w:r>
    </w:p>
    <w:p w14:paraId="58D07410">
      <w:pPr>
        <w:spacing w:line="580" w:lineRule="exact"/>
        <w:ind w:firstLine="640"/>
        <w:jc w:val="both"/>
      </w:pPr>
      <w:r>
        <w:rPr>
          <w:rFonts w:ascii="仿宋_GB2312" w:hAnsi="仿宋_GB2312" w:eastAsia="仿宋_GB2312"/>
          <w:b/>
          <w:sz w:val="32"/>
        </w:rPr>
        <w:t>2024年度财政拨款“三公”经费支出1.71万元，</w:t>
      </w:r>
      <w:r>
        <w:rPr>
          <w:rFonts w:ascii="仿宋_GB2312" w:hAnsi="仿宋_GB2312" w:eastAsia="仿宋_GB2312"/>
          <w:b w:val="0"/>
          <w:sz w:val="32"/>
        </w:rPr>
        <w:t>比上年减少1.88万元，下降52.37%，主要原因是：本部门公务用车报废1辆，公务用车运行维护费减少，导致经费支出减少。其中：因公出国（境）费支出0.00万元，占0.00%，比上年增加0.00万元，增长0.00%，主要原因是：2023年与2024年均未安排因公出国（境）费支出。公务用车购置及运行维护费支出1.71万元，占100.00%，比上年减少1.88万元，下降52.37%，主要原因是：本部门公务用车报废1辆，公务用车运行维护费减少，导致经费支出减少。公务接待费支出0.00万元，占0.00%，比上年增加0.00万元，增长0.00%，主要原因是：2023年与2024年均未安排公务接待费支出。</w:t>
      </w:r>
    </w:p>
    <w:p w14:paraId="609B54C0">
      <w:pPr>
        <w:spacing w:line="580" w:lineRule="exact"/>
        <w:ind w:firstLine="640"/>
        <w:jc w:val="both"/>
      </w:pPr>
      <w:r>
        <w:rPr>
          <w:rFonts w:ascii="仿宋_GB2312" w:hAnsi="仿宋_GB2312" w:eastAsia="仿宋_GB2312"/>
          <w:b/>
          <w:sz w:val="32"/>
        </w:rPr>
        <w:t>具体情况如下：</w:t>
      </w:r>
    </w:p>
    <w:p w14:paraId="4125D26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2AA6744">
      <w:pPr>
        <w:spacing w:line="580" w:lineRule="exact"/>
        <w:ind w:firstLine="640"/>
        <w:jc w:val="both"/>
      </w:pPr>
      <w:r>
        <w:rPr>
          <w:rFonts w:ascii="仿宋_GB2312" w:hAnsi="仿宋_GB2312" w:eastAsia="仿宋_GB2312"/>
          <w:b w:val="0"/>
          <w:sz w:val="32"/>
        </w:rPr>
        <w:t>公务用车购置及运行维护费1.71万元，其中：公务用车购置费0.00万元，公务用车运行维护费1.71万元。公务用车运行维护费开支内容包括车辆燃油费、保险费、过路费、维修维护费、审验费等。公务用车购置数0辆，公务用车保有量1辆。国有资产占用情况中固定资产车辆1辆，与公务用车保有量差异原因是：本部门固定资产车辆与公务用车保有量一致无差异。</w:t>
      </w:r>
    </w:p>
    <w:p w14:paraId="66CC1D53">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1649A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1.71万元，决算数1.71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1.71万元，决算数1.71万元，预决算差异率0.00%，主要原因是：严格按照预算执行，预决算无差异。公务接待费全年预算数0.00万元，决算数0.00万元，预决算差异率0.00%，主要原因是：本部门无公务接待费。</w:t>
      </w:r>
      <w:bookmarkStart w:id="0" w:name="_GoBack"/>
      <w:bookmarkEnd w:id="0"/>
    </w:p>
    <w:p w14:paraId="5DA4EE9D">
      <w:pPr>
        <w:spacing w:line="640" w:lineRule="exact"/>
        <w:ind w:firstLine="640"/>
        <w:jc w:val="both"/>
        <w:outlineLvl w:val="2"/>
      </w:pPr>
      <w:r>
        <w:rPr>
          <w:rFonts w:ascii="黑体" w:hAnsi="黑体" w:eastAsia="黑体"/>
          <w:sz w:val="32"/>
        </w:rPr>
        <w:t>十、其他重要事项的情况说明</w:t>
      </w:r>
    </w:p>
    <w:p w14:paraId="6D8F79D3">
      <w:pPr>
        <w:spacing w:line="640" w:lineRule="exact"/>
        <w:ind w:firstLine="640"/>
        <w:jc w:val="both"/>
        <w:outlineLvl w:val="3"/>
      </w:pPr>
      <w:r>
        <w:rPr>
          <w:rFonts w:ascii="楷体_GB2312" w:hAnsi="楷体_GB2312" w:eastAsia="楷体_GB2312"/>
          <w:b/>
          <w:sz w:val="32"/>
        </w:rPr>
        <w:t>（一）机关运行经费及公用经费支出情况</w:t>
      </w:r>
    </w:p>
    <w:p w14:paraId="48C453B4">
      <w:pPr>
        <w:spacing w:line="580" w:lineRule="exact"/>
        <w:ind w:firstLine="640"/>
        <w:jc w:val="both"/>
      </w:pPr>
      <w:r>
        <w:rPr>
          <w:rFonts w:ascii="仿宋_GB2312" w:hAnsi="仿宋_GB2312" w:eastAsia="仿宋_GB2312"/>
          <w:b w:val="0"/>
          <w:sz w:val="32"/>
        </w:rPr>
        <w:t>2024年度喀什地区昆仑山国有林管理局（事业单位）公用经费支出22.46万元，比上年减少6.92万元，下降23.55%，主要原因是：本年办公费、电费、取暖费、差旅费减少，公务用车运行维护等支出减少，导致公用经费减少。</w:t>
      </w:r>
    </w:p>
    <w:p w14:paraId="76401E4C">
      <w:pPr>
        <w:spacing w:line="640" w:lineRule="exact"/>
        <w:ind w:firstLine="640"/>
        <w:jc w:val="both"/>
        <w:outlineLvl w:val="3"/>
      </w:pPr>
      <w:r>
        <w:rPr>
          <w:rFonts w:ascii="楷体_GB2312" w:hAnsi="楷体_GB2312" w:eastAsia="楷体_GB2312"/>
          <w:b/>
          <w:sz w:val="32"/>
        </w:rPr>
        <w:t>（二）政府采购情况</w:t>
      </w:r>
    </w:p>
    <w:p w14:paraId="17CA1F4D">
      <w:pPr>
        <w:spacing w:line="580" w:lineRule="exact"/>
        <w:ind w:firstLine="640"/>
        <w:jc w:val="both"/>
      </w:pPr>
      <w:r>
        <w:rPr>
          <w:rFonts w:ascii="仿宋_GB2312" w:hAnsi="仿宋_GB2312" w:eastAsia="仿宋_GB2312"/>
          <w:b w:val="0"/>
          <w:sz w:val="32"/>
        </w:rPr>
        <w:t>2024年度政府采购支出总额213.05万元，其中：政府采购货物支出82.37万元、政府采购工程支出0.00万元、政府采购服务支出130.68万元。</w:t>
      </w:r>
    </w:p>
    <w:p w14:paraId="45AF13A1">
      <w:pPr>
        <w:spacing w:line="580" w:lineRule="exact"/>
        <w:ind w:firstLine="640"/>
        <w:jc w:val="both"/>
      </w:pPr>
      <w:r>
        <w:rPr>
          <w:rFonts w:ascii="仿宋_GB2312" w:hAnsi="仿宋_GB2312" w:eastAsia="仿宋_GB2312"/>
          <w:b w:val="0"/>
          <w:sz w:val="32"/>
        </w:rPr>
        <w:t>授予中小企业合同金额192.63万元，占政府采购支出总额的90.42%，其中：授予小微企业合同金额94.03万元，占政府采购支出总额的44.14%。</w:t>
      </w:r>
    </w:p>
    <w:p w14:paraId="53D4C9ED">
      <w:pPr>
        <w:spacing w:line="640" w:lineRule="exact"/>
        <w:ind w:firstLine="640"/>
        <w:jc w:val="both"/>
        <w:outlineLvl w:val="3"/>
      </w:pPr>
      <w:r>
        <w:rPr>
          <w:rFonts w:ascii="楷体_GB2312" w:hAnsi="楷体_GB2312" w:eastAsia="楷体_GB2312"/>
          <w:b/>
          <w:sz w:val="32"/>
        </w:rPr>
        <w:t>（三）国有资产占用情况说明</w:t>
      </w:r>
    </w:p>
    <w:p w14:paraId="02167F66">
      <w:pPr>
        <w:spacing w:line="580" w:lineRule="exact"/>
        <w:ind w:firstLine="640"/>
        <w:jc w:val="both"/>
      </w:pPr>
      <w:r>
        <w:rPr>
          <w:rFonts w:ascii="仿宋_GB2312" w:hAnsi="仿宋_GB2312" w:eastAsia="仿宋_GB2312"/>
          <w:b w:val="0"/>
          <w:sz w:val="32"/>
        </w:rPr>
        <w:t>截至2024年12月31日，房屋6,591.28平方米，价值1,086.70万元。车辆1辆，价值32.90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1台（套）。</w:t>
      </w:r>
    </w:p>
    <w:p w14:paraId="6D1CA681">
      <w:pPr>
        <w:spacing w:line="640" w:lineRule="exact"/>
        <w:ind w:firstLine="640"/>
        <w:jc w:val="both"/>
        <w:outlineLvl w:val="2"/>
      </w:pPr>
      <w:r>
        <w:rPr>
          <w:rFonts w:ascii="黑体" w:hAnsi="黑体" w:eastAsia="黑体"/>
          <w:sz w:val="32"/>
        </w:rPr>
        <w:t>十一、预算绩效的情况说明</w:t>
      </w:r>
    </w:p>
    <w:p w14:paraId="4205062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1,296.74万元，实际执行总额1,289.91万元；预算绩效评价项目2个，全年预算数661.10万元，全年执行数654.27万元。预算绩效管理取得的成效：一是通过实施预算绩效管理，确保了资金使用与单位职能目标一致，对项目实施过程中不同阶段的项目进度有更全面的了解；二是通过强化预算执行中的绩效监测，及时纠正偏差，减少资金浪费，资金使用效率提升。三是通过绩效管理公开绩效目标和评价结果，增加了预算执行的透明度。发现的问题及原因：一是还需进一步加强评价结果在项目预算编制和绩效目标设置过程中的运用，强化制度执行与监督，二是单位对绩效管理工作重视度有待提高，主要原因是缺乏对绩效管理重要性的认识。三是指标设置体系较为单一，指标设计过于关注财务数据。下一步改进措施：一是进一步优化绩效指标，结合工作实际设计科学、合理的指标体系，确保可操作性和数据可得性；二是加强宣传培训，提高单位重视程度，培养绩效专干，提升绩效管理人员的专业能力；三是建立动态监测体系，设立科学、可量化的绩效指标，综合财务、质量、社会效益等多维度评价。具体附部门整体支出绩效自评表，项目支出绩效自评表和部门评价报告。</w:t>
      </w:r>
    </w:p>
    <w:p w14:paraId="765D94BB">
      <w:r>
        <w:br w:type="page"/>
      </w:r>
    </w:p>
    <w:tbl>
      <w:tblPr>
        <w:tblStyle w:val="9"/>
        <w:tblW w:w="9340" w:type="dxa"/>
        <w:tblInd w:w="0" w:type="dxa"/>
        <w:tblLayout w:type="autofit"/>
        <w:tblCellMar>
          <w:top w:w="0" w:type="dxa"/>
          <w:left w:w="108" w:type="dxa"/>
          <w:bottom w:w="0" w:type="dxa"/>
          <w:right w:w="108" w:type="dxa"/>
        </w:tblCellMar>
      </w:tblPr>
      <w:tblGrid>
        <w:gridCol w:w="1037"/>
        <w:gridCol w:w="1037"/>
        <w:gridCol w:w="1037"/>
        <w:gridCol w:w="1037"/>
        <w:gridCol w:w="1037"/>
        <w:gridCol w:w="1037"/>
        <w:gridCol w:w="1037"/>
        <w:gridCol w:w="1037"/>
        <w:gridCol w:w="1044"/>
      </w:tblGrid>
      <w:tr w14:paraId="15348F39">
        <w:tblPrEx>
          <w:tblCellMar>
            <w:top w:w="0" w:type="dxa"/>
            <w:left w:w="108" w:type="dxa"/>
            <w:bottom w:w="0" w:type="dxa"/>
            <w:right w:w="108" w:type="dxa"/>
          </w:tblCellMar>
        </w:tblPrEx>
        <w:trPr>
          <w:trHeight w:val="213" w:hRule="atLeast"/>
        </w:trPr>
        <w:tc>
          <w:tcPr>
            <w:tcW w:w="9340" w:type="dxa"/>
            <w:gridSpan w:val="9"/>
            <w:vAlign w:val="center"/>
          </w:tcPr>
          <w:p w14:paraId="3B9924E9">
            <w:pPr>
              <w:jc w:val="center"/>
            </w:pPr>
            <w:r>
              <w:rPr>
                <w:rFonts w:ascii="宋体" w:hAnsi="宋体" w:eastAsia="宋体"/>
                <w:sz w:val="24"/>
              </w:rPr>
              <w:t>部门整体支出绩效自评表</w:t>
            </w:r>
          </w:p>
        </w:tc>
      </w:tr>
      <w:tr w14:paraId="1FA213B5">
        <w:tblPrEx>
          <w:tblCellMar>
            <w:top w:w="0" w:type="dxa"/>
            <w:left w:w="108" w:type="dxa"/>
            <w:bottom w:w="0" w:type="dxa"/>
            <w:right w:w="108" w:type="dxa"/>
          </w:tblCellMar>
        </w:tblPrEx>
        <w:trPr>
          <w:trHeight w:val="213" w:hRule="atLeast"/>
        </w:trPr>
        <w:tc>
          <w:tcPr>
            <w:tcW w:w="9340" w:type="dxa"/>
            <w:gridSpan w:val="9"/>
            <w:vAlign w:val="center"/>
          </w:tcPr>
          <w:p w14:paraId="11CB9466">
            <w:pPr>
              <w:jc w:val="center"/>
            </w:pPr>
            <w:r>
              <w:rPr>
                <w:rFonts w:ascii="宋体" w:hAnsi="宋体" w:eastAsia="宋体"/>
                <w:sz w:val="24"/>
              </w:rPr>
              <w:t>（2024年度）</w:t>
            </w:r>
          </w:p>
        </w:tc>
      </w:tr>
      <w:tr w14:paraId="33CBDC02">
        <w:tblPrEx>
          <w:tblCellMar>
            <w:top w:w="0" w:type="dxa"/>
            <w:left w:w="108" w:type="dxa"/>
            <w:bottom w:w="0" w:type="dxa"/>
            <w:right w:w="108" w:type="dxa"/>
          </w:tblCellMar>
        </w:tblPrEx>
        <w:trPr>
          <w:trHeight w:val="230" w:hRule="atLeast"/>
        </w:trPr>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2DCB3D5">
            <w:pPr>
              <w:jc w:val="center"/>
            </w:pPr>
            <w:r>
              <w:rPr>
                <w:rFonts w:ascii="宋体" w:hAnsi="宋体" w:eastAsia="宋体"/>
                <w:sz w:val="16"/>
              </w:rPr>
              <w:t>部门名称</w:t>
            </w:r>
          </w:p>
        </w:tc>
        <w:tc>
          <w:tcPr>
            <w:tcW w:w="830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791001">
            <w:pPr>
              <w:jc w:val="center"/>
            </w:pPr>
            <w:r>
              <w:rPr>
                <w:rFonts w:ascii="宋体" w:hAnsi="宋体" w:eastAsia="宋体"/>
                <w:sz w:val="16"/>
              </w:rPr>
              <w:t>喀什地区昆仑山国有林管理局</w:t>
            </w:r>
          </w:p>
        </w:tc>
      </w:tr>
      <w:tr w14:paraId="6B4F8627">
        <w:tblPrEx>
          <w:tblCellMar>
            <w:top w:w="0" w:type="dxa"/>
            <w:left w:w="108" w:type="dxa"/>
            <w:bottom w:w="0" w:type="dxa"/>
            <w:right w:w="108" w:type="dxa"/>
          </w:tblCellMar>
        </w:tblPrEx>
        <w:trPr>
          <w:trHeight w:val="443" w:hRule="atLeast"/>
        </w:trPr>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DD8C3">
            <w:pPr>
              <w:jc w:val="center"/>
            </w:pPr>
            <w:r>
              <w:rPr>
                <w:rFonts w:ascii="宋体" w:hAnsi="宋体" w:eastAsia="宋体"/>
                <w:sz w:val="16"/>
              </w:rPr>
              <w:t>部门资金（万元）</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EA182C8">
            <w:pPr>
              <w:jc w:val="center"/>
            </w:pPr>
            <w:r>
              <w:rPr>
                <w:rFonts w:ascii="宋体" w:hAnsi="宋体" w:eastAsia="宋体"/>
                <w:sz w:val="16"/>
              </w:rPr>
              <w:t>资金来源</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3662189">
            <w:pPr>
              <w:jc w:val="center"/>
            </w:pPr>
            <w:r>
              <w:rPr>
                <w:rFonts w:ascii="宋体" w:hAnsi="宋体" w:eastAsia="宋体"/>
                <w:sz w:val="16"/>
              </w:rPr>
              <w:t>年初预算数</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BE2ECCC">
            <w:pPr>
              <w:jc w:val="center"/>
            </w:pPr>
            <w:r>
              <w:rPr>
                <w:rFonts w:ascii="宋体" w:hAnsi="宋体" w:eastAsia="宋体"/>
                <w:sz w:val="16"/>
              </w:rPr>
              <w:t>预算数（调整后）</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66A5A3E">
            <w:pPr>
              <w:jc w:val="center"/>
            </w:pPr>
            <w:r>
              <w:rPr>
                <w:rFonts w:ascii="宋体" w:hAnsi="宋体" w:eastAsia="宋体"/>
                <w:sz w:val="16"/>
              </w:rPr>
              <w:t>执行数</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9AC1DEF">
            <w:pPr>
              <w:jc w:val="center"/>
            </w:pPr>
            <w:r>
              <w:rPr>
                <w:rFonts w:ascii="宋体" w:hAnsi="宋体" w:eastAsia="宋体"/>
                <w:sz w:val="16"/>
              </w:rPr>
              <w:t>分值权重</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D6ABB6D">
            <w:pPr>
              <w:jc w:val="center"/>
            </w:pPr>
            <w:r>
              <w:rPr>
                <w:rFonts w:ascii="宋体" w:hAnsi="宋体" w:eastAsia="宋体"/>
                <w:sz w:val="16"/>
              </w:rPr>
              <w:t>执行率</w:t>
            </w:r>
          </w:p>
        </w:tc>
        <w:tc>
          <w:tcPr>
            <w:tcW w:w="20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7FBE6">
            <w:pPr>
              <w:jc w:val="center"/>
            </w:pPr>
            <w:r>
              <w:rPr>
                <w:rFonts w:ascii="宋体" w:hAnsi="宋体" w:eastAsia="宋体"/>
                <w:sz w:val="16"/>
              </w:rPr>
              <w:t>得分</w:t>
            </w:r>
          </w:p>
        </w:tc>
      </w:tr>
      <w:tr w14:paraId="6C2A8C49">
        <w:tblPrEx>
          <w:tblCellMar>
            <w:top w:w="0" w:type="dxa"/>
            <w:left w:w="108" w:type="dxa"/>
            <w:bottom w:w="0" w:type="dxa"/>
            <w:right w:w="108" w:type="dxa"/>
          </w:tblCellMar>
        </w:tblPrEx>
        <w:trPr>
          <w:trHeight w:val="443"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7BBC5531"/>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9D87A80">
            <w:pPr>
              <w:jc w:val="center"/>
            </w:pPr>
            <w:r>
              <w:rPr>
                <w:rFonts w:ascii="宋体" w:hAnsi="宋体" w:eastAsia="宋体"/>
                <w:sz w:val="16"/>
              </w:rPr>
              <w:t>年度总资金：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7BAA1F6">
            <w:pPr>
              <w:jc w:val="center"/>
            </w:pPr>
            <w:r>
              <w:rPr>
                <w:rFonts w:ascii="宋体" w:hAnsi="宋体" w:eastAsia="宋体"/>
                <w:sz w:val="16"/>
              </w:rPr>
              <w:t>1,311.07</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148CDC5">
            <w:pPr>
              <w:jc w:val="center"/>
            </w:pPr>
            <w:r>
              <w:rPr>
                <w:rFonts w:ascii="宋体" w:hAnsi="宋体" w:eastAsia="宋体"/>
                <w:sz w:val="16"/>
              </w:rPr>
              <w:t>1,296.74</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4B83CD8">
            <w:pPr>
              <w:jc w:val="center"/>
            </w:pPr>
            <w:r>
              <w:rPr>
                <w:rFonts w:ascii="宋体" w:hAnsi="宋体" w:eastAsia="宋体"/>
                <w:sz w:val="16"/>
              </w:rPr>
              <w:t>1,289.91</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CAF818C">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907E6DC">
            <w:pPr>
              <w:jc w:val="center"/>
            </w:pPr>
            <w:r>
              <w:rPr>
                <w:rFonts w:ascii="宋体" w:hAnsi="宋体" w:eastAsia="宋体"/>
                <w:sz w:val="16"/>
              </w:rPr>
              <w:t>99.47%</w:t>
            </w:r>
          </w:p>
        </w:tc>
        <w:tc>
          <w:tcPr>
            <w:tcW w:w="20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C05C5">
            <w:pPr>
              <w:jc w:val="center"/>
            </w:pPr>
            <w:r>
              <w:rPr>
                <w:rFonts w:ascii="宋体" w:hAnsi="宋体" w:eastAsia="宋体"/>
                <w:sz w:val="16"/>
              </w:rPr>
              <w:t>9.95</w:t>
            </w:r>
          </w:p>
        </w:tc>
      </w:tr>
      <w:tr w14:paraId="729016A2">
        <w:tblPrEx>
          <w:tblCellMar>
            <w:top w:w="0" w:type="dxa"/>
            <w:left w:w="108" w:type="dxa"/>
            <w:bottom w:w="0" w:type="dxa"/>
            <w:right w:w="108" w:type="dxa"/>
          </w:tblCellMar>
        </w:tblPrEx>
        <w:trPr>
          <w:trHeight w:val="230"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7DDC0669"/>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8069915">
            <w:pPr>
              <w:jc w:val="center"/>
            </w:pPr>
            <w:r>
              <w:rPr>
                <w:rFonts w:ascii="宋体" w:hAnsi="宋体" w:eastAsia="宋体"/>
                <w:sz w:val="16"/>
              </w:rPr>
              <w:t>上级资金：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E1C186B">
            <w:pPr>
              <w:jc w:val="center"/>
            </w:pPr>
            <w:r>
              <w:rPr>
                <w:rFonts w:ascii="宋体" w:hAnsi="宋体" w:eastAsia="宋体"/>
                <w:sz w:val="16"/>
              </w:rPr>
              <w:t>667.33</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52E4ABD">
            <w:pPr>
              <w:jc w:val="center"/>
            </w:pPr>
            <w:r>
              <w:rPr>
                <w:rFonts w:ascii="宋体" w:hAnsi="宋体" w:eastAsia="宋体"/>
                <w:sz w:val="16"/>
              </w:rPr>
              <w:t>667.33</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E3C75E8">
            <w:pPr>
              <w:jc w:val="center"/>
            </w:pPr>
            <w:r>
              <w:rPr>
                <w:rFonts w:ascii="宋体" w:hAnsi="宋体" w:eastAsia="宋体"/>
                <w:sz w:val="16"/>
              </w:rPr>
              <w:t>660.50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95E41C2">
            <w:pPr>
              <w:jc w:val="center"/>
            </w:pPr>
            <w:r>
              <w:rPr>
                <w:rFonts w:ascii="宋体" w:hAnsi="宋体" w:eastAsia="宋体"/>
                <w:sz w:val="16"/>
              </w:rPr>
              <w:t>—</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6A66B01">
            <w:pPr>
              <w:jc w:val="center"/>
            </w:pPr>
            <w:r>
              <w:rPr>
                <w:rFonts w:ascii="宋体" w:hAnsi="宋体" w:eastAsia="宋体"/>
                <w:sz w:val="16"/>
              </w:rPr>
              <w:t>—</w:t>
            </w:r>
          </w:p>
        </w:tc>
        <w:tc>
          <w:tcPr>
            <w:tcW w:w="20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A951E">
            <w:pPr>
              <w:jc w:val="center"/>
            </w:pPr>
            <w:r>
              <w:rPr>
                <w:rFonts w:ascii="宋体" w:hAnsi="宋体" w:eastAsia="宋体"/>
                <w:sz w:val="16"/>
              </w:rPr>
              <w:t>—</w:t>
            </w:r>
          </w:p>
        </w:tc>
      </w:tr>
      <w:tr w14:paraId="20B56854">
        <w:tblPrEx>
          <w:tblCellMar>
            <w:top w:w="0" w:type="dxa"/>
            <w:left w:w="108" w:type="dxa"/>
            <w:bottom w:w="0" w:type="dxa"/>
            <w:right w:w="108" w:type="dxa"/>
          </w:tblCellMar>
        </w:tblPrEx>
        <w:trPr>
          <w:trHeight w:val="230"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5E3EA243"/>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D80FE55">
            <w:pPr>
              <w:jc w:val="center"/>
            </w:pPr>
            <w:r>
              <w:rPr>
                <w:rFonts w:ascii="宋体" w:hAnsi="宋体" w:eastAsia="宋体"/>
                <w:sz w:val="16"/>
              </w:rPr>
              <w:t>本级资金：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C839C3C">
            <w:pPr>
              <w:jc w:val="center"/>
            </w:pPr>
            <w:r>
              <w:rPr>
                <w:rFonts w:ascii="宋体" w:hAnsi="宋体" w:eastAsia="宋体"/>
                <w:sz w:val="16"/>
              </w:rPr>
              <w:t>643.74</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885E788">
            <w:pPr>
              <w:jc w:val="center"/>
            </w:pPr>
            <w:r>
              <w:rPr>
                <w:rFonts w:ascii="宋体" w:hAnsi="宋体" w:eastAsia="宋体"/>
                <w:sz w:val="16"/>
              </w:rPr>
              <w:t>629.41</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03D7E84">
            <w:pPr>
              <w:jc w:val="center"/>
            </w:pPr>
            <w:r>
              <w:rPr>
                <w:rFonts w:ascii="宋体" w:hAnsi="宋体" w:eastAsia="宋体"/>
                <w:sz w:val="16"/>
              </w:rPr>
              <w:t>629.41</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A0968D8">
            <w:pPr>
              <w:jc w:val="center"/>
            </w:pPr>
            <w:r>
              <w:rPr>
                <w:rFonts w:ascii="宋体" w:hAnsi="宋体" w:eastAsia="宋体"/>
                <w:sz w:val="16"/>
              </w:rPr>
              <w:t>—</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4B77396">
            <w:pPr>
              <w:jc w:val="center"/>
            </w:pPr>
            <w:r>
              <w:rPr>
                <w:rFonts w:ascii="宋体" w:hAnsi="宋体" w:eastAsia="宋体"/>
                <w:sz w:val="16"/>
              </w:rPr>
              <w:t>—</w:t>
            </w:r>
          </w:p>
        </w:tc>
        <w:tc>
          <w:tcPr>
            <w:tcW w:w="20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22005">
            <w:pPr>
              <w:jc w:val="center"/>
            </w:pPr>
            <w:r>
              <w:rPr>
                <w:rFonts w:ascii="宋体" w:hAnsi="宋体" w:eastAsia="宋体"/>
                <w:sz w:val="16"/>
              </w:rPr>
              <w:t>—</w:t>
            </w:r>
          </w:p>
        </w:tc>
      </w:tr>
      <w:tr w14:paraId="603801A2">
        <w:tblPrEx>
          <w:tblCellMar>
            <w:top w:w="0" w:type="dxa"/>
            <w:left w:w="108" w:type="dxa"/>
            <w:bottom w:w="0" w:type="dxa"/>
            <w:right w:w="108" w:type="dxa"/>
          </w:tblCellMar>
        </w:tblPrEx>
        <w:trPr>
          <w:trHeight w:val="230"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7ED45965"/>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7ABF016">
            <w:pPr>
              <w:jc w:val="center"/>
            </w:pPr>
            <w:r>
              <w:rPr>
                <w:rFonts w:ascii="宋体" w:hAnsi="宋体" w:eastAsia="宋体"/>
                <w:sz w:val="16"/>
              </w:rPr>
              <w:t>其他资金：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1FB1869">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B2EFE92">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FC023C9">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1B38766">
            <w:pPr>
              <w:jc w:val="center"/>
            </w:pPr>
            <w:r>
              <w:rPr>
                <w:rFonts w:ascii="宋体" w:hAnsi="宋体" w:eastAsia="宋体"/>
                <w:sz w:val="16"/>
              </w:rPr>
              <w:t>—</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9A11E0A">
            <w:pPr>
              <w:jc w:val="center"/>
            </w:pPr>
            <w:r>
              <w:rPr>
                <w:rFonts w:ascii="宋体" w:hAnsi="宋体" w:eastAsia="宋体"/>
                <w:sz w:val="16"/>
              </w:rPr>
              <w:t>—</w:t>
            </w:r>
          </w:p>
        </w:tc>
        <w:tc>
          <w:tcPr>
            <w:tcW w:w="20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73EFA">
            <w:pPr>
              <w:jc w:val="center"/>
            </w:pPr>
            <w:r>
              <w:rPr>
                <w:rFonts w:ascii="宋体" w:hAnsi="宋体" w:eastAsia="宋体"/>
                <w:sz w:val="16"/>
              </w:rPr>
              <w:t>—</w:t>
            </w:r>
          </w:p>
        </w:tc>
      </w:tr>
      <w:tr w14:paraId="60F35353">
        <w:tblPrEx>
          <w:tblCellMar>
            <w:top w:w="0" w:type="dxa"/>
            <w:left w:w="108" w:type="dxa"/>
            <w:bottom w:w="0" w:type="dxa"/>
            <w:right w:w="108" w:type="dxa"/>
          </w:tblCellMar>
        </w:tblPrEx>
        <w:trPr>
          <w:trHeight w:val="230" w:hRule="atLeast"/>
        </w:trPr>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234FF">
            <w:pPr>
              <w:jc w:val="center"/>
            </w:pPr>
            <w:r>
              <w:rPr>
                <w:rFonts w:ascii="宋体" w:hAnsi="宋体" w:eastAsia="宋体"/>
                <w:sz w:val="16"/>
              </w:rPr>
              <w:t>年度总体目标</w:t>
            </w:r>
          </w:p>
        </w:tc>
        <w:tc>
          <w:tcPr>
            <w:tcW w:w="311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6C882E">
            <w:pPr>
              <w:jc w:val="center"/>
            </w:pPr>
            <w:r>
              <w:rPr>
                <w:rFonts w:ascii="宋体" w:hAnsi="宋体" w:eastAsia="宋体"/>
                <w:sz w:val="16"/>
              </w:rPr>
              <w:t>预期目标</w:t>
            </w:r>
          </w:p>
        </w:tc>
        <w:tc>
          <w:tcPr>
            <w:tcW w:w="51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D5A4E9">
            <w:pPr>
              <w:jc w:val="center"/>
            </w:pPr>
            <w:r>
              <w:rPr>
                <w:rFonts w:ascii="宋体" w:hAnsi="宋体" w:eastAsia="宋体"/>
                <w:sz w:val="16"/>
              </w:rPr>
              <w:t>实际完成情况</w:t>
            </w:r>
          </w:p>
        </w:tc>
      </w:tr>
      <w:tr w14:paraId="4E1FACAF">
        <w:tblPrEx>
          <w:tblCellMar>
            <w:top w:w="0" w:type="dxa"/>
            <w:left w:w="108" w:type="dxa"/>
            <w:bottom w:w="0" w:type="dxa"/>
            <w:right w:w="108" w:type="dxa"/>
          </w:tblCellMar>
        </w:tblPrEx>
        <w:trPr>
          <w:trHeight w:val="2999"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54042C10"/>
        </w:tc>
        <w:tc>
          <w:tcPr>
            <w:tcW w:w="311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4CF3CD">
            <w:pPr>
              <w:jc w:val="both"/>
            </w:pPr>
            <w:r>
              <w:rPr>
                <w:rFonts w:ascii="宋体" w:hAnsi="宋体" w:eastAsia="宋体"/>
                <w:sz w:val="16"/>
              </w:rPr>
              <w:t>做好森林资源管护，抓好落实项目实施工作。保障57名聘用制管护员的劳务报酬及社保和管护站所日常运行，做好塔县大同管护站水电的外部接入，确保正常入驻办公。落实应急分队常态化工作，加强松材线虫及疫源疫病监测，做好管护站智能管护系统维护，修建防洪挡土墙1座，更换2所管护站供电系统蓄电池。做好干部包联管护站考核，每月15日-17日开展集中培训，积极推动林管局林长制工作，有效落实培育和保护森林资源，维护国家生态安全的部门职能，提升智能管护水平。</w:t>
            </w:r>
          </w:p>
        </w:tc>
        <w:tc>
          <w:tcPr>
            <w:tcW w:w="51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BF3D5C">
            <w:pPr>
              <w:jc w:val="both"/>
            </w:pPr>
            <w:r>
              <w:rPr>
                <w:rFonts w:ascii="宋体" w:hAnsi="宋体" w:eastAsia="宋体"/>
                <w:sz w:val="16"/>
              </w:rPr>
              <w:t>保障57名聘用制管护员的劳务报酬及社保和管护站所日常运行，做好塔县大同管护站水电的外部接入，确保正常入驻办公。应急分队护林防火演练2次，落实应急分队常态化工作；做好管护站智能管护系统维护，2024年完成维修维护2次；修建防洪混凝土挡土墙1座；管护站入村宣传次数4次，积极推动林管局林长制工作，有效落实培育和保护森林资源，维护国家生态安全的部门职能，不断提升智能管护水平。</w:t>
            </w:r>
          </w:p>
        </w:tc>
      </w:tr>
      <w:tr w14:paraId="21CEAE0C">
        <w:tblPrEx>
          <w:tblCellMar>
            <w:top w:w="0" w:type="dxa"/>
            <w:left w:w="108" w:type="dxa"/>
            <w:bottom w:w="0" w:type="dxa"/>
            <w:right w:w="108" w:type="dxa"/>
          </w:tblCellMar>
        </w:tblPrEx>
        <w:trPr>
          <w:trHeight w:val="443" w:hRule="atLeast"/>
        </w:trPr>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651E8D3">
            <w:pPr>
              <w:jc w:val="center"/>
            </w:pPr>
            <w:r>
              <w:rPr>
                <w:rFonts w:ascii="宋体" w:hAnsi="宋体" w:eastAsia="宋体"/>
                <w:sz w:val="16"/>
              </w:rPr>
              <w:t>一级指标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433057B">
            <w:pPr>
              <w:jc w:val="center"/>
            </w:pPr>
            <w:r>
              <w:rPr>
                <w:rFonts w:ascii="宋体" w:hAnsi="宋体" w:eastAsia="宋体"/>
                <w:sz w:val="16"/>
              </w:rPr>
              <w:t>二级指标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E706161">
            <w:pPr>
              <w:jc w:val="center"/>
            </w:pPr>
            <w:r>
              <w:rPr>
                <w:rFonts w:ascii="宋体" w:hAnsi="宋体" w:eastAsia="宋体"/>
                <w:sz w:val="16"/>
              </w:rPr>
              <w:t>三级指标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D0FC414">
            <w:pPr>
              <w:jc w:val="center"/>
            </w:pPr>
            <w:r>
              <w:rPr>
                <w:rFonts w:ascii="宋体" w:hAnsi="宋体" w:eastAsia="宋体"/>
                <w:sz w:val="16"/>
              </w:rPr>
              <w:t>指标值</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BF03651">
            <w:pPr>
              <w:jc w:val="center"/>
            </w:pPr>
            <w:r>
              <w:rPr>
                <w:rFonts w:ascii="宋体" w:hAnsi="宋体" w:eastAsia="宋体"/>
                <w:sz w:val="16"/>
              </w:rPr>
              <w:t>指标值设定依据</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0467086">
            <w:pPr>
              <w:jc w:val="center"/>
            </w:pPr>
            <w:r>
              <w:rPr>
                <w:rFonts w:ascii="宋体" w:hAnsi="宋体" w:eastAsia="宋体"/>
                <w:sz w:val="16"/>
              </w:rPr>
              <w:t>分值权重</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D8DF3E4">
            <w:pPr>
              <w:jc w:val="center"/>
            </w:pPr>
            <w:r>
              <w:rPr>
                <w:rFonts w:ascii="宋体" w:hAnsi="宋体" w:eastAsia="宋体"/>
                <w:sz w:val="16"/>
              </w:rPr>
              <w:t>实际完成值</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49609E9">
            <w:pPr>
              <w:jc w:val="center"/>
            </w:pPr>
            <w:r>
              <w:rPr>
                <w:rFonts w:ascii="宋体" w:hAnsi="宋体" w:eastAsia="宋体"/>
                <w:sz w:val="16"/>
              </w:rPr>
              <w:t>完成率</w:t>
            </w:r>
          </w:p>
        </w:tc>
        <w:tc>
          <w:tcPr>
            <w:tcW w:w="1044" w:type="dxa"/>
            <w:tcBorders>
              <w:top w:val="single" w:color="auto" w:sz="10" w:space="0"/>
              <w:left w:val="single" w:color="auto" w:sz="10" w:space="0"/>
              <w:bottom w:val="single" w:color="auto" w:sz="10" w:space="0"/>
              <w:right w:val="single" w:color="auto" w:sz="10" w:space="0"/>
              <w:insideV w:val="single" w:sz="10" w:space="0"/>
            </w:tcBorders>
            <w:vAlign w:val="center"/>
          </w:tcPr>
          <w:p w14:paraId="710306B8">
            <w:pPr>
              <w:jc w:val="center"/>
            </w:pPr>
            <w:r>
              <w:rPr>
                <w:rFonts w:ascii="宋体" w:hAnsi="宋体" w:eastAsia="宋体"/>
                <w:sz w:val="16"/>
              </w:rPr>
              <w:t>得分</w:t>
            </w:r>
          </w:p>
        </w:tc>
      </w:tr>
      <w:tr w14:paraId="474E43F8">
        <w:tblPrEx>
          <w:tblCellMar>
            <w:top w:w="0" w:type="dxa"/>
            <w:left w:w="108" w:type="dxa"/>
            <w:bottom w:w="0" w:type="dxa"/>
            <w:right w:w="108" w:type="dxa"/>
          </w:tblCellMar>
        </w:tblPrEx>
        <w:trPr>
          <w:trHeight w:val="443" w:hRule="atLeast"/>
        </w:trPr>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16411">
            <w:pPr>
              <w:jc w:val="center"/>
            </w:pPr>
            <w:r>
              <w:rPr>
                <w:rFonts w:ascii="宋体" w:hAnsi="宋体" w:eastAsia="宋体"/>
                <w:sz w:val="16"/>
              </w:rPr>
              <w:t>履职效能</w:t>
            </w:r>
          </w:p>
        </w:tc>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A6982">
            <w:pPr>
              <w:jc w:val="center"/>
            </w:pPr>
            <w:r>
              <w:rPr>
                <w:rFonts w:ascii="宋体" w:hAnsi="宋体" w:eastAsia="宋体"/>
                <w:sz w:val="16"/>
              </w:rPr>
              <w:t>数量指标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A0B5448">
            <w:pPr>
              <w:jc w:val="center"/>
            </w:pPr>
            <w:r>
              <w:rPr>
                <w:rFonts w:ascii="宋体" w:hAnsi="宋体" w:eastAsia="宋体"/>
                <w:sz w:val="16"/>
              </w:rPr>
              <w:t>聘用管护人员数量</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5117783">
            <w:pPr>
              <w:jc w:val="center"/>
            </w:pPr>
            <w:r>
              <w:rPr>
                <w:rFonts w:ascii="宋体" w:hAnsi="宋体" w:eastAsia="宋体"/>
                <w:sz w:val="16"/>
              </w:rPr>
              <w:t>&lt;=57人</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D0980A0">
            <w:pPr>
              <w:jc w:val="center"/>
            </w:pPr>
            <w:r>
              <w:rPr>
                <w:rFonts w:ascii="宋体" w:hAnsi="宋体" w:eastAsia="宋体"/>
                <w:sz w:val="16"/>
              </w:rPr>
              <w:t>2024年工作计划</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9C221E5">
            <w:pPr>
              <w:jc w:val="center"/>
            </w:pPr>
            <w:r>
              <w:rPr>
                <w:rFonts w:ascii="宋体" w:hAnsi="宋体" w:eastAsia="宋体"/>
                <w:sz w:val="16"/>
              </w:rPr>
              <w:t>20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9CA09E9">
            <w:pPr>
              <w:jc w:val="center"/>
            </w:pPr>
            <w:r>
              <w:rPr>
                <w:rFonts w:ascii="宋体" w:hAnsi="宋体" w:eastAsia="宋体"/>
                <w:sz w:val="16"/>
              </w:rPr>
              <w:t>57人</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AC64EA9">
            <w:pPr>
              <w:jc w:val="center"/>
            </w:pPr>
            <w:r>
              <w:rPr>
                <w:rFonts w:ascii="宋体" w:hAnsi="宋体" w:eastAsia="宋体"/>
                <w:sz w:val="16"/>
              </w:rPr>
              <w:t>100</w:t>
            </w:r>
          </w:p>
        </w:tc>
        <w:tc>
          <w:tcPr>
            <w:tcW w:w="1044" w:type="dxa"/>
            <w:tcBorders>
              <w:top w:val="single" w:color="auto" w:sz="10" w:space="0"/>
              <w:left w:val="single" w:color="auto" w:sz="10" w:space="0"/>
              <w:bottom w:val="single" w:color="auto" w:sz="10" w:space="0"/>
              <w:right w:val="single" w:color="auto" w:sz="10" w:space="0"/>
              <w:insideV w:val="single" w:sz="10" w:space="0"/>
            </w:tcBorders>
            <w:vAlign w:val="center"/>
          </w:tcPr>
          <w:p w14:paraId="5E9235B8">
            <w:pPr>
              <w:jc w:val="center"/>
            </w:pPr>
            <w:r>
              <w:rPr>
                <w:rFonts w:ascii="宋体" w:hAnsi="宋体" w:eastAsia="宋体"/>
                <w:sz w:val="16"/>
              </w:rPr>
              <w:t>20</w:t>
            </w:r>
          </w:p>
        </w:tc>
      </w:tr>
      <w:tr w14:paraId="0918AAEC">
        <w:tblPrEx>
          <w:tblCellMar>
            <w:top w:w="0" w:type="dxa"/>
            <w:left w:w="108" w:type="dxa"/>
            <w:bottom w:w="0" w:type="dxa"/>
            <w:right w:w="108" w:type="dxa"/>
          </w:tblCellMar>
        </w:tblPrEx>
        <w:trPr>
          <w:trHeight w:val="656"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6E709204"/>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071C5D4D"/>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DF56F6C">
            <w:pPr>
              <w:jc w:val="center"/>
            </w:pPr>
            <w:r>
              <w:rPr>
                <w:rFonts w:ascii="宋体" w:hAnsi="宋体" w:eastAsia="宋体"/>
                <w:sz w:val="16"/>
              </w:rPr>
              <w:t>应急分队护林防火演练</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51D71FE">
            <w:pPr>
              <w:jc w:val="center"/>
            </w:pPr>
            <w:r>
              <w:rPr>
                <w:rFonts w:ascii="宋体" w:hAnsi="宋体" w:eastAsia="宋体"/>
                <w:sz w:val="16"/>
              </w:rPr>
              <w:t>=2次</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D4FFC88">
            <w:pPr>
              <w:jc w:val="center"/>
            </w:pPr>
            <w:r>
              <w:rPr>
                <w:rFonts w:ascii="宋体" w:hAnsi="宋体" w:eastAsia="宋体"/>
                <w:sz w:val="16"/>
              </w:rPr>
              <w:t>2024年工作计划</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E392418">
            <w:pPr>
              <w:jc w:val="center"/>
            </w:pPr>
            <w:r>
              <w:rPr>
                <w:rFonts w:ascii="宋体" w:hAnsi="宋体" w:eastAsia="宋体"/>
                <w:sz w:val="16"/>
              </w:rPr>
              <w:t>20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41779E3">
            <w:pPr>
              <w:jc w:val="center"/>
            </w:pPr>
            <w:r>
              <w:rPr>
                <w:rFonts w:ascii="宋体" w:hAnsi="宋体" w:eastAsia="宋体"/>
                <w:sz w:val="16"/>
              </w:rPr>
              <w:t>2次</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32B1A8B">
            <w:pPr>
              <w:jc w:val="center"/>
            </w:pPr>
            <w:r>
              <w:rPr>
                <w:rFonts w:ascii="宋体" w:hAnsi="宋体" w:eastAsia="宋体"/>
                <w:sz w:val="16"/>
              </w:rPr>
              <w:t>100</w:t>
            </w:r>
          </w:p>
        </w:tc>
        <w:tc>
          <w:tcPr>
            <w:tcW w:w="1044" w:type="dxa"/>
            <w:tcBorders>
              <w:top w:val="single" w:color="auto" w:sz="10" w:space="0"/>
              <w:left w:val="single" w:color="auto" w:sz="10" w:space="0"/>
              <w:bottom w:val="single" w:color="auto" w:sz="10" w:space="0"/>
              <w:right w:val="single" w:color="auto" w:sz="10" w:space="0"/>
              <w:insideV w:val="single" w:sz="10" w:space="0"/>
            </w:tcBorders>
            <w:vAlign w:val="center"/>
          </w:tcPr>
          <w:p w14:paraId="06AC3FE0">
            <w:pPr>
              <w:jc w:val="center"/>
            </w:pPr>
            <w:r>
              <w:rPr>
                <w:rFonts w:ascii="宋体" w:hAnsi="宋体" w:eastAsia="宋体"/>
                <w:sz w:val="16"/>
              </w:rPr>
              <w:t>20</w:t>
            </w:r>
          </w:p>
        </w:tc>
      </w:tr>
      <w:tr w14:paraId="5AE98E26">
        <w:tblPrEx>
          <w:tblCellMar>
            <w:top w:w="0" w:type="dxa"/>
            <w:left w:w="108" w:type="dxa"/>
            <w:bottom w:w="0" w:type="dxa"/>
            <w:right w:w="108" w:type="dxa"/>
          </w:tblCellMar>
        </w:tblPrEx>
        <w:trPr>
          <w:trHeight w:val="656"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5AA98FFE"/>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0A4160F7"/>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34C41C0">
            <w:pPr>
              <w:jc w:val="center"/>
            </w:pPr>
            <w:r>
              <w:rPr>
                <w:rFonts w:ascii="宋体" w:hAnsi="宋体" w:eastAsia="宋体"/>
                <w:sz w:val="16"/>
              </w:rPr>
              <w:t>修建防洪混凝土挡土墙</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EA8A262">
            <w:pPr>
              <w:jc w:val="center"/>
            </w:pPr>
            <w:r>
              <w:rPr>
                <w:rFonts w:ascii="宋体" w:hAnsi="宋体" w:eastAsia="宋体"/>
                <w:sz w:val="16"/>
              </w:rPr>
              <w:t>=1座</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C60363A">
            <w:pPr>
              <w:jc w:val="center"/>
            </w:pPr>
            <w:r>
              <w:rPr>
                <w:rFonts w:ascii="宋体" w:hAnsi="宋体" w:eastAsia="宋体"/>
                <w:sz w:val="16"/>
              </w:rPr>
              <w:t>2024年工作计划</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105F2F4">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FA20AE8">
            <w:pPr>
              <w:jc w:val="center"/>
            </w:pPr>
            <w:r>
              <w:rPr>
                <w:rFonts w:ascii="宋体" w:hAnsi="宋体" w:eastAsia="宋体"/>
                <w:sz w:val="16"/>
              </w:rPr>
              <w:t>1座</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79F8989">
            <w:pPr>
              <w:jc w:val="center"/>
            </w:pPr>
            <w:r>
              <w:rPr>
                <w:rFonts w:ascii="宋体" w:hAnsi="宋体" w:eastAsia="宋体"/>
                <w:sz w:val="16"/>
              </w:rPr>
              <w:t>100</w:t>
            </w:r>
          </w:p>
        </w:tc>
        <w:tc>
          <w:tcPr>
            <w:tcW w:w="1044" w:type="dxa"/>
            <w:tcBorders>
              <w:top w:val="single" w:color="auto" w:sz="10" w:space="0"/>
              <w:left w:val="single" w:color="auto" w:sz="10" w:space="0"/>
              <w:bottom w:val="single" w:color="auto" w:sz="10" w:space="0"/>
              <w:right w:val="single" w:color="auto" w:sz="10" w:space="0"/>
              <w:insideV w:val="single" w:sz="10" w:space="0"/>
            </w:tcBorders>
            <w:vAlign w:val="center"/>
          </w:tcPr>
          <w:p w14:paraId="39A47497">
            <w:pPr>
              <w:jc w:val="center"/>
            </w:pPr>
            <w:r>
              <w:rPr>
                <w:rFonts w:ascii="宋体" w:hAnsi="宋体" w:eastAsia="宋体"/>
                <w:sz w:val="16"/>
              </w:rPr>
              <w:t>10</w:t>
            </w:r>
          </w:p>
        </w:tc>
      </w:tr>
      <w:tr w14:paraId="2BBFFC65">
        <w:tblPrEx>
          <w:tblCellMar>
            <w:top w:w="0" w:type="dxa"/>
            <w:left w:w="108" w:type="dxa"/>
            <w:bottom w:w="0" w:type="dxa"/>
            <w:right w:w="108" w:type="dxa"/>
          </w:tblCellMar>
        </w:tblPrEx>
        <w:trPr>
          <w:trHeight w:val="656"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5B9E6A8F"/>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74A4411F"/>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DD05877">
            <w:pPr>
              <w:jc w:val="center"/>
            </w:pPr>
            <w:r>
              <w:rPr>
                <w:rFonts w:ascii="宋体" w:hAnsi="宋体" w:eastAsia="宋体"/>
                <w:sz w:val="16"/>
              </w:rPr>
              <w:t>管护站电路系统维修维护</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AA0C58E">
            <w:pPr>
              <w:jc w:val="center"/>
            </w:pPr>
            <w:r>
              <w:rPr>
                <w:rFonts w:ascii="宋体" w:hAnsi="宋体" w:eastAsia="宋体"/>
                <w:sz w:val="16"/>
              </w:rPr>
              <w:t>=2所</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4277E37">
            <w:pPr>
              <w:jc w:val="center"/>
            </w:pPr>
            <w:r>
              <w:rPr>
                <w:rFonts w:ascii="宋体" w:hAnsi="宋体" w:eastAsia="宋体"/>
                <w:sz w:val="16"/>
              </w:rPr>
              <w:t>2024年工作计划</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7B1D76C">
            <w:pPr>
              <w:jc w:val="center"/>
            </w:pPr>
            <w:r>
              <w:rPr>
                <w:rFonts w:ascii="宋体" w:hAnsi="宋体" w:eastAsia="宋体"/>
                <w:sz w:val="16"/>
              </w:rPr>
              <w:t>20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92E9DEC">
            <w:pPr>
              <w:jc w:val="center"/>
            </w:pPr>
            <w:r>
              <w:rPr>
                <w:rFonts w:ascii="宋体" w:hAnsi="宋体" w:eastAsia="宋体"/>
                <w:sz w:val="16"/>
              </w:rPr>
              <w:t>2所</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E09D729">
            <w:pPr>
              <w:jc w:val="center"/>
            </w:pPr>
            <w:r>
              <w:rPr>
                <w:rFonts w:ascii="宋体" w:hAnsi="宋体" w:eastAsia="宋体"/>
                <w:sz w:val="16"/>
              </w:rPr>
              <w:t>100</w:t>
            </w:r>
          </w:p>
        </w:tc>
        <w:tc>
          <w:tcPr>
            <w:tcW w:w="1044" w:type="dxa"/>
            <w:tcBorders>
              <w:top w:val="single" w:color="auto" w:sz="10" w:space="0"/>
              <w:left w:val="single" w:color="auto" w:sz="10" w:space="0"/>
              <w:bottom w:val="single" w:color="auto" w:sz="10" w:space="0"/>
              <w:right w:val="single" w:color="auto" w:sz="10" w:space="0"/>
              <w:insideV w:val="single" w:sz="10" w:space="0"/>
            </w:tcBorders>
            <w:vAlign w:val="center"/>
          </w:tcPr>
          <w:p w14:paraId="7966058D">
            <w:pPr>
              <w:jc w:val="center"/>
            </w:pPr>
            <w:r>
              <w:rPr>
                <w:rFonts w:ascii="宋体" w:hAnsi="宋体" w:eastAsia="宋体"/>
                <w:sz w:val="16"/>
              </w:rPr>
              <w:t>20</w:t>
            </w:r>
          </w:p>
        </w:tc>
      </w:tr>
      <w:tr w14:paraId="22D450F0">
        <w:tblPrEx>
          <w:tblCellMar>
            <w:top w:w="0" w:type="dxa"/>
            <w:left w:w="108" w:type="dxa"/>
            <w:bottom w:w="0" w:type="dxa"/>
            <w:right w:w="108" w:type="dxa"/>
          </w:tblCellMar>
        </w:tblPrEx>
        <w:trPr>
          <w:trHeight w:val="248"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18DC1F55"/>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5FC70E58"/>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EEFE7EC">
            <w:pPr>
              <w:jc w:val="center"/>
            </w:pPr>
            <w:r>
              <w:rPr>
                <w:rFonts w:ascii="宋体" w:hAnsi="宋体" w:eastAsia="宋体"/>
                <w:sz w:val="16"/>
              </w:rPr>
              <w:t>管护站入村宣传次数</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7CC350F">
            <w:pPr>
              <w:jc w:val="center"/>
            </w:pPr>
            <w:r>
              <w:rPr>
                <w:rFonts w:ascii="宋体" w:hAnsi="宋体" w:eastAsia="宋体"/>
                <w:sz w:val="16"/>
              </w:rPr>
              <w:t>&gt;=4次</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BF60412">
            <w:pPr>
              <w:jc w:val="center"/>
            </w:pPr>
            <w:r>
              <w:rPr>
                <w:rFonts w:ascii="宋体" w:hAnsi="宋体" w:eastAsia="宋体"/>
                <w:sz w:val="16"/>
              </w:rPr>
              <w:t>2024年工作计划</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13A0347">
            <w:pPr>
              <w:jc w:val="center"/>
            </w:pPr>
            <w:r>
              <w:rPr>
                <w:rFonts w:ascii="宋体" w:hAnsi="宋体" w:eastAsia="宋体"/>
                <w:sz w:val="16"/>
              </w:rPr>
              <w:t>20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6F99049">
            <w:pPr>
              <w:jc w:val="center"/>
            </w:pPr>
            <w:r>
              <w:rPr>
                <w:rFonts w:ascii="宋体" w:hAnsi="宋体" w:eastAsia="宋体"/>
                <w:sz w:val="16"/>
              </w:rPr>
              <w:t>4次</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5327C6F">
            <w:pPr>
              <w:jc w:val="center"/>
            </w:pPr>
            <w:r>
              <w:rPr>
                <w:rFonts w:ascii="宋体" w:hAnsi="宋体" w:eastAsia="宋体"/>
                <w:sz w:val="16"/>
              </w:rPr>
              <w:t>100</w:t>
            </w:r>
          </w:p>
        </w:tc>
        <w:tc>
          <w:tcPr>
            <w:tcW w:w="1044" w:type="dxa"/>
            <w:tcBorders>
              <w:top w:val="single" w:color="auto" w:sz="10" w:space="0"/>
              <w:left w:val="single" w:color="auto" w:sz="10" w:space="0"/>
              <w:bottom w:val="single" w:color="auto" w:sz="10" w:space="0"/>
              <w:right w:val="single" w:color="auto" w:sz="10" w:space="0"/>
              <w:insideV w:val="single" w:sz="10" w:space="0"/>
            </w:tcBorders>
            <w:vAlign w:val="center"/>
          </w:tcPr>
          <w:p w14:paraId="4AC434A5">
            <w:pPr>
              <w:jc w:val="center"/>
            </w:pPr>
            <w:r>
              <w:rPr>
                <w:rFonts w:ascii="宋体" w:hAnsi="宋体" w:eastAsia="宋体"/>
                <w:sz w:val="16"/>
              </w:rPr>
              <w:t>20</w:t>
            </w:r>
          </w:p>
        </w:tc>
      </w:tr>
    </w:tbl>
    <w:p w14:paraId="4641A2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88E4E01">
        <w:tblPrEx>
          <w:tblCellMar>
            <w:top w:w="0" w:type="dxa"/>
            <w:left w:w="108" w:type="dxa"/>
            <w:bottom w:w="0" w:type="dxa"/>
            <w:right w:w="108" w:type="dxa"/>
          </w:tblCellMar>
        </w:tblPrEx>
        <w:tc>
          <w:tcPr>
            <w:tcW w:w="8848" w:type="dxa"/>
            <w:gridSpan w:val="14"/>
            <w:vAlign w:val="center"/>
          </w:tcPr>
          <w:p w14:paraId="35E47966">
            <w:pPr>
              <w:jc w:val="center"/>
            </w:pPr>
            <w:r>
              <w:rPr>
                <w:rFonts w:ascii="宋体" w:hAnsi="宋体" w:eastAsia="宋体"/>
                <w:sz w:val="24"/>
              </w:rPr>
              <w:t>项目支出绩效自评表</w:t>
            </w:r>
          </w:p>
        </w:tc>
      </w:tr>
      <w:tr w14:paraId="2FE37DF5">
        <w:tblPrEx>
          <w:tblCellMar>
            <w:top w:w="0" w:type="dxa"/>
            <w:left w:w="108" w:type="dxa"/>
            <w:bottom w:w="0" w:type="dxa"/>
            <w:right w:w="108" w:type="dxa"/>
          </w:tblCellMar>
        </w:tblPrEx>
        <w:tc>
          <w:tcPr>
            <w:tcW w:w="8848" w:type="dxa"/>
            <w:gridSpan w:val="14"/>
            <w:vAlign w:val="center"/>
          </w:tcPr>
          <w:p w14:paraId="66520EA1">
            <w:pPr>
              <w:jc w:val="center"/>
            </w:pPr>
            <w:r>
              <w:rPr>
                <w:rFonts w:ascii="宋体" w:hAnsi="宋体" w:eastAsia="宋体"/>
                <w:sz w:val="24"/>
              </w:rPr>
              <w:t>(2024年度)</w:t>
            </w:r>
          </w:p>
        </w:tc>
      </w:tr>
      <w:tr w14:paraId="57271D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EB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C5784E">
            <w:pPr>
              <w:jc w:val="center"/>
            </w:pPr>
            <w:r>
              <w:rPr>
                <w:rFonts w:ascii="宋体" w:hAnsi="宋体" w:eastAsia="宋体"/>
                <w:sz w:val="16"/>
              </w:rPr>
              <w:t>2023年天然林资源保护修复项目资金</w:t>
            </w:r>
          </w:p>
        </w:tc>
      </w:tr>
      <w:tr w14:paraId="211B8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43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7283B">
            <w:pPr>
              <w:jc w:val="center"/>
            </w:pPr>
            <w:r>
              <w:rPr>
                <w:rFonts w:ascii="宋体" w:hAnsi="宋体" w:eastAsia="宋体"/>
                <w:sz w:val="16"/>
              </w:rPr>
              <w:t>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9D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7928F">
            <w:pPr>
              <w:jc w:val="center"/>
            </w:pPr>
            <w:r>
              <w:rPr>
                <w:rFonts w:ascii="宋体" w:hAnsi="宋体" w:eastAsia="宋体"/>
                <w:sz w:val="16"/>
              </w:rPr>
              <w:t>喀什地区昆仑山国有林管理局</w:t>
            </w:r>
          </w:p>
        </w:tc>
      </w:tr>
      <w:tr w14:paraId="21DFE6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328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2BB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D2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F6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69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182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DB9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565D">
            <w:pPr>
              <w:jc w:val="center"/>
            </w:pPr>
            <w:r>
              <w:rPr>
                <w:rFonts w:ascii="宋体" w:hAnsi="宋体" w:eastAsia="宋体"/>
                <w:sz w:val="16"/>
              </w:rPr>
              <w:t>得分</w:t>
            </w:r>
          </w:p>
        </w:tc>
      </w:tr>
      <w:tr w14:paraId="02672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F84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827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454A8">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C88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8031D">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E2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23F9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915C">
            <w:pPr>
              <w:jc w:val="center"/>
            </w:pPr>
            <w:r>
              <w:rPr>
                <w:rFonts w:ascii="宋体" w:hAnsi="宋体" w:eastAsia="宋体"/>
                <w:sz w:val="16"/>
              </w:rPr>
              <w:t>10.00分</w:t>
            </w:r>
          </w:p>
        </w:tc>
      </w:tr>
      <w:tr w14:paraId="660AC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F98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ADD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2351A">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32EA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3EF3">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46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501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EF84">
            <w:pPr>
              <w:jc w:val="center"/>
            </w:pPr>
            <w:r>
              <w:rPr>
                <w:rFonts w:ascii="宋体" w:hAnsi="宋体" w:eastAsia="宋体"/>
                <w:sz w:val="16"/>
              </w:rPr>
              <w:t>—</w:t>
            </w:r>
          </w:p>
        </w:tc>
      </w:tr>
      <w:tr w14:paraId="44171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702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293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89C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44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698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B75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0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15DD">
            <w:pPr>
              <w:jc w:val="center"/>
            </w:pPr>
            <w:r>
              <w:rPr>
                <w:rFonts w:ascii="宋体" w:hAnsi="宋体" w:eastAsia="宋体"/>
                <w:sz w:val="16"/>
              </w:rPr>
              <w:t>—</w:t>
            </w:r>
          </w:p>
        </w:tc>
      </w:tr>
      <w:tr w14:paraId="3B4306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E1D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427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085172">
            <w:pPr>
              <w:jc w:val="center"/>
            </w:pPr>
            <w:r>
              <w:rPr>
                <w:rFonts w:ascii="宋体" w:hAnsi="宋体" w:eastAsia="宋体"/>
                <w:sz w:val="16"/>
              </w:rPr>
              <w:t>实际完成情况</w:t>
            </w:r>
          </w:p>
        </w:tc>
      </w:tr>
      <w:tr w14:paraId="62DF7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48F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DD4B93">
            <w:pPr>
              <w:jc w:val="both"/>
            </w:pPr>
            <w:r>
              <w:rPr>
                <w:rFonts w:ascii="宋体" w:hAnsi="宋体" w:eastAsia="宋体"/>
                <w:sz w:val="16"/>
              </w:rPr>
              <w:t>加大护林防火宣传设施，制作宣传牌8个，采购宣传物资1批，在林区重点区域设立宣传牌，有效增强人民群众的安全意识、法治观念，营造浓厚的森林防火宣传氛围。制作一份喀什地区昆仑山国有林管理局森林资源管护宣传视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27EB5A">
            <w:pPr>
              <w:jc w:val="both"/>
            </w:pPr>
            <w:r>
              <w:rPr>
                <w:rFonts w:ascii="宋体" w:hAnsi="宋体" w:eastAsia="宋体"/>
                <w:sz w:val="16"/>
              </w:rPr>
              <w:t>该项目已完成宣传牌制、宣传单、购买高压水泵等，拍摄宣传片1个,通过设立宣传牌发放宣传单有效提高了群众护林防火的安全意识。</w:t>
            </w:r>
          </w:p>
        </w:tc>
      </w:tr>
      <w:tr w14:paraId="406133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71C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35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E1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10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29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BC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1A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23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58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A2C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6D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1E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DBDFA">
            <w:pPr>
              <w:jc w:val="center"/>
            </w:pPr>
            <w:r>
              <w:rPr>
                <w:rFonts w:ascii="宋体" w:hAnsi="宋体" w:eastAsia="宋体"/>
                <w:sz w:val="16"/>
              </w:rPr>
              <w:t>偏差原因分析及改进措施</w:t>
            </w:r>
          </w:p>
        </w:tc>
      </w:tr>
      <w:tr w14:paraId="625838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E01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8B5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63D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EE89">
            <w:pPr>
              <w:jc w:val="center"/>
            </w:pPr>
            <w:r>
              <w:rPr>
                <w:rFonts w:ascii="宋体" w:hAnsi="宋体" w:eastAsia="宋体"/>
                <w:sz w:val="16"/>
              </w:rPr>
              <w:t>制作宣传牌数量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7DEB">
            <w:pPr>
              <w:jc w:val="center"/>
            </w:pPr>
            <w:r>
              <w:rPr>
                <w:rFonts w:ascii="宋体" w:hAnsi="宋体" w:eastAsia="宋体"/>
                <w:sz w:val="16"/>
              </w:rPr>
              <w:t>&gt;=8块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8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00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5F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9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0E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533C">
            <w:pPr>
              <w:jc w:val="center"/>
            </w:pPr>
            <w:r>
              <w:rPr>
                <w:rFonts w:ascii="宋体" w:hAnsi="宋体" w:eastAsia="宋体"/>
                <w:sz w:val="16"/>
              </w:rPr>
              <w:t>=8块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A3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297D5">
            <w:pPr>
              <w:jc w:val="center"/>
            </w:pPr>
          </w:p>
        </w:tc>
      </w:tr>
      <w:tr w14:paraId="46E82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D8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AD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9B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D95C">
            <w:pPr>
              <w:jc w:val="center"/>
            </w:pPr>
            <w:r>
              <w:rPr>
                <w:rFonts w:ascii="宋体" w:hAnsi="宋体" w:eastAsia="宋体"/>
                <w:sz w:val="16"/>
              </w:rPr>
              <w:t>制作宣传片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98EB">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9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F7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F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4A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FF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0948">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E3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080E">
            <w:pPr>
              <w:jc w:val="center"/>
            </w:pPr>
          </w:p>
        </w:tc>
      </w:tr>
      <w:tr w14:paraId="6EE97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6A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1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F1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FE35">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A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76A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69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71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23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D1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1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B2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909D9">
            <w:pPr>
              <w:jc w:val="center"/>
            </w:pPr>
          </w:p>
        </w:tc>
      </w:tr>
      <w:tr w14:paraId="7C7A4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2F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849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60E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364B">
            <w:pPr>
              <w:jc w:val="center"/>
            </w:pPr>
            <w:r>
              <w:rPr>
                <w:rFonts w:ascii="宋体" w:hAnsi="宋体" w:eastAsia="宋体"/>
                <w:sz w:val="16"/>
              </w:rPr>
              <w:t>物资采购及时率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72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98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5E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93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A8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17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0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959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B2B42">
            <w:pPr>
              <w:jc w:val="center"/>
            </w:pPr>
          </w:p>
        </w:tc>
      </w:tr>
      <w:tr w14:paraId="064A6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83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7C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A8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8A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D57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A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8A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8A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F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88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C7E3">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6B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12CFF">
            <w:pPr>
              <w:jc w:val="center"/>
            </w:pPr>
          </w:p>
        </w:tc>
      </w:tr>
      <w:tr w14:paraId="4F311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717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A09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A66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2ADB">
            <w:pPr>
              <w:jc w:val="center"/>
            </w:pPr>
            <w:r>
              <w:rPr>
                <w:rFonts w:ascii="宋体" w:hAnsi="宋体" w:eastAsia="宋体"/>
                <w:sz w:val="16"/>
              </w:rPr>
              <w:t>管护运行保障成本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D5D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1F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77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28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3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4C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BC6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71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9CEA6">
            <w:pPr>
              <w:jc w:val="center"/>
            </w:pPr>
          </w:p>
        </w:tc>
      </w:tr>
      <w:tr w14:paraId="721CB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17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59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1A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CF6B">
            <w:pPr>
              <w:jc w:val="center"/>
            </w:pPr>
            <w:r>
              <w:rPr>
                <w:rFonts w:ascii="宋体" w:hAnsi="宋体" w:eastAsia="宋体"/>
                <w:sz w:val="16"/>
              </w:rPr>
              <w:t>管护能力提升成本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4C50">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EE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49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67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7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09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9E59">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5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138D2">
            <w:pPr>
              <w:jc w:val="center"/>
            </w:pPr>
          </w:p>
        </w:tc>
      </w:tr>
      <w:tr w14:paraId="59742F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39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2B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77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B31A">
            <w:pPr>
              <w:jc w:val="center"/>
            </w:pPr>
            <w:r>
              <w:rPr>
                <w:rFonts w:ascii="宋体" w:hAnsi="宋体" w:eastAsia="宋体"/>
                <w:sz w:val="16"/>
              </w:rPr>
              <w:t>提高群众森林生态环境保护意识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25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C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FC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AF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F6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D6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4E8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82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623E">
            <w:pPr>
              <w:jc w:val="center"/>
            </w:pPr>
          </w:p>
        </w:tc>
      </w:tr>
      <w:tr w14:paraId="6DE2F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94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47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BC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7E21">
            <w:pPr>
              <w:jc w:val="center"/>
            </w:pPr>
            <w:r>
              <w:rPr>
                <w:rFonts w:ascii="宋体" w:hAnsi="宋体" w:eastAsia="宋体"/>
                <w:sz w:val="16"/>
              </w:rPr>
              <w:t>林区职工满意度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B8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0E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9F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ED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C5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29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02C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88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A377">
            <w:pPr>
              <w:jc w:val="center"/>
            </w:pPr>
          </w:p>
        </w:tc>
      </w:tr>
      <w:tr w14:paraId="0A1ED8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C93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BE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A26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7D2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A64430"/>
        </w:tc>
      </w:tr>
    </w:tbl>
    <w:p w14:paraId="06760D8C">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856"/>
        <w:gridCol w:w="617"/>
        <w:gridCol w:w="626"/>
        <w:gridCol w:w="622"/>
        <w:gridCol w:w="617"/>
        <w:gridCol w:w="617"/>
        <w:gridCol w:w="776"/>
        <w:gridCol w:w="630"/>
        <w:gridCol w:w="596"/>
        <w:gridCol w:w="626"/>
      </w:tblGrid>
      <w:tr w14:paraId="33472949">
        <w:tblPrEx>
          <w:tblCellMar>
            <w:top w:w="0" w:type="dxa"/>
            <w:left w:w="108" w:type="dxa"/>
            <w:bottom w:w="0" w:type="dxa"/>
            <w:right w:w="108" w:type="dxa"/>
          </w:tblCellMar>
        </w:tblPrEx>
        <w:tc>
          <w:tcPr>
            <w:tcW w:w="8848" w:type="dxa"/>
            <w:gridSpan w:val="14"/>
            <w:vAlign w:val="center"/>
          </w:tcPr>
          <w:p w14:paraId="27531408">
            <w:pPr>
              <w:jc w:val="center"/>
            </w:pPr>
            <w:r>
              <w:rPr>
                <w:rFonts w:ascii="宋体" w:hAnsi="宋体" w:eastAsia="宋体"/>
                <w:sz w:val="24"/>
              </w:rPr>
              <w:t>项目支出绩效自评表</w:t>
            </w:r>
          </w:p>
        </w:tc>
      </w:tr>
      <w:tr w14:paraId="7CEB0287">
        <w:tblPrEx>
          <w:tblCellMar>
            <w:top w:w="0" w:type="dxa"/>
            <w:left w:w="108" w:type="dxa"/>
            <w:bottom w:w="0" w:type="dxa"/>
            <w:right w:w="108" w:type="dxa"/>
          </w:tblCellMar>
        </w:tblPrEx>
        <w:tc>
          <w:tcPr>
            <w:tcW w:w="8848" w:type="dxa"/>
            <w:gridSpan w:val="14"/>
            <w:vAlign w:val="center"/>
          </w:tcPr>
          <w:p w14:paraId="26C8E805">
            <w:pPr>
              <w:jc w:val="center"/>
            </w:pPr>
            <w:r>
              <w:rPr>
                <w:rFonts w:ascii="宋体" w:hAnsi="宋体" w:eastAsia="宋体"/>
                <w:sz w:val="24"/>
              </w:rPr>
              <w:t>(2024年度)</w:t>
            </w:r>
          </w:p>
        </w:tc>
      </w:tr>
      <w:tr w14:paraId="0C75B7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F0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8A97D3">
            <w:pPr>
              <w:jc w:val="center"/>
            </w:pPr>
            <w:r>
              <w:rPr>
                <w:rFonts w:ascii="宋体" w:hAnsi="宋体" w:eastAsia="宋体"/>
                <w:sz w:val="16"/>
              </w:rPr>
              <w:t>2024年中央林业草原生态保护恢复资金（森林保护修复-天保工程区）项目</w:t>
            </w:r>
          </w:p>
        </w:tc>
      </w:tr>
      <w:tr w14:paraId="667F9D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75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7DFA8">
            <w:pPr>
              <w:jc w:val="center"/>
            </w:pPr>
            <w:r>
              <w:rPr>
                <w:rFonts w:ascii="宋体" w:hAnsi="宋体" w:eastAsia="宋体"/>
                <w:sz w:val="16"/>
              </w:rPr>
              <w:t>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85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8F0C0B">
            <w:pPr>
              <w:jc w:val="center"/>
            </w:pPr>
            <w:r>
              <w:rPr>
                <w:rFonts w:ascii="宋体" w:hAnsi="宋体" w:eastAsia="宋体"/>
                <w:sz w:val="16"/>
              </w:rPr>
              <w:t>喀什地区昆仑山国有林管理局</w:t>
            </w:r>
          </w:p>
        </w:tc>
      </w:tr>
      <w:tr w14:paraId="4BB256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DAA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1B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AB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D55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639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81B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72A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AACB">
            <w:pPr>
              <w:jc w:val="center"/>
            </w:pPr>
            <w:r>
              <w:rPr>
                <w:rFonts w:ascii="宋体" w:hAnsi="宋体" w:eastAsia="宋体"/>
                <w:sz w:val="16"/>
              </w:rPr>
              <w:t>得分</w:t>
            </w:r>
          </w:p>
        </w:tc>
      </w:tr>
      <w:tr w14:paraId="2284D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E75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A3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9237">
            <w:pPr>
              <w:jc w:val="center"/>
            </w:pPr>
            <w:r>
              <w:rPr>
                <w:rFonts w:ascii="宋体" w:hAnsi="宋体" w:eastAsia="宋体"/>
                <w:sz w:val="16"/>
              </w:rPr>
              <w:t>616.10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1AE86">
            <w:pPr>
              <w:jc w:val="center"/>
            </w:pPr>
            <w:r>
              <w:rPr>
                <w:rFonts w:ascii="宋体" w:hAnsi="宋体" w:eastAsia="宋体"/>
                <w:sz w:val="16"/>
              </w:rPr>
              <w:t>616.10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50135">
            <w:pPr>
              <w:jc w:val="center"/>
            </w:pPr>
            <w:r>
              <w:rPr>
                <w:rFonts w:ascii="宋体" w:hAnsi="宋体" w:eastAsia="宋体"/>
                <w:sz w:val="16"/>
              </w:rPr>
              <w:t>609.27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1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FEDE">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411B">
            <w:pPr>
              <w:jc w:val="center"/>
            </w:pPr>
            <w:r>
              <w:rPr>
                <w:rFonts w:ascii="宋体" w:hAnsi="宋体" w:eastAsia="宋体"/>
                <w:sz w:val="16"/>
              </w:rPr>
              <w:t>9.72分</w:t>
            </w:r>
          </w:p>
        </w:tc>
      </w:tr>
      <w:tr w14:paraId="2E522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723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95A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E19F6">
            <w:pPr>
              <w:jc w:val="center"/>
            </w:pPr>
            <w:r>
              <w:rPr>
                <w:rFonts w:ascii="宋体" w:hAnsi="宋体" w:eastAsia="宋体"/>
                <w:sz w:val="16"/>
              </w:rPr>
              <w:t>616.10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C58BB">
            <w:pPr>
              <w:jc w:val="center"/>
            </w:pPr>
            <w:r>
              <w:rPr>
                <w:rFonts w:ascii="宋体" w:hAnsi="宋体" w:eastAsia="宋体"/>
                <w:sz w:val="16"/>
              </w:rPr>
              <w:t>616.10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3742">
            <w:pPr>
              <w:jc w:val="center"/>
            </w:pPr>
            <w:r>
              <w:rPr>
                <w:rFonts w:ascii="宋体" w:hAnsi="宋体" w:eastAsia="宋体"/>
                <w:sz w:val="16"/>
              </w:rPr>
              <w:t>609.27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8DF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FC2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4ABD">
            <w:pPr>
              <w:jc w:val="center"/>
            </w:pPr>
            <w:r>
              <w:rPr>
                <w:rFonts w:ascii="宋体" w:hAnsi="宋体" w:eastAsia="宋体"/>
                <w:sz w:val="16"/>
              </w:rPr>
              <w:t>—</w:t>
            </w:r>
          </w:p>
        </w:tc>
      </w:tr>
      <w:tr w14:paraId="4F4B2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CBC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45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78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49C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57E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78D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FE9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56D8">
            <w:pPr>
              <w:jc w:val="center"/>
            </w:pPr>
            <w:r>
              <w:rPr>
                <w:rFonts w:ascii="宋体" w:hAnsi="宋体" w:eastAsia="宋体"/>
                <w:sz w:val="16"/>
              </w:rPr>
              <w:t>—</w:t>
            </w:r>
          </w:p>
        </w:tc>
      </w:tr>
      <w:tr w14:paraId="255525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545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CCCF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1A6D09">
            <w:pPr>
              <w:jc w:val="center"/>
            </w:pPr>
            <w:r>
              <w:rPr>
                <w:rFonts w:ascii="宋体" w:hAnsi="宋体" w:eastAsia="宋体"/>
                <w:sz w:val="16"/>
              </w:rPr>
              <w:t>实际完成情况</w:t>
            </w:r>
          </w:p>
        </w:tc>
      </w:tr>
      <w:tr w14:paraId="717D8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F73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47552">
            <w:pPr>
              <w:jc w:val="both"/>
            </w:pPr>
            <w:r>
              <w:rPr>
                <w:rFonts w:ascii="宋体" w:hAnsi="宋体" w:eastAsia="宋体"/>
                <w:sz w:val="16"/>
              </w:rPr>
              <w:t>保障57名聘用管护员的工资和社保及2名季节管护员劳务支出；更换太阳能供电系统蓄电池、逆控一体机和其他配套设施；采购巡护摩托车20辆；保障智能管护和信息化系统网络传输的正常运行及维护；做好135亩人工造林项目的后期管护；完善管护站基础设施，修建一座挡土墙。调查和评估松材线虫病等重大有害生物寄主植物、种类、面积、分布区域及森林资源受害情况等；采购作训服14套，反光雨衣和雨靴7套；参加地区集中组织的护林防集中培训30天；采购脉冲水枪2把，采购风力灭火器和水泵所需专用机油，林区维修，摩托车维修及所需机油、电瓶一批，交通油料费用等，应急分队7人伙食补助210天，对75个灭火器审验填充、采购灭火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CDA5A5">
            <w:pPr>
              <w:jc w:val="both"/>
            </w:pPr>
            <w:r>
              <w:rPr>
                <w:rFonts w:ascii="宋体" w:hAnsi="宋体" w:eastAsia="宋体"/>
                <w:sz w:val="16"/>
              </w:rPr>
              <w:t>完成了57名护林员的工资社保发放，修建挡土墙1座，更换了太阳能蓄电池等基础设施1批，购置巡护摩托车20辆，采购作训服14套，反光雨衣和雨靴7套，采购脉冲水枪2把，摩托车维修及所需机油、电瓶一批，对75个灭火器审验填充、采购灭火器，保障了智能管护和信息化系统网络传输的运行维护，开展了林区有害生物防治普查工作，通过该项目的实施有效保障了单位各管护站所的运行。</w:t>
            </w:r>
          </w:p>
        </w:tc>
      </w:tr>
      <w:tr w14:paraId="021ED9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F2F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4F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31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6C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97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84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62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6B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58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F6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69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87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DF2E">
            <w:pPr>
              <w:jc w:val="center"/>
            </w:pPr>
            <w:r>
              <w:rPr>
                <w:rFonts w:ascii="宋体" w:hAnsi="宋体" w:eastAsia="宋体"/>
                <w:sz w:val="16"/>
              </w:rPr>
              <w:t>偏差原因分析及改进措施</w:t>
            </w:r>
          </w:p>
        </w:tc>
      </w:tr>
      <w:tr w14:paraId="6C2B0D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5EF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616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A5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10CA">
            <w:pPr>
              <w:jc w:val="center"/>
            </w:pPr>
            <w:r>
              <w:rPr>
                <w:rFonts w:ascii="宋体" w:hAnsi="宋体" w:eastAsia="宋体"/>
                <w:sz w:val="16"/>
              </w:rPr>
              <w:t>聘用护林员人数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C124">
            <w:pPr>
              <w:jc w:val="center"/>
            </w:pPr>
            <w:r>
              <w:rPr>
                <w:rFonts w:ascii="宋体" w:hAnsi="宋体" w:eastAsia="宋体"/>
                <w:sz w:val="16"/>
              </w:rPr>
              <w:t>&lt;=57人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2CE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04B6">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85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B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A3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6EF6">
            <w:pPr>
              <w:jc w:val="center"/>
            </w:pPr>
            <w:r>
              <w:rPr>
                <w:rFonts w:ascii="宋体" w:hAnsi="宋体" w:eastAsia="宋体"/>
                <w:sz w:val="16"/>
              </w:rPr>
              <w:t>=57人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84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4BFAE">
            <w:pPr>
              <w:jc w:val="center"/>
            </w:pPr>
          </w:p>
        </w:tc>
      </w:tr>
      <w:tr w14:paraId="53247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BF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3B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C8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0C8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3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039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B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27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39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BA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5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8A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8571">
            <w:pPr>
              <w:jc w:val="center"/>
            </w:pPr>
          </w:p>
        </w:tc>
      </w:tr>
      <w:tr w14:paraId="11DB2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43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8E4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00D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9EC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B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EA6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1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4E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D3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A1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08EC">
            <w:pPr>
              <w:jc w:val="center"/>
            </w:pPr>
            <w:r>
              <w:rPr>
                <w:rFonts w:ascii="宋体" w:hAnsi="宋体" w:eastAsia="宋体"/>
                <w:sz w:val="16"/>
              </w:rPr>
              <w:t>=98.89%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CB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98B6E">
            <w:pPr>
              <w:jc w:val="center"/>
            </w:pPr>
            <w:r>
              <w:rPr>
                <w:rFonts w:ascii="宋体" w:hAnsi="宋体" w:eastAsia="宋体"/>
                <w:sz w:val="16"/>
              </w:rPr>
              <w:t>偏差原因：资金存在结余情况，改进措施：加强预算编制工作，精准预算</w:t>
            </w:r>
          </w:p>
        </w:tc>
      </w:tr>
      <w:tr w14:paraId="1772F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E9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E3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5E4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ACD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6B0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78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DD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8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7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B5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3EF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CD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33424">
            <w:pPr>
              <w:jc w:val="center"/>
            </w:pPr>
          </w:p>
        </w:tc>
      </w:tr>
      <w:tr w14:paraId="08EC1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0D6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C95E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BD0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98F3">
            <w:pPr>
              <w:jc w:val="center"/>
            </w:pPr>
            <w:r>
              <w:rPr>
                <w:rFonts w:ascii="宋体" w:hAnsi="宋体" w:eastAsia="宋体"/>
                <w:sz w:val="16"/>
              </w:rPr>
              <w:t>管护运行保障成本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A661">
            <w:pPr>
              <w:jc w:val="center"/>
            </w:pPr>
            <w:r>
              <w:rPr>
                <w:rFonts w:ascii="宋体" w:hAnsi="宋体" w:eastAsia="宋体"/>
                <w:sz w:val="16"/>
              </w:rPr>
              <w:t>&lt;=377.82万元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E0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77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AB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3C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99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EACE">
            <w:pPr>
              <w:jc w:val="center"/>
            </w:pPr>
            <w:r>
              <w:rPr>
                <w:rFonts w:ascii="宋体" w:hAnsi="宋体" w:eastAsia="宋体"/>
                <w:sz w:val="16"/>
              </w:rPr>
              <w:t>=371.86万元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B05A">
            <w:pPr>
              <w:jc w:val="center"/>
            </w:pPr>
            <w:r>
              <w:rPr>
                <w:rFonts w:ascii="宋体" w:hAnsi="宋体" w:eastAsia="宋体"/>
                <w:sz w:val="16"/>
              </w:rPr>
              <w:t>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2F6A0">
            <w:pPr>
              <w:jc w:val="center"/>
            </w:pPr>
            <w:r>
              <w:rPr>
                <w:rFonts w:ascii="宋体" w:hAnsi="宋体" w:eastAsia="宋体"/>
                <w:sz w:val="16"/>
              </w:rPr>
              <w:t>偏差原因：聘用护林员人员流动较大，劳务费有结余；改进措施：控制人员聘用成本，降低人员流动率</w:t>
            </w:r>
          </w:p>
        </w:tc>
      </w:tr>
      <w:tr w14:paraId="4C8CAF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39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AB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FF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A8A3">
            <w:pPr>
              <w:jc w:val="center"/>
            </w:pPr>
            <w:r>
              <w:rPr>
                <w:rFonts w:ascii="宋体" w:hAnsi="宋体" w:eastAsia="宋体"/>
                <w:sz w:val="16"/>
              </w:rPr>
              <w:t>管护能力提升成本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CF98">
            <w:pPr>
              <w:jc w:val="center"/>
            </w:pPr>
            <w:r>
              <w:rPr>
                <w:rFonts w:ascii="宋体" w:hAnsi="宋体" w:eastAsia="宋体"/>
                <w:sz w:val="16"/>
              </w:rPr>
              <w:t>&lt;=168.28万元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F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7B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98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8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DC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1ACC">
            <w:pPr>
              <w:jc w:val="center"/>
            </w:pPr>
            <w:r>
              <w:rPr>
                <w:rFonts w:ascii="宋体" w:hAnsi="宋体" w:eastAsia="宋体"/>
                <w:sz w:val="16"/>
              </w:rPr>
              <w:t>=167.58万元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3CF4">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8ABD5">
            <w:pPr>
              <w:jc w:val="center"/>
            </w:pPr>
            <w:r>
              <w:rPr>
                <w:rFonts w:ascii="宋体" w:hAnsi="宋体" w:eastAsia="宋体"/>
                <w:sz w:val="16"/>
              </w:rPr>
              <w:t>偏差原因：基础设施建设项目已全部完工，资金有结余；改进措施：提高年初预算的精准性</w:t>
            </w:r>
          </w:p>
        </w:tc>
      </w:tr>
      <w:tr w14:paraId="0B06E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639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176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35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7ED6">
            <w:pPr>
              <w:jc w:val="center"/>
            </w:pPr>
            <w:r>
              <w:rPr>
                <w:rFonts w:ascii="宋体" w:hAnsi="宋体" w:eastAsia="宋体"/>
                <w:sz w:val="16"/>
              </w:rPr>
              <w:t>有害生物防治成本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564C">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74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6D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78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C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5F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E055">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814C">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13C79">
            <w:pPr>
              <w:jc w:val="center"/>
            </w:pPr>
            <w:r>
              <w:rPr>
                <w:rFonts w:ascii="宋体" w:hAnsi="宋体" w:eastAsia="宋体"/>
                <w:sz w:val="16"/>
              </w:rPr>
              <w:t>偏差原因：采购中标金额低于预算金额，资金有结余；改进措施：加强项目前期调研，细化资金支出占比</w:t>
            </w:r>
          </w:p>
        </w:tc>
      </w:tr>
      <w:tr w14:paraId="407A1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4A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3F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5C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0142">
            <w:pPr>
              <w:jc w:val="center"/>
            </w:pPr>
            <w:r>
              <w:rPr>
                <w:rFonts w:ascii="宋体" w:hAnsi="宋体" w:eastAsia="宋体"/>
                <w:sz w:val="16"/>
              </w:rPr>
              <w:t>森林防火成本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AAE6">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3F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25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2C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E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88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4F81">
            <w:pPr>
              <w:jc w:val="center"/>
            </w:pPr>
            <w:r>
              <w:rPr>
                <w:rFonts w:ascii="宋体" w:hAnsi="宋体" w:eastAsia="宋体"/>
                <w:sz w:val="16"/>
              </w:rPr>
              <w:t>=19.93万元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73A5">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EB8FF">
            <w:pPr>
              <w:jc w:val="center"/>
            </w:pPr>
            <w:r>
              <w:rPr>
                <w:rFonts w:ascii="宋体" w:hAnsi="宋体" w:eastAsia="宋体"/>
                <w:sz w:val="16"/>
              </w:rPr>
              <w:t>偏差原因：聘用人员外出参加培训费用有结余；改进措施：加强预算管理，细化资金分配</w:t>
            </w:r>
          </w:p>
        </w:tc>
      </w:tr>
      <w:tr w14:paraId="05F28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98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40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AC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07A2">
            <w:pPr>
              <w:jc w:val="center"/>
            </w:pPr>
            <w:r>
              <w:rPr>
                <w:rFonts w:ascii="宋体" w:hAnsi="宋体" w:eastAsia="宋体"/>
                <w:sz w:val="16"/>
              </w:rPr>
              <w:t>落实国家生态环境保护政策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0500">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B9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DF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F6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D5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D7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0C4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A2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3093">
            <w:pPr>
              <w:jc w:val="center"/>
            </w:pPr>
          </w:p>
        </w:tc>
      </w:tr>
      <w:tr w14:paraId="42BF2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A3F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F6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D0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3B96">
            <w:pPr>
              <w:jc w:val="center"/>
            </w:pPr>
            <w:r>
              <w:rPr>
                <w:rFonts w:ascii="宋体" w:hAnsi="宋体" w:eastAsia="宋体"/>
                <w:sz w:val="16"/>
              </w:rPr>
              <w:t>林场职工满意度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BB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54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1D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EE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0F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14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B5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21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00500">
            <w:pPr>
              <w:jc w:val="center"/>
            </w:pPr>
          </w:p>
        </w:tc>
      </w:tr>
      <w:tr w14:paraId="0643C3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742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75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743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D9DA">
            <w:pPr>
              <w:jc w:val="center"/>
            </w:pPr>
            <w:r>
              <w:rPr>
                <w:rFonts w:ascii="宋体" w:hAnsi="宋体" w:eastAsia="宋体"/>
                <w:sz w:val="16"/>
              </w:rPr>
              <w:t>89.4分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CB471D"/>
        </w:tc>
      </w:tr>
    </w:tbl>
    <w:p w14:paraId="1BC3B154">
      <w:r>
        <w:br w:type="page"/>
      </w:r>
    </w:p>
    <w:p w14:paraId="034BFCDD">
      <w:pPr>
        <w:spacing w:line="640" w:lineRule="exact"/>
        <w:ind w:firstLine="640"/>
        <w:jc w:val="both"/>
        <w:outlineLvl w:val="2"/>
      </w:pPr>
      <w:r>
        <w:rPr>
          <w:rFonts w:ascii="黑体" w:hAnsi="黑体" w:eastAsia="黑体"/>
          <w:sz w:val="32"/>
        </w:rPr>
        <w:t>十二、其他需说明的事项</w:t>
      </w:r>
    </w:p>
    <w:p w14:paraId="5F7B1C74">
      <w:pPr>
        <w:spacing w:line="580" w:lineRule="exact"/>
        <w:ind w:firstLine="640"/>
        <w:jc w:val="both"/>
      </w:pPr>
      <w:r>
        <w:rPr>
          <w:rFonts w:ascii="仿宋_GB2312" w:hAnsi="仿宋_GB2312" w:eastAsia="仿宋_GB2312"/>
          <w:b w:val="0"/>
          <w:sz w:val="32"/>
        </w:rPr>
        <w:t>本部门无其他需说明的事项。</w:t>
      </w:r>
    </w:p>
    <w:p w14:paraId="6CF3CDB9">
      <w:r>
        <w:br w:type="page"/>
      </w:r>
    </w:p>
    <w:p w14:paraId="75F204D2">
      <w:pPr>
        <w:spacing w:line="240" w:lineRule="auto"/>
        <w:jc w:val="center"/>
        <w:outlineLvl w:val="1"/>
      </w:pPr>
      <w:r>
        <w:rPr>
          <w:rFonts w:ascii="黑体" w:hAnsi="黑体" w:eastAsia="黑体"/>
          <w:sz w:val="32"/>
        </w:rPr>
        <w:t>第三部分 专业名词解释</w:t>
      </w:r>
    </w:p>
    <w:p w14:paraId="3ECFEDD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204E4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7367E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9BFE6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E0A9D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E9A6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CD8A8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E7A03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4904F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93B44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B62AE3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41A9E3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C18C12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57E86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D3A54F">
      <w:r>
        <w:br w:type="page"/>
      </w:r>
    </w:p>
    <w:p w14:paraId="182FC610">
      <w:pPr>
        <w:spacing w:line="240" w:lineRule="auto"/>
        <w:jc w:val="center"/>
        <w:outlineLvl w:val="1"/>
      </w:pPr>
      <w:r>
        <w:rPr>
          <w:rFonts w:ascii="黑体" w:hAnsi="黑体" w:eastAsia="黑体"/>
          <w:sz w:val="32"/>
        </w:rPr>
        <w:t>第四部分 部门决算报表（见附表）</w:t>
      </w:r>
    </w:p>
    <w:p w14:paraId="04AC58F5">
      <w:pPr>
        <w:spacing w:line="240" w:lineRule="auto"/>
        <w:ind w:firstLine="640"/>
        <w:jc w:val="both"/>
      </w:pPr>
      <w:r>
        <w:rPr>
          <w:rFonts w:ascii="仿宋_GB2312" w:hAnsi="仿宋_GB2312" w:eastAsia="仿宋_GB2312"/>
          <w:b w:val="0"/>
          <w:sz w:val="32"/>
        </w:rPr>
        <w:t>一、《收入支出决算总表》</w:t>
      </w:r>
    </w:p>
    <w:p w14:paraId="2F36209C">
      <w:pPr>
        <w:spacing w:line="240" w:lineRule="auto"/>
        <w:ind w:firstLine="640"/>
        <w:jc w:val="both"/>
      </w:pPr>
      <w:r>
        <w:rPr>
          <w:rFonts w:ascii="仿宋_GB2312" w:hAnsi="仿宋_GB2312" w:eastAsia="仿宋_GB2312"/>
          <w:b w:val="0"/>
          <w:sz w:val="32"/>
        </w:rPr>
        <w:t>二、《收入决算表》</w:t>
      </w:r>
    </w:p>
    <w:p w14:paraId="45DC507B">
      <w:pPr>
        <w:spacing w:line="240" w:lineRule="auto"/>
        <w:ind w:firstLine="640"/>
        <w:jc w:val="both"/>
      </w:pPr>
      <w:r>
        <w:rPr>
          <w:rFonts w:ascii="仿宋_GB2312" w:hAnsi="仿宋_GB2312" w:eastAsia="仿宋_GB2312"/>
          <w:b w:val="0"/>
          <w:sz w:val="32"/>
        </w:rPr>
        <w:t>三、《支出决算表》</w:t>
      </w:r>
    </w:p>
    <w:p w14:paraId="3BA17515">
      <w:pPr>
        <w:spacing w:line="240" w:lineRule="auto"/>
        <w:ind w:firstLine="640"/>
        <w:jc w:val="both"/>
      </w:pPr>
      <w:r>
        <w:rPr>
          <w:rFonts w:ascii="仿宋_GB2312" w:hAnsi="仿宋_GB2312" w:eastAsia="仿宋_GB2312"/>
          <w:b w:val="0"/>
          <w:sz w:val="32"/>
        </w:rPr>
        <w:t>四、《财政拨款收入支出决算总表》</w:t>
      </w:r>
    </w:p>
    <w:p w14:paraId="0FD90294">
      <w:pPr>
        <w:spacing w:line="240" w:lineRule="auto"/>
        <w:ind w:firstLine="640"/>
        <w:jc w:val="both"/>
      </w:pPr>
      <w:r>
        <w:rPr>
          <w:rFonts w:ascii="仿宋_GB2312" w:hAnsi="仿宋_GB2312" w:eastAsia="仿宋_GB2312"/>
          <w:b w:val="0"/>
          <w:sz w:val="32"/>
        </w:rPr>
        <w:t>五、《一般公共预算财政拨款支出决算表》</w:t>
      </w:r>
    </w:p>
    <w:p w14:paraId="1D8D6E75">
      <w:pPr>
        <w:spacing w:line="240" w:lineRule="auto"/>
        <w:ind w:firstLine="640"/>
        <w:jc w:val="both"/>
      </w:pPr>
      <w:r>
        <w:rPr>
          <w:rFonts w:ascii="仿宋_GB2312" w:hAnsi="仿宋_GB2312" w:eastAsia="仿宋_GB2312"/>
          <w:b w:val="0"/>
          <w:sz w:val="32"/>
        </w:rPr>
        <w:t>六、《一般公共预算财政拨款基本支出决算表》</w:t>
      </w:r>
    </w:p>
    <w:p w14:paraId="4822C2AE">
      <w:pPr>
        <w:spacing w:line="240" w:lineRule="auto"/>
        <w:ind w:firstLine="640"/>
        <w:jc w:val="both"/>
      </w:pPr>
      <w:r>
        <w:rPr>
          <w:rFonts w:ascii="仿宋_GB2312" w:hAnsi="仿宋_GB2312" w:eastAsia="仿宋_GB2312"/>
          <w:b w:val="0"/>
          <w:sz w:val="32"/>
        </w:rPr>
        <w:t>七、《政府性基金预算财政拨款收入支出决算表》</w:t>
      </w:r>
    </w:p>
    <w:p w14:paraId="6152DFDA">
      <w:pPr>
        <w:spacing w:line="240" w:lineRule="auto"/>
        <w:ind w:firstLine="640"/>
        <w:jc w:val="both"/>
      </w:pPr>
      <w:r>
        <w:rPr>
          <w:rFonts w:ascii="仿宋_GB2312" w:hAnsi="仿宋_GB2312" w:eastAsia="仿宋_GB2312"/>
          <w:b w:val="0"/>
          <w:sz w:val="32"/>
        </w:rPr>
        <w:t>八、《国有资本经营预算财政拨款收入支出决算表》</w:t>
      </w:r>
    </w:p>
    <w:p w14:paraId="6575FC15">
      <w:pPr>
        <w:spacing w:line="240" w:lineRule="auto"/>
        <w:ind w:firstLine="640"/>
        <w:jc w:val="both"/>
      </w:pPr>
      <w:r>
        <w:rPr>
          <w:rFonts w:ascii="仿宋_GB2312" w:hAnsi="仿宋_GB2312" w:eastAsia="仿宋_GB2312"/>
          <w:b w:val="0"/>
          <w:sz w:val="32"/>
        </w:rPr>
        <w:t>九、《财政拨款“三公”经费支出决算表》</w:t>
      </w:r>
    </w:p>
    <w:p w14:paraId="650DE68E">
      <w:pPr>
        <w:spacing w:line="240" w:lineRule="auto"/>
        <w:ind w:firstLine="640"/>
        <w:jc w:val="both"/>
      </w:pPr>
    </w:p>
    <w:p w14:paraId="2A593504">
      <w:pPr>
        <w:spacing w:line="240" w:lineRule="auto"/>
        <w:ind w:firstLine="640"/>
        <w:jc w:val="both"/>
      </w:pPr>
    </w:p>
    <w:p w14:paraId="0F06F9BB">
      <w:pPr>
        <w:spacing w:line="240" w:lineRule="auto"/>
        <w:ind w:firstLine="640"/>
        <w:jc w:val="both"/>
      </w:pPr>
    </w:p>
    <w:p w14:paraId="1DF0DAEF">
      <w:pPr>
        <w:spacing w:line="240" w:lineRule="auto"/>
        <w:ind w:firstLine="640"/>
        <w:jc w:val="both"/>
      </w:pPr>
    </w:p>
    <w:p w14:paraId="228B7CE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E8A3C5-A0B7-4C47-AF43-C0D9FC60DA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C179462-458E-4237-A478-D3811AA973A5}"/>
  </w:font>
  <w:font w:name="仿宋_GB2312">
    <w:panose1 w:val="02010609030101010101"/>
    <w:charset w:val="86"/>
    <w:family w:val="modern"/>
    <w:pitch w:val="default"/>
    <w:sig w:usb0="00000001" w:usb1="080E0000" w:usb2="00000000" w:usb3="00000000" w:csb0="00040000" w:csb1="00000000"/>
    <w:embedRegular r:id="rId3" w:fontKey="{87AFCC6E-CECF-4C85-993D-2C3CB5ECB4BB}"/>
  </w:font>
  <w:font w:name="楷体_GB2312">
    <w:panose1 w:val="02010609030101010101"/>
    <w:charset w:val="86"/>
    <w:family w:val="auto"/>
    <w:pitch w:val="default"/>
    <w:sig w:usb0="00000001" w:usb1="080E0000" w:usb2="00000000" w:usb3="00000000" w:csb0="00040000" w:csb1="00000000"/>
    <w:embedRegular r:id="rId4" w:fontKey="{69331C40-A789-478D-8C69-9196CA9F2093}"/>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C25B70"/>
    <w:rsid w:val="4A316E8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5454</Words>
  <Characters>6332</Characters>
  <Lines>0</Lines>
  <Paragraphs>0</Paragraphs>
  <TotalTime>6</TotalTime>
  <ScaleCrop>false</ScaleCrop>
  <LinksUpToDate>false</LinksUpToDate>
  <CharactersWithSpaces>6341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2025-09-04T04:43:52Z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